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Minimal</w:t>
      </w:r>
      <w:r>
        <w:t xml:space="preserve"> </w:t>
      </w:r>
      <w:r>
        <w:t xml:space="preserve">EA-modell</w:t>
      </w:r>
    </w:p>
    <w:p>
      <w:pPr>
        <w:pStyle w:val="Subtitle"/>
      </w:pPr>
      <w:r>
        <w:t xml:space="preserve">Enterprise</w:t>
      </w:r>
      <w:r>
        <w:t xml:space="preserve"> </w:t>
      </w:r>
      <w:r>
        <w:t xml:space="preserve">Architecture-dokumentation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Innehåll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Detta dokument är ett distributionsformat genererat från projektets kanoniska YAML-modell. Ändringar ska göras i modellen och därefter regenereras, inte direkt i DOCX- eller PDF-filen.</w:t>
      </w:r>
    </w:p>
    <w:p>
      <w:r>
        <w:br w:type="page"/>
      </w:r>
    </w:p>
    <w:bookmarkStart w:id="26" w:name="drivkrafter"/>
    <w:p>
      <w:pPr>
        <w:pStyle w:val="Heading1"/>
      </w:pPr>
      <w:r>
        <w:t xml:space="preserve">Drivkrafter</w:t>
      </w:r>
    </w:p>
    <w:p>
      <w:pPr>
        <w:pStyle w:val="FirstParagraph"/>
      </w:pPr>
      <w:r>
        <w:t xml:space="preserve">Denna katalog visar drivkrafter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Kortare ledtid för digital utveckling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Behov av att minska tiden från verksamhetsbehov till användbart IT-stöd.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verksamhetsutveckling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</w:tbl>
    <w:bookmarkStart w:id="25" w:name="kortare-ledtid-för-digital-utveckling"/>
    <w:p>
      <w:pPr>
        <w:pStyle w:val="Heading2"/>
      </w:pPr>
      <w:r>
        <w:t xml:space="preserve">Kortare ledtid för digital utveckling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DRV-001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driver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bookmarkStart w:id="20" w:name="beskrivning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Behov av att minska tiden från verksamhetsbehov till användbart IT-stöd.</w:t>
      </w:r>
    </w:p>
    <w:bookmarkEnd w:id="20"/>
    <w:bookmarkStart w:id="21" w:name="drivkraftsinformation"/>
    <w:p>
      <w:pPr>
        <w:pStyle w:val="Heading3"/>
      </w:pPr>
      <w:r>
        <w:t xml:space="preserve">Drivkraftsinformation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Kategori:</w:t>
      </w:r>
      <w:r>
        <w:t xml:space="preserve"> </w:t>
      </w:r>
      <w:r>
        <w:t xml:space="preserve">verksamhetsutveckling</w:t>
      </w:r>
    </w:p>
    <w:bookmarkEnd w:id="21"/>
    <w:bookmarkStart w:id="23" w:name="relationer"/>
    <w:p>
      <w:pPr>
        <w:pStyle w:val="Heading3"/>
      </w:pPr>
      <w:r>
        <w:t xml:space="preserve">Relationer</w:t>
      </w:r>
    </w:p>
    <w:bookmarkStart w:id="22" w:name="påverkar-influences"/>
    <w:p>
      <w:pPr>
        <w:pStyle w:val="Heading4"/>
      </w:pPr>
      <w:r>
        <w:t xml:space="preserve">Påverkar (</w:t>
      </w:r>
      <w:r>
        <w:rPr>
          <w:rStyle w:val="VerbatimChar"/>
        </w:rPr>
        <w:t xml:space="preserve">influences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Snabbare och mer självständig utveckling (</w:t>
      </w:r>
      <w:r>
        <w:rPr>
          <w:rStyle w:val="VerbatimChar"/>
        </w:rPr>
        <w:t xml:space="preserve">GOAL-001</w:t>
      </w:r>
      <w:r>
        <w:t xml:space="preserve">)</w:t>
      </w:r>
    </w:p>
    <w:bookmarkEnd w:id="22"/>
    <w:bookmarkEnd w:id="23"/>
    <w:bookmarkStart w:id="24" w:name="proveniens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 källa: Exempelorganisationens strategiska inriktning (</w:t>
      </w:r>
      <w:r>
        <w:rPr>
          <w:rStyle w:val="VerbatimChar"/>
        </w:rPr>
        <w:t xml:space="preserve">SRC-001</w:t>
      </w:r>
      <w:r>
        <w:t xml:space="preserve">); referens: Avsnitt 2; confidence: high</w:t>
      </w:r>
    </w:p>
    <w:p>
      <w:r>
        <w:br w:type="page"/>
      </w:r>
    </w:p>
    <w:bookmarkEnd w:id="24"/>
    <w:bookmarkEnd w:id="25"/>
    <w:bookmarkEnd w:id="26"/>
    <w:bookmarkStart w:id="34" w:name="mål"/>
    <w:p>
      <w:pPr>
        <w:pStyle w:val="Heading1"/>
      </w:pPr>
      <w:r>
        <w:t xml:space="preserve">Mål</w:t>
      </w:r>
    </w:p>
    <w:p>
      <w:pPr>
        <w:pStyle w:val="FirstParagraph"/>
      </w:pPr>
      <w:r>
        <w:t xml:space="preserve">Denna katalog visar mål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Tidshorisont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Snabbare och mer självständig utveckling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Operativa utvecklingsområden ska kunna utveckla och förändra IT-stöd med kortare ledtid.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33" w:name="snabbare-och-mer-självständig-utveckling"/>
    <w:p>
      <w:pPr>
        <w:pStyle w:val="Heading2"/>
      </w:pPr>
      <w:r>
        <w:t xml:space="preserve">Snabbare och mer självständig utveckling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GOAL-001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goal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27" w:name="beskrivning-1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Operativa utvecklingsområden ska kunna utveckla och förändra IT-stöd med kortare ledtid.</w:t>
      </w:r>
    </w:p>
    <w:bookmarkEnd w:id="27"/>
    <w:bookmarkStart w:id="28" w:name="målinformation"/>
    <w:p>
      <w:pPr>
        <w:pStyle w:val="Heading3"/>
      </w:pPr>
      <w:r>
        <w:t xml:space="preserve">Målinformation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Måltillstånd:</w:t>
      </w:r>
      <w:r>
        <w:t xml:space="preserve"> </w:t>
      </w:r>
      <w:r>
        <w:t xml:space="preserve">Utvecklingsområden kan använda gemensamma IT-förmågor utan projektspecifik grundetablering.</w:t>
      </w:r>
    </w:p>
    <w:bookmarkEnd w:id="28"/>
    <w:bookmarkStart w:id="31" w:name="relationer-1"/>
    <w:p>
      <w:pPr>
        <w:pStyle w:val="Heading3"/>
      </w:pPr>
      <w:r>
        <w:t xml:space="preserve">Relationer</w:t>
      </w:r>
    </w:p>
    <w:bookmarkStart w:id="29" w:name="påverkar-influences-1"/>
    <w:p>
      <w:pPr>
        <w:pStyle w:val="Heading4"/>
      </w:pPr>
      <w:r>
        <w:t xml:space="preserve">Påverkar (</w:t>
      </w:r>
      <w:r>
        <w:rPr>
          <w:rStyle w:val="VerbatimChar"/>
        </w:rPr>
        <w:t xml:space="preserve">influences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Gemensamma behov realiseras som återanvändbara tjänster (</w:t>
      </w:r>
      <w:r>
        <w:rPr>
          <w:rStyle w:val="VerbatimChar"/>
        </w:rPr>
        <w:t xml:space="preserve">PRN-001</w:t>
      </w:r>
      <w:r>
        <w:t xml:space="preserve">)</w:t>
      </w:r>
    </w:p>
    <w:bookmarkEnd w:id="29"/>
    <w:bookmarkStart w:id="30" w:name="påverkas-av-influences"/>
    <w:p>
      <w:pPr>
        <w:pStyle w:val="Heading4"/>
      </w:pPr>
      <w:r>
        <w:t xml:space="preserve">Påverkas av (</w:t>
      </w:r>
      <w:r>
        <w:rPr>
          <w:rStyle w:val="VerbatimChar"/>
        </w:rPr>
        <w:t xml:space="preserve">influences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Kortare ledtid för digital utveckling (</w:t>
      </w:r>
      <w:r>
        <w:rPr>
          <w:rStyle w:val="VerbatimChar"/>
        </w:rPr>
        <w:t xml:space="preserve">DRV-001</w:t>
      </w:r>
      <w:r>
        <w:t xml:space="preserve">)</w:t>
      </w:r>
    </w:p>
    <w:bookmarkEnd w:id="30"/>
    <w:bookmarkEnd w:id="31"/>
    <w:bookmarkStart w:id="32" w:name="proveniens-1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derived</w:t>
      </w:r>
      <w:r>
        <w:t xml:space="preserve"> </w:t>
      </w:r>
      <w:r>
        <w:t xml:space="preserve">— källa: Exempelorganisationens strategiska inriktning (</w:t>
      </w:r>
      <w:r>
        <w:rPr>
          <w:rStyle w:val="VerbatimChar"/>
        </w:rPr>
        <w:t xml:space="preserve">SRC-001</w:t>
      </w:r>
      <w:r>
        <w:t xml:space="preserve">); confidence: high</w:t>
      </w:r>
    </w:p>
    <w:p>
      <w:pPr>
        <w:pStyle w:val="Compact"/>
        <w:numPr>
          <w:ilvl w:val="1"/>
          <w:numId w:val="1010"/>
        </w:numPr>
      </w:pPr>
      <w:r>
        <w:t xml:space="preserve">Motiv: Målet konkretiserar drivkraften om kortare ledtid.</w:t>
      </w:r>
    </w:p>
    <w:p>
      <w:pPr>
        <w:pStyle w:val="Compact"/>
        <w:numPr>
          <w:ilvl w:val="1"/>
          <w:numId w:val="1010"/>
        </w:numPr>
      </w:pPr>
      <w:r>
        <w:t xml:space="preserve">Härledd från: DRV-001</w:t>
      </w:r>
    </w:p>
    <w:p>
      <w:r>
        <w:br w:type="page"/>
      </w:r>
    </w:p>
    <w:bookmarkEnd w:id="32"/>
    <w:bookmarkEnd w:id="33"/>
    <w:bookmarkEnd w:id="34"/>
    <w:bookmarkStart w:id="45" w:name="principer"/>
    <w:p>
      <w:pPr>
        <w:pStyle w:val="Heading1"/>
      </w:pPr>
      <w:r>
        <w:t xml:space="preserve">Principer</w:t>
      </w:r>
    </w:p>
    <w:p>
      <w:pPr>
        <w:pStyle w:val="FirstParagraph"/>
      </w:pPr>
      <w:r>
        <w:t xml:space="preserve">Denna katalog visar principer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Principformulering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Gemensamma behov realiseras som återanvändbara tjänster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Gemensamma tekniska behov ska i första hand mötas genom återanvändbara plattformstjänster.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44" w:name="X9607d95b01c6c2efee7c3dbae4d10485db2e863"/>
    <w:p>
      <w:pPr>
        <w:pStyle w:val="Heading2"/>
      </w:pPr>
      <w:r>
        <w:t xml:space="preserve">Gemensamma behov realiseras som återanvändbara tjänster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PRN-001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principle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35" w:name="beskrivning-2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Återkommande tekniska behov bör erbjudas gemensamt när det ger tydlig nytta och minskar duplicering.</w:t>
      </w:r>
    </w:p>
    <w:bookmarkEnd w:id="35"/>
    <w:bookmarkStart w:id="36" w:name="principformulering"/>
    <w:p>
      <w:pPr>
        <w:pStyle w:val="Heading3"/>
      </w:pPr>
      <w:r>
        <w:t xml:space="preserve">Principformulering</w:t>
      </w:r>
    </w:p>
    <w:p>
      <w:pPr>
        <w:pStyle w:val="FirstParagraph"/>
      </w:pPr>
      <w:r>
        <w:t xml:space="preserve">Gemensamma tekniska behov ska i första hand mötas genom återanvändbara plattformstjänster.</w:t>
      </w:r>
    </w:p>
    <w:bookmarkEnd w:id="36"/>
    <w:bookmarkStart w:id="37" w:name="motiv"/>
    <w:p>
      <w:pPr>
        <w:pStyle w:val="Heading3"/>
      </w:pPr>
      <w:r>
        <w:t xml:space="preserve">Motiv</w:t>
      </w:r>
    </w:p>
    <w:p>
      <w:pPr>
        <w:pStyle w:val="FirstParagraph"/>
      </w:pPr>
      <w:r>
        <w:t xml:space="preserve">Minskar dubbelarbete och ger en enhetlig konsumtionsmodell.</w:t>
      </w:r>
    </w:p>
    <w:bookmarkEnd w:id="37"/>
    <w:bookmarkStart w:id="38" w:name="implikationer"/>
    <w:p>
      <w:pPr>
        <w:pStyle w:val="Heading3"/>
      </w:pPr>
      <w:r>
        <w:t xml:space="preserve">Implikationer</w:t>
      </w:r>
    </w:p>
    <w:p>
      <w:pPr>
        <w:pStyle w:val="Compact"/>
        <w:numPr>
          <w:ilvl w:val="0"/>
          <w:numId w:val="1012"/>
        </w:numPr>
      </w:pPr>
      <w:r>
        <w:t xml:space="preserve">Plattformstjänster behöver tydliga erbjudanden och ansvar.</w:t>
      </w:r>
    </w:p>
    <w:p>
      <w:pPr>
        <w:pStyle w:val="Compact"/>
        <w:numPr>
          <w:ilvl w:val="0"/>
          <w:numId w:val="1012"/>
        </w:numPr>
      </w:pPr>
      <w:r>
        <w:t xml:space="preserve">Operativa IT-stöd bör återanvända gemensamma tjänster där de passar.</w:t>
      </w:r>
    </w:p>
    <w:bookmarkEnd w:id="38"/>
    <w:bookmarkStart w:id="42" w:name="relationer-2"/>
    <w:p>
      <w:pPr>
        <w:pStyle w:val="Heading3"/>
      </w:pPr>
      <w:r>
        <w:t xml:space="preserve">Relationer</w:t>
      </w:r>
    </w:p>
    <w:bookmarkStart w:id="39" w:name="ligger-till-grund-för-derived_from"/>
    <w:p>
      <w:pPr>
        <w:pStyle w:val="Heading4"/>
      </w:pPr>
      <w:r>
        <w:t xml:space="preserve">Ligger till grund för (</w:t>
      </w:r>
      <w:r>
        <w:rPr>
          <w:rStyle w:val="VerbatimChar"/>
        </w:rPr>
        <w:t xml:space="preserve">derived_from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Standardiserad applikationskörning (</w:t>
      </w:r>
      <w:r>
        <w:rPr>
          <w:rStyle w:val="VerbatimChar"/>
        </w:rPr>
        <w:t xml:space="preserve">PAT-001</w:t>
      </w:r>
      <w:r>
        <w:t xml:space="preserve">)</w:t>
      </w:r>
    </w:p>
    <w:bookmarkEnd w:id="39"/>
    <w:bookmarkStart w:id="40" w:name="påverkas-av-influences-1"/>
    <w:p>
      <w:pPr>
        <w:pStyle w:val="Heading4"/>
      </w:pPr>
      <w:r>
        <w:t xml:space="preserve">Påverkas av (</w:t>
      </w:r>
      <w:r>
        <w:rPr>
          <w:rStyle w:val="VerbatimChar"/>
        </w:rPr>
        <w:t xml:space="preserve">influences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Snabbare och mer självständig utveckling (</w:t>
      </w:r>
      <w:r>
        <w:rPr>
          <w:rStyle w:val="VerbatimChar"/>
        </w:rPr>
        <w:t xml:space="preserve">GOAL-001</w:t>
      </w:r>
      <w:r>
        <w:t xml:space="preserve">)</w:t>
      </w:r>
    </w:p>
    <w:bookmarkEnd w:id="40"/>
    <w:bookmarkStart w:id="41" w:name="styr-governed_by"/>
    <w:p>
      <w:pPr>
        <w:pStyle w:val="Heading4"/>
      </w:pPr>
      <w:r>
        <w:t xml:space="preserve">Styr (</w:t>
      </w:r>
      <w:r>
        <w:rPr>
          <w:rStyle w:val="VerbatimChar"/>
        </w:rPr>
        <w:t xml:space="preserve">governed_by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Containerplattformstjänst (</w:t>
      </w:r>
      <w:r>
        <w:rPr>
          <w:rStyle w:val="VerbatimChar"/>
        </w:rPr>
        <w:t xml:space="preserve">PLS-001</w:t>
      </w:r>
      <w:r>
        <w:t xml:space="preserve">)</w:t>
      </w:r>
    </w:p>
    <w:bookmarkEnd w:id="41"/>
    <w:bookmarkEnd w:id="42"/>
    <w:bookmarkStart w:id="43" w:name="proveniens-2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confidence: medium</w:t>
      </w:r>
    </w:p>
    <w:p>
      <w:pPr>
        <w:pStyle w:val="Compact"/>
        <w:numPr>
          <w:ilvl w:val="1"/>
          <w:numId w:val="1017"/>
        </w:numPr>
      </w:pPr>
      <w:r>
        <w:t xml:space="preserve">Motiv: Föreslagen styrning för att stödja målet om snabbare utveckling.</w:t>
      </w:r>
    </w:p>
    <w:p>
      <w:pPr>
        <w:pStyle w:val="Compact"/>
        <w:numPr>
          <w:ilvl w:val="1"/>
          <w:numId w:val="1017"/>
        </w:numPr>
      </w:pPr>
      <w:r>
        <w:t xml:space="preserve">Härledd från: GOAL-001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external</w:t>
      </w:r>
      <w:r>
        <w:t xml:space="preserve"> </w:t>
      </w:r>
      <w:r>
        <w:t xml:space="preserve">— källa: Extern referens för standardiserade plattformstjänster (</w:t>
      </w:r>
      <w:r>
        <w:rPr>
          <w:rStyle w:val="VerbatimChar"/>
        </w:rPr>
        <w:t xml:space="preserve">SRC-EXT-001</w:t>
      </w:r>
      <w:r>
        <w:t xml:space="preserve">); referens: Exempel på standardiserade interna plattformserbjudanden; confidence: medium; överförbarhet: medium</w:t>
      </w:r>
    </w:p>
    <w:p>
      <w:r>
        <w:br w:type="page"/>
      </w:r>
    </w:p>
    <w:bookmarkEnd w:id="43"/>
    <w:bookmarkEnd w:id="44"/>
    <w:bookmarkEnd w:id="45"/>
    <w:bookmarkStart w:id="61" w:name="förmågor"/>
    <w:p>
      <w:pPr>
        <w:pStyle w:val="Heading1"/>
      </w:pPr>
      <w:r>
        <w:t xml:space="preserve">Förmågor</w:t>
      </w:r>
    </w:p>
    <w:p>
      <w:pPr>
        <w:pStyle w:val="FirstParagraph"/>
      </w:pPr>
      <w:r>
        <w:t xml:space="preserve">Denna katalog visar förmågor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Hantera ärenden digitalt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Förmåga att ta emot, bearbeta, följa upp och avsluta verksamhetsärenden digitalt.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Driftsätta och köra applikationer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IT-förmåga att driftsätta, exekvera och livscykelhantera applikationsworkloads i en gemensam körmiljö.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52" w:name="hantera-ärenden-digitalt"/>
    <w:p>
      <w:pPr>
        <w:pStyle w:val="Heading2"/>
      </w:pPr>
      <w:r>
        <w:t xml:space="preserve">Hantera ärenden digitalt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CAP-001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capability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bookmarkStart w:id="46" w:name="beskrivning-3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Förmåga att ta emot, bearbeta, följa upp och avsluta verksamhetsärenden digitalt.</w:t>
      </w:r>
    </w:p>
    <w:bookmarkEnd w:id="46"/>
    <w:bookmarkStart w:id="47" w:name="förmågeinformation"/>
    <w:p>
      <w:pPr>
        <w:pStyle w:val="Heading3"/>
      </w:pPr>
      <w:r>
        <w:t xml:space="preserve">Förmågeinformation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Förmågetyp:</w:t>
      </w:r>
      <w:r>
        <w:t xml:space="preserve"> </w:t>
      </w:r>
      <w:r>
        <w:t xml:space="preserve">business</w:t>
      </w:r>
    </w:p>
    <w:bookmarkEnd w:id="47"/>
    <w:bookmarkStart w:id="50" w:name="relationer-3"/>
    <w:p>
      <w:pPr>
        <w:pStyle w:val="Heading3"/>
      </w:pPr>
      <w:r>
        <w:t xml:space="preserve">Relationer</w:t>
      </w:r>
    </w:p>
    <w:bookmarkStart w:id="48" w:name="beror-på-depends_on"/>
    <w:p>
      <w:pPr>
        <w:pStyle w:val="Heading4"/>
      </w:pPr>
      <w:r>
        <w:t xml:space="preserve">Beror på (</w:t>
      </w:r>
      <w:r>
        <w:rPr>
          <w:rStyle w:val="VerbatimChar"/>
        </w:rPr>
        <w:t xml:space="preserve">depends_on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Driftsätta och köra applikationer (</w:t>
      </w:r>
      <w:r>
        <w:rPr>
          <w:rStyle w:val="VerbatimChar"/>
        </w:rPr>
        <w:t xml:space="preserve">CAP-002</w:t>
      </w:r>
      <w:r>
        <w:t xml:space="preserve">)</w:t>
      </w:r>
    </w:p>
    <w:bookmarkEnd w:id="48"/>
    <w:bookmarkStart w:id="49" w:name="stöds-av-supports"/>
    <w:p>
      <w:pPr>
        <w:pStyle w:val="Heading4"/>
      </w:pPr>
      <w:r>
        <w:t xml:space="preserve">Stöds av (</w:t>
      </w:r>
      <w:r>
        <w:rPr>
          <w:rStyle w:val="VerbatimChar"/>
        </w:rPr>
        <w:t xml:space="preserve">supports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Ärendehanteringsstöd (</w:t>
      </w:r>
      <w:r>
        <w:rPr>
          <w:rStyle w:val="VerbatimChar"/>
        </w:rPr>
        <w:t xml:space="preserve">ITS-001</w:t>
      </w:r>
      <w:r>
        <w:t xml:space="preserve">)</w:t>
      </w:r>
    </w:p>
    <w:bookmarkEnd w:id="49"/>
    <w:bookmarkEnd w:id="50"/>
    <w:bookmarkStart w:id="51" w:name="proveniens-3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 källa: Exempelorganisationens strategiska inriktning (</w:t>
      </w:r>
      <w:r>
        <w:rPr>
          <w:rStyle w:val="VerbatimChar"/>
        </w:rPr>
        <w:t xml:space="preserve">SRC-001</w:t>
      </w:r>
      <w:r>
        <w:t xml:space="preserve">); referens: Avsnitt 4; confidence: high</w:t>
      </w:r>
    </w:p>
    <w:bookmarkEnd w:id="51"/>
    <w:bookmarkEnd w:id="52"/>
    <w:bookmarkStart w:id="60" w:name="driftsätta-och-köra-applikationer"/>
    <w:p>
      <w:pPr>
        <w:pStyle w:val="Heading2"/>
      </w:pPr>
      <w:r>
        <w:t xml:space="preserve">Driftsätta och köra applikationer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CAP-002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capability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53" w:name="beskrivning-4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IT-förmåga att driftsätta, exekvera och livscykelhantera applikationsworkloads i en gemensam körmiljö.</w:t>
      </w:r>
    </w:p>
    <w:bookmarkEnd w:id="53"/>
    <w:bookmarkStart w:id="54" w:name="förmågeinformation-1"/>
    <w:p>
      <w:pPr>
        <w:pStyle w:val="Heading3"/>
      </w:pPr>
      <w:r>
        <w:t xml:space="preserve">Förmågeinformation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Förmågetyp:</w:t>
      </w:r>
      <w:r>
        <w:t xml:space="preserve"> </w:t>
      </w:r>
      <w:r>
        <w:t xml:space="preserve">it</w:t>
      </w:r>
    </w:p>
    <w:bookmarkEnd w:id="54"/>
    <w:bookmarkStart w:id="58" w:name="relationer-4"/>
    <w:p>
      <w:pPr>
        <w:pStyle w:val="Heading3"/>
      </w:pPr>
      <w:r>
        <w:t xml:space="preserve">Relationer</w:t>
      </w:r>
    </w:p>
    <w:bookmarkStart w:id="55" w:name="relaterar-till-related_to"/>
    <w:p>
      <w:pPr>
        <w:pStyle w:val="Heading4"/>
      </w:pPr>
      <w:r>
        <w:t xml:space="preserve">Relaterar till (</w:t>
      </w:r>
      <w:r>
        <w:rPr>
          <w:rStyle w:val="VerbatimChar"/>
        </w:rPr>
        <w:t xml:space="preserve">related_to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Referensarkitektur för gemensam applikationskörning (</w:t>
      </w:r>
      <w:r>
        <w:rPr>
          <w:rStyle w:val="VerbatimChar"/>
        </w:rPr>
        <w:t xml:space="preserve">RA-001</w:t>
      </w:r>
      <w:r>
        <w:t xml:space="preserve">)</w:t>
      </w:r>
    </w:p>
    <w:bookmarkEnd w:id="55"/>
    <w:bookmarkStart w:id="56" w:name="stöds-av-supports-1"/>
    <w:p>
      <w:pPr>
        <w:pStyle w:val="Heading4"/>
      </w:pPr>
      <w:r>
        <w:t xml:space="preserve">Stöds av (</w:t>
      </w:r>
      <w:r>
        <w:rPr>
          <w:rStyle w:val="VerbatimChar"/>
        </w:rPr>
        <w:t xml:space="preserve">supports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Containerplattformstjänst (</w:t>
      </w:r>
      <w:r>
        <w:rPr>
          <w:rStyle w:val="VerbatimChar"/>
        </w:rPr>
        <w:t xml:space="preserve">PLS-001</w:t>
      </w:r>
      <w:r>
        <w:t xml:space="preserve">)</w:t>
      </w:r>
    </w:p>
    <w:bookmarkEnd w:id="56"/>
    <w:bookmarkStart w:id="57" w:name="är-beroende-för-depends_on"/>
    <w:p>
      <w:pPr>
        <w:pStyle w:val="Heading4"/>
      </w:pPr>
      <w:r>
        <w:t xml:space="preserve">Är beroende för (</w:t>
      </w:r>
      <w:r>
        <w:rPr>
          <w:rStyle w:val="VerbatimChar"/>
        </w:rPr>
        <w:t xml:space="preserve">depends_on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Hantera ärenden digitalt (</w:t>
      </w:r>
      <w:r>
        <w:rPr>
          <w:rStyle w:val="VerbatimChar"/>
        </w:rPr>
        <w:t xml:space="preserve">CAP-001</w:t>
      </w:r>
      <w:r>
        <w:t xml:space="preserve">)</w:t>
      </w:r>
    </w:p>
    <w:bookmarkEnd w:id="57"/>
    <w:bookmarkEnd w:id="58"/>
    <w:bookmarkStart w:id="59" w:name="proveniens-4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confidence: medium</w:t>
      </w:r>
    </w:p>
    <w:p>
      <w:pPr>
        <w:pStyle w:val="Compact"/>
        <w:numPr>
          <w:ilvl w:val="1"/>
          <w:numId w:val="1029"/>
        </w:numPr>
      </w:pPr>
      <w:r>
        <w:t xml:space="preserve">Motiv: En gemensam körförmåga föreslås för att minska projektspecifik etablering.</w:t>
      </w:r>
    </w:p>
    <w:p>
      <w:pPr>
        <w:pStyle w:val="Compact"/>
        <w:numPr>
          <w:ilvl w:val="1"/>
          <w:numId w:val="1029"/>
        </w:numPr>
      </w:pPr>
      <w:r>
        <w:t xml:space="preserve">Härledd från: GOAL-001</w:t>
      </w:r>
    </w:p>
    <w:p>
      <w:r>
        <w:br w:type="page"/>
      </w:r>
    </w:p>
    <w:bookmarkEnd w:id="59"/>
    <w:bookmarkEnd w:id="60"/>
    <w:bookmarkEnd w:id="61"/>
    <w:bookmarkStart w:id="70" w:name="it-stöd"/>
    <w:p>
      <w:pPr>
        <w:pStyle w:val="Heading1"/>
      </w:pPr>
      <w:r>
        <w:t xml:space="preserve">IT-stöd</w:t>
      </w:r>
    </w:p>
    <w:p>
      <w:pPr>
        <w:pStyle w:val="FirstParagraph"/>
      </w:pPr>
      <w:r>
        <w:t xml:space="preserve">Denna katalog visar it-stöd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Ärendehanteringsstöd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Digitalt IT-stöd för registrering och hantering av verksamhetsärenden.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Registrera ärende, Tilldela ärende, Följa ärendestatus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</w:tbl>
    <w:bookmarkStart w:id="69" w:name="ärendehanteringsstöd"/>
    <w:p>
      <w:pPr>
        <w:pStyle w:val="Heading2"/>
      </w:pPr>
      <w:r>
        <w:t xml:space="preserve">Ärendehanteringsstöd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ITS-001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it_support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bookmarkStart w:id="62" w:name="beskrivning-5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Digitalt IT-stöd för registrering och hantering av verksamhetsärenden.</w:t>
      </w:r>
    </w:p>
    <w:bookmarkEnd w:id="62"/>
    <w:bookmarkStart w:id="63" w:name="it-stödsinformation"/>
    <w:p>
      <w:pPr>
        <w:pStyle w:val="Heading3"/>
      </w:pPr>
      <w:r>
        <w:t xml:space="preserve">IT-stödsinformation</w:t>
      </w:r>
    </w:p>
    <w:bookmarkEnd w:id="63"/>
    <w:bookmarkStart w:id="64" w:name="funktioner"/>
    <w:p>
      <w:pPr>
        <w:pStyle w:val="Heading3"/>
      </w:pPr>
      <w:r>
        <w:t xml:space="preserve">Funktioner</w:t>
      </w:r>
    </w:p>
    <w:p>
      <w:pPr>
        <w:pStyle w:val="Compact"/>
        <w:numPr>
          <w:ilvl w:val="0"/>
          <w:numId w:val="1031"/>
        </w:numPr>
      </w:pPr>
      <w:r>
        <w:t xml:space="preserve">Registrera ärende</w:t>
      </w:r>
    </w:p>
    <w:p>
      <w:pPr>
        <w:pStyle w:val="Compact"/>
        <w:numPr>
          <w:ilvl w:val="0"/>
          <w:numId w:val="1031"/>
        </w:numPr>
      </w:pPr>
      <w:r>
        <w:t xml:space="preserve">Tilldela ärende</w:t>
      </w:r>
    </w:p>
    <w:p>
      <w:pPr>
        <w:pStyle w:val="Compact"/>
        <w:numPr>
          <w:ilvl w:val="0"/>
          <w:numId w:val="1031"/>
        </w:numPr>
      </w:pPr>
      <w:r>
        <w:t xml:space="preserve">Följa ärendestatus</w:t>
      </w:r>
    </w:p>
    <w:bookmarkEnd w:id="64"/>
    <w:bookmarkStart w:id="67" w:name="relationer-5"/>
    <w:p>
      <w:pPr>
        <w:pStyle w:val="Heading3"/>
      </w:pPr>
      <w:r>
        <w:t xml:space="preserve">Relationer</w:t>
      </w:r>
    </w:p>
    <w:bookmarkStart w:id="65" w:name="använder-uses"/>
    <w:p>
      <w:pPr>
        <w:pStyle w:val="Heading4"/>
      </w:pPr>
      <w:r>
        <w:t xml:space="preserve">Använder (</w:t>
      </w:r>
      <w:r>
        <w:rPr>
          <w:rStyle w:val="VerbatimChar"/>
        </w:rPr>
        <w:t xml:space="preserve">uses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Containerplattformstjänst (</w:t>
      </w:r>
      <w:r>
        <w:rPr>
          <w:rStyle w:val="VerbatimChar"/>
        </w:rPr>
        <w:t xml:space="preserve">PLS-001</w:t>
      </w:r>
      <w:r>
        <w:t xml:space="preserve">)</w:t>
      </w:r>
    </w:p>
    <w:bookmarkEnd w:id="65"/>
    <w:bookmarkStart w:id="66" w:name="stödjer-supports"/>
    <w:p>
      <w:pPr>
        <w:pStyle w:val="Heading4"/>
      </w:pPr>
      <w:r>
        <w:t xml:space="preserve">Stödjer (</w:t>
      </w:r>
      <w:r>
        <w:rPr>
          <w:rStyle w:val="VerbatimChar"/>
        </w:rPr>
        <w:t xml:space="preserve">supports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Hantera ärenden digitalt (</w:t>
      </w:r>
      <w:r>
        <w:rPr>
          <w:rStyle w:val="VerbatimChar"/>
        </w:rPr>
        <w:t xml:space="preserve">CAP-001</w:t>
      </w:r>
      <w:r>
        <w:t xml:space="preserve">)</w:t>
      </w:r>
    </w:p>
    <w:bookmarkEnd w:id="66"/>
    <w:bookmarkEnd w:id="67"/>
    <w:bookmarkStart w:id="68" w:name="proveniens-5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 källa: Exempelorganisationens befintliga IT-inventering (</w:t>
      </w:r>
      <w:r>
        <w:rPr>
          <w:rStyle w:val="VerbatimChar"/>
        </w:rPr>
        <w:t xml:space="preserve">SRC-002</w:t>
      </w:r>
      <w:r>
        <w:t xml:space="preserve">); referens: Systempost 17; confidence: high</w:t>
      </w:r>
    </w:p>
    <w:p>
      <w:r>
        <w:br w:type="page"/>
      </w:r>
    </w:p>
    <w:bookmarkEnd w:id="68"/>
    <w:bookmarkEnd w:id="69"/>
    <w:bookmarkEnd w:id="70"/>
    <w:bookmarkStart w:id="82" w:name="plattformstjänster"/>
    <w:p>
      <w:pPr>
        <w:pStyle w:val="Heading1"/>
      </w:pPr>
      <w:r>
        <w:t xml:space="preserve">Plattformstjänster</w:t>
      </w:r>
    </w:p>
    <w:p>
      <w:pPr>
        <w:pStyle w:val="FirstParagraph"/>
      </w:pPr>
      <w:r>
        <w:t xml:space="preserve">Denna katalog visar plattformstjänster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Konsumentomfång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Containerplattformstjänst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Gemensamt tjänsteerbjudande för att driftsätta och köra containeriserade applikationer.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Operativa utvecklingsområden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Driftsätta containeriserade applikationer, Skala applikationsworkloads, Hantera applikationskonfiguration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81" w:name="containerplattformstjänst"/>
    <w:p>
      <w:pPr>
        <w:pStyle w:val="Heading2"/>
      </w:pPr>
      <w:r>
        <w:t xml:space="preserve">Containerplattformstjänst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PLS-001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platform_service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71" w:name="beskrivning-6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Gemensamt tjänsteerbjudande för att driftsätta och köra containeriserade applikationer.</w:t>
      </w:r>
    </w:p>
    <w:bookmarkEnd w:id="71"/>
    <w:bookmarkStart w:id="72" w:name="tjänsteinformation"/>
    <w:p>
      <w:pPr>
        <w:pStyle w:val="Heading3"/>
      </w:pPr>
      <w:r>
        <w:t xml:space="preserve">Tjänsteinformation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Konsumentomfång:</w:t>
      </w:r>
      <w:r>
        <w:t xml:space="preserve"> </w:t>
      </w:r>
      <w:r>
        <w:t xml:space="preserve">Operativa utvecklingsområden</w:t>
      </w:r>
    </w:p>
    <w:bookmarkEnd w:id="72"/>
    <w:bookmarkStart w:id="73" w:name="funktioner-1"/>
    <w:p>
      <w:pPr>
        <w:pStyle w:val="Heading3"/>
      </w:pPr>
      <w:r>
        <w:t xml:space="preserve">Funktioner</w:t>
      </w:r>
    </w:p>
    <w:p>
      <w:pPr>
        <w:pStyle w:val="Compact"/>
        <w:numPr>
          <w:ilvl w:val="0"/>
          <w:numId w:val="1037"/>
        </w:numPr>
      </w:pPr>
      <w:r>
        <w:t xml:space="preserve">Driftsätta containeriserade applikationer</w:t>
      </w:r>
    </w:p>
    <w:p>
      <w:pPr>
        <w:pStyle w:val="Compact"/>
        <w:numPr>
          <w:ilvl w:val="0"/>
          <w:numId w:val="1037"/>
        </w:numPr>
      </w:pPr>
      <w:r>
        <w:t xml:space="preserve">Skala applikationsworkloads</w:t>
      </w:r>
    </w:p>
    <w:p>
      <w:pPr>
        <w:pStyle w:val="Compact"/>
        <w:numPr>
          <w:ilvl w:val="0"/>
          <w:numId w:val="1037"/>
        </w:numPr>
      </w:pPr>
      <w:r>
        <w:t xml:space="preserve">Hantera applikationskonfiguration</w:t>
      </w:r>
    </w:p>
    <w:bookmarkEnd w:id="73"/>
    <w:bookmarkStart w:id="79" w:name="relationer-6"/>
    <w:p>
      <w:pPr>
        <w:pStyle w:val="Heading3"/>
      </w:pPr>
      <w:r>
        <w:t xml:space="preserve">Relationer</w:t>
      </w:r>
    </w:p>
    <w:bookmarkStart w:id="74" w:name="används-av-uses"/>
    <w:p>
      <w:pPr>
        <w:pStyle w:val="Heading4"/>
      </w:pPr>
      <w:r>
        <w:t xml:space="preserve">Används av (</w:t>
      </w:r>
      <w:r>
        <w:rPr>
          <w:rStyle w:val="VerbatimChar"/>
        </w:rPr>
        <w:t xml:space="preserve">uses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Ärendehanteringsstöd (</w:t>
      </w:r>
      <w:r>
        <w:rPr>
          <w:rStyle w:val="VerbatimChar"/>
        </w:rPr>
        <w:t xml:space="preserve">ITS-001</w:t>
      </w:r>
      <w:r>
        <w:t xml:space="preserve">)</w:t>
      </w:r>
    </w:p>
    <w:bookmarkEnd w:id="74"/>
    <w:bookmarkStart w:id="75" w:name="begränsas-av-constrains"/>
    <w:p>
      <w:pPr>
        <w:pStyle w:val="Heading4"/>
      </w:pPr>
      <w:r>
        <w:t xml:space="preserve">Begränsas av (</w:t>
      </w:r>
      <w:r>
        <w:rPr>
          <w:rStyle w:val="VerbatimChar"/>
        </w:rPr>
        <w:t xml:space="preserve">constrains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t xml:space="preserve">Standard för paketering av applikationer (</w:t>
      </w:r>
      <w:r>
        <w:rPr>
          <w:rStyle w:val="VerbatimChar"/>
        </w:rPr>
        <w:t xml:space="preserve">STD-001</w:t>
      </w:r>
      <w:r>
        <w:t xml:space="preserve">)</w:t>
      </w:r>
    </w:p>
    <w:bookmarkEnd w:id="75"/>
    <w:bookmarkStart w:id="76" w:name="realiseras-av-realized_by"/>
    <w:p>
      <w:pPr>
        <w:pStyle w:val="Heading4"/>
      </w:pPr>
      <w:r>
        <w:t xml:space="preserve">Realiseras av (</w:t>
      </w:r>
      <w:r>
        <w:rPr>
          <w:rStyle w:val="VerbatimChar"/>
        </w:rPr>
        <w:t xml:space="preserve">realized_by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Containerplattform (</w:t>
      </w:r>
      <w:r>
        <w:rPr>
          <w:rStyle w:val="VerbatimChar"/>
        </w:rPr>
        <w:t xml:space="preserve">PLT-001</w:t>
      </w:r>
      <w:r>
        <w:t xml:space="preserve">)</w:t>
      </w:r>
    </w:p>
    <w:bookmarkEnd w:id="76"/>
    <w:bookmarkStart w:id="77" w:name="styrs-av-governed_by"/>
    <w:p>
      <w:pPr>
        <w:pStyle w:val="Heading4"/>
      </w:pPr>
      <w:r>
        <w:t xml:space="preserve">Styrs av (</w:t>
      </w:r>
      <w:r>
        <w:rPr>
          <w:rStyle w:val="VerbatimChar"/>
        </w:rPr>
        <w:t xml:space="preserve">governed_by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t xml:space="preserve">Gemensamma behov realiseras som återanvändbara tjänster (</w:t>
      </w:r>
      <w:r>
        <w:rPr>
          <w:rStyle w:val="VerbatimChar"/>
        </w:rPr>
        <w:t xml:space="preserve">PRN-001</w:t>
      </w:r>
      <w:r>
        <w:t xml:space="preserve">)</w:t>
      </w:r>
    </w:p>
    <w:bookmarkEnd w:id="77"/>
    <w:bookmarkStart w:id="78" w:name="stödjer-supports-1"/>
    <w:p>
      <w:pPr>
        <w:pStyle w:val="Heading4"/>
      </w:pPr>
      <w:r>
        <w:t xml:space="preserve">Stödjer (</w:t>
      </w:r>
      <w:r>
        <w:rPr>
          <w:rStyle w:val="VerbatimChar"/>
        </w:rPr>
        <w:t xml:space="preserve">supports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Driftsätta och köra applikationer (</w:t>
      </w:r>
      <w:r>
        <w:rPr>
          <w:rStyle w:val="VerbatimChar"/>
        </w:rPr>
        <w:t xml:space="preserve">CAP-002</w:t>
      </w:r>
      <w:r>
        <w:t xml:space="preserve">)</w:t>
      </w:r>
    </w:p>
    <w:bookmarkEnd w:id="78"/>
    <w:bookmarkEnd w:id="79"/>
    <w:bookmarkStart w:id="80" w:name="proveniens-6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confidence: medium</w:t>
      </w:r>
    </w:p>
    <w:p>
      <w:pPr>
        <w:pStyle w:val="Compact"/>
        <w:numPr>
          <w:ilvl w:val="1"/>
          <w:numId w:val="1044"/>
        </w:numPr>
      </w:pPr>
      <w:r>
        <w:t xml:space="preserve">Motiv: Tjänsten föreslås som konsumtionsyta för IT-förmågan.</w:t>
      </w:r>
    </w:p>
    <w:p>
      <w:pPr>
        <w:pStyle w:val="Compact"/>
        <w:numPr>
          <w:ilvl w:val="1"/>
          <w:numId w:val="1044"/>
        </w:numPr>
      </w:pPr>
      <w:r>
        <w:t xml:space="preserve">Härledd från: CAP-002</w:t>
      </w:r>
    </w:p>
    <w:p>
      <w:r>
        <w:br w:type="page"/>
      </w:r>
    </w:p>
    <w:bookmarkEnd w:id="80"/>
    <w:bookmarkEnd w:id="81"/>
    <w:bookmarkEnd w:id="82"/>
    <w:bookmarkStart w:id="90" w:name="plattformar"/>
    <w:p>
      <w:pPr>
        <w:pStyle w:val="Heading1"/>
      </w:pPr>
      <w:r>
        <w:t xml:space="preserve">Plattformar</w:t>
      </w:r>
    </w:p>
    <w:p>
      <w:pPr>
        <w:pStyle w:val="FirstParagraph"/>
      </w:pPr>
      <w:r>
        <w:t xml:space="preserve">Denna katalog visar plattformar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Teknik/produkter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Containerplattform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Gemensam teknisk plattform som realiserar containerplattformstjänsten.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Containerorkestrering / Exempelprodukt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Schemalägga workloads, Hantera containerkörning, Tillhandahålla nätverksabstraktion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89" w:name="containerplattform"/>
    <w:p>
      <w:pPr>
        <w:pStyle w:val="Heading2"/>
      </w:pPr>
      <w:r>
        <w:t xml:space="preserve">Containerplattform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PLT-001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platform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83" w:name="beskrivning-7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Gemensam teknisk plattform som realiserar containerplattformstjänsten.</w:t>
      </w:r>
    </w:p>
    <w:bookmarkEnd w:id="83"/>
    <w:bookmarkStart w:id="84" w:name="plattformsinformation"/>
    <w:p>
      <w:pPr>
        <w:pStyle w:val="Heading3"/>
      </w:pPr>
      <w:r>
        <w:t xml:space="preserve">Plattformsinformation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Teknik:</w:t>
      </w:r>
      <w:r>
        <w:t xml:space="preserve"> </w:t>
      </w:r>
      <w:r>
        <w:t xml:space="preserve">Containerorkestrering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Produkter:</w:t>
      </w:r>
      <w:r>
        <w:t xml:space="preserve"> </w:t>
      </w:r>
      <w:r>
        <w:t xml:space="preserve">Exempelprodukt</w:t>
      </w:r>
    </w:p>
    <w:bookmarkEnd w:id="84"/>
    <w:bookmarkStart w:id="85" w:name="funktioner-2"/>
    <w:p>
      <w:pPr>
        <w:pStyle w:val="Heading3"/>
      </w:pPr>
      <w:r>
        <w:t xml:space="preserve">Funktioner</w:t>
      </w:r>
    </w:p>
    <w:p>
      <w:pPr>
        <w:pStyle w:val="Compact"/>
        <w:numPr>
          <w:ilvl w:val="0"/>
          <w:numId w:val="1047"/>
        </w:numPr>
      </w:pPr>
      <w:r>
        <w:t xml:space="preserve">Schemalägga workloads</w:t>
      </w:r>
    </w:p>
    <w:p>
      <w:pPr>
        <w:pStyle w:val="Compact"/>
        <w:numPr>
          <w:ilvl w:val="0"/>
          <w:numId w:val="1047"/>
        </w:numPr>
      </w:pPr>
      <w:r>
        <w:t xml:space="preserve">Hantera containerkörning</w:t>
      </w:r>
    </w:p>
    <w:p>
      <w:pPr>
        <w:pStyle w:val="Compact"/>
        <w:numPr>
          <w:ilvl w:val="0"/>
          <w:numId w:val="1047"/>
        </w:numPr>
      </w:pPr>
      <w:r>
        <w:t xml:space="preserve">Tillhandahålla nätverksabstraktion</w:t>
      </w:r>
    </w:p>
    <w:bookmarkEnd w:id="85"/>
    <w:bookmarkStart w:id="87" w:name="relationer-7"/>
    <w:p>
      <w:pPr>
        <w:pStyle w:val="Heading3"/>
      </w:pPr>
      <w:r>
        <w:t xml:space="preserve">Relationer</w:t>
      </w:r>
    </w:p>
    <w:bookmarkStart w:id="86" w:name="realiserar-realized_by"/>
    <w:p>
      <w:pPr>
        <w:pStyle w:val="Heading4"/>
      </w:pPr>
      <w:r>
        <w:t xml:space="preserve">Realiserar (</w:t>
      </w:r>
      <w:r>
        <w:rPr>
          <w:rStyle w:val="VerbatimChar"/>
        </w:rPr>
        <w:t xml:space="preserve">realized_by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Containerplattformstjänst (</w:t>
      </w:r>
      <w:r>
        <w:rPr>
          <w:rStyle w:val="VerbatimChar"/>
        </w:rPr>
        <w:t xml:space="preserve">PLS-001</w:t>
      </w:r>
      <w:r>
        <w:t xml:space="preserve">)</w:t>
      </w:r>
    </w:p>
    <w:bookmarkEnd w:id="86"/>
    <w:bookmarkEnd w:id="87"/>
    <w:bookmarkStart w:id="88" w:name="proveniens-7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confidence: medium</w:t>
      </w:r>
    </w:p>
    <w:p>
      <w:pPr>
        <w:pStyle w:val="Compact"/>
        <w:numPr>
          <w:ilvl w:val="1"/>
          <w:numId w:val="1050"/>
        </w:numPr>
      </w:pPr>
      <w:r>
        <w:t xml:space="preserve">Motiv: Teknisk plattform behövs för att realisera tjänsteerbjudandet i exempelmodellen.</w:t>
      </w:r>
    </w:p>
    <w:p>
      <w:pPr>
        <w:pStyle w:val="Compact"/>
        <w:numPr>
          <w:ilvl w:val="1"/>
          <w:numId w:val="1050"/>
        </w:numPr>
      </w:pPr>
      <w:r>
        <w:t xml:space="preserve">Härledd från: PLS-001</w:t>
      </w:r>
    </w:p>
    <w:p>
      <w:r>
        <w:br w:type="page"/>
      </w:r>
    </w:p>
    <w:bookmarkEnd w:id="88"/>
    <w:bookmarkEnd w:id="89"/>
    <w:bookmarkEnd w:id="90"/>
    <w:bookmarkStart w:id="97" w:name="standarder"/>
    <w:p>
      <w:pPr>
        <w:pStyle w:val="Heading1"/>
      </w:pPr>
      <w:r>
        <w:t xml:space="preserve">Standarder</w:t>
      </w:r>
    </w:p>
    <w:p>
      <w:pPr>
        <w:pStyle w:val="FirstParagraph"/>
      </w:pPr>
      <w:r>
        <w:t xml:space="preserve">Denna katalog visar standarder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för paketering av applikationer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teknikstandard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96" w:name="standard-för-paketering-av-applikationer"/>
    <w:p>
      <w:pPr>
        <w:pStyle w:val="Heading2"/>
      </w:pPr>
      <w:r>
        <w:t xml:space="preserve">Standard för paketering av applikationer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STD-001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standard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91" w:name="beskrivning-8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Exempelstandard som anger ett gemensamt paketeringssätt för applikationer som använder containerplattformstjänsten.</w:t>
      </w:r>
    </w:p>
    <w:bookmarkEnd w:id="91"/>
    <w:bookmarkStart w:id="92" w:name="standardinformation"/>
    <w:p>
      <w:pPr>
        <w:pStyle w:val="Heading3"/>
      </w:pPr>
      <w:r>
        <w:t xml:space="preserve">Standardinformation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Standardtyp:</w:t>
      </w:r>
      <w:r>
        <w:t xml:space="preserve"> </w:t>
      </w:r>
      <w:r>
        <w:t xml:space="preserve">teknikstandard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Obligatorisk:</w:t>
      </w:r>
      <w:r>
        <w:t xml:space="preserve"> </w:t>
      </w:r>
      <w:r>
        <w:t xml:space="preserve">True</w:t>
      </w:r>
    </w:p>
    <w:bookmarkEnd w:id="92"/>
    <w:bookmarkStart w:id="94" w:name="relationer-8"/>
    <w:p>
      <w:pPr>
        <w:pStyle w:val="Heading3"/>
      </w:pPr>
      <w:r>
        <w:t xml:space="preserve">Relationer</w:t>
      </w:r>
    </w:p>
    <w:bookmarkStart w:id="93" w:name="begränsar-constrains"/>
    <w:p>
      <w:pPr>
        <w:pStyle w:val="Heading4"/>
      </w:pPr>
      <w:r>
        <w:t xml:space="preserve">Begränsar (</w:t>
      </w:r>
      <w:r>
        <w:rPr>
          <w:rStyle w:val="VerbatimChar"/>
        </w:rPr>
        <w:t xml:space="preserve">constrains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t xml:space="preserve">Containerplattformstjänst (</w:t>
      </w:r>
      <w:r>
        <w:rPr>
          <w:rStyle w:val="VerbatimChar"/>
        </w:rPr>
        <w:t xml:space="preserve">PLS-001</w:t>
      </w:r>
      <w:r>
        <w:t xml:space="preserve">)</w:t>
      </w:r>
    </w:p>
    <w:bookmarkEnd w:id="93"/>
    <w:bookmarkEnd w:id="94"/>
    <w:bookmarkStart w:id="95" w:name="proveniens-8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confidence: medium</w:t>
      </w:r>
    </w:p>
    <w:p>
      <w:pPr>
        <w:pStyle w:val="Compact"/>
        <w:numPr>
          <w:ilvl w:val="1"/>
          <w:numId w:val="1055"/>
        </w:numPr>
      </w:pPr>
      <w:r>
        <w:t xml:space="preserve">Motiv: En konkret standard föreslås som operationalisering av principen.</w:t>
      </w:r>
    </w:p>
    <w:p>
      <w:pPr>
        <w:pStyle w:val="Compact"/>
        <w:numPr>
          <w:ilvl w:val="1"/>
          <w:numId w:val="1055"/>
        </w:numPr>
      </w:pPr>
      <w:r>
        <w:t xml:space="preserve">Härledd från: PRN-001</w:t>
      </w:r>
    </w:p>
    <w:p>
      <w:r>
        <w:br w:type="page"/>
      </w:r>
    </w:p>
    <w:bookmarkEnd w:id="95"/>
    <w:bookmarkEnd w:id="96"/>
    <w:bookmarkEnd w:id="97"/>
    <w:bookmarkStart w:id="108" w:name="lösningsmönster"/>
    <w:p>
      <w:pPr>
        <w:pStyle w:val="Heading1"/>
      </w:pPr>
      <w:r>
        <w:t xml:space="preserve">Lösningsmönster</w:t>
      </w:r>
    </w:p>
    <w:p>
      <w:pPr>
        <w:pStyle w:val="FirstParagraph"/>
      </w:pPr>
      <w:r>
        <w:t xml:space="preserve">Denna katalog visar lösningsmönster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Problem/kontext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Standardiserad applikationskörning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 bygger annars egna körmiljöer för likartade behov. / IT-stöd som kan köras på den gemensamma plattformen.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107" w:name="standardiserad-applikationskörning"/>
    <w:p>
      <w:pPr>
        <w:pStyle w:val="Heading2"/>
      </w:pPr>
      <w:r>
        <w:t xml:space="preserve">Standardiserad applikationskörning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PAT-001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solution_pattern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98" w:name="beskrivning-9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Återanvändbart mönster för att låta IT-stöd konsumera en gemensam körmiljö via en plattformstjänst.</w:t>
      </w:r>
    </w:p>
    <w:bookmarkEnd w:id="98"/>
    <w:bookmarkStart w:id="99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Projekt bygger annars egna körmiljöer för likartade behov.</w:t>
      </w:r>
    </w:p>
    <w:bookmarkEnd w:id="99"/>
    <w:bookmarkStart w:id="100" w:name="kontext"/>
    <w:p>
      <w:pPr>
        <w:pStyle w:val="Heading3"/>
      </w:pPr>
      <w:r>
        <w:t xml:space="preserve">Kontext</w:t>
      </w:r>
    </w:p>
    <w:p>
      <w:pPr>
        <w:pStyle w:val="FirstParagraph"/>
      </w:pPr>
      <w:r>
        <w:t xml:space="preserve">IT-stöd som kan köras på den gemensamma plattformen.</w:t>
      </w:r>
    </w:p>
    <w:bookmarkEnd w:id="100"/>
    <w:bookmarkStart w:id="101" w:name="angreppssätt"/>
    <w:p>
      <w:pPr>
        <w:pStyle w:val="Heading3"/>
      </w:pPr>
      <w:r>
        <w:t xml:space="preserve">Angreppssätt</w:t>
      </w:r>
    </w:p>
    <w:p>
      <w:pPr>
        <w:pStyle w:val="FirstParagraph"/>
      </w:pPr>
      <w:r>
        <w:t xml:space="preserve">Konsumera den standardiserade containerplattformstjänsten och följ tillhörande standarder.</w:t>
      </w:r>
    </w:p>
    <w:bookmarkEnd w:id="101"/>
    <w:bookmarkStart w:id="102" w:name="konsekvenser"/>
    <w:p>
      <w:pPr>
        <w:pStyle w:val="Heading3"/>
      </w:pPr>
      <w:r>
        <w:t xml:space="preserve">Konsekvenser</w:t>
      </w:r>
    </w:p>
    <w:p>
      <w:pPr>
        <w:pStyle w:val="Compact"/>
        <w:numPr>
          <w:ilvl w:val="0"/>
          <w:numId w:val="1057"/>
        </w:numPr>
      </w:pPr>
      <w:r>
        <w:t xml:space="preserve">Mindre projektspecifik infrastruktur.</w:t>
      </w:r>
    </w:p>
    <w:p>
      <w:pPr>
        <w:pStyle w:val="Compact"/>
        <w:numPr>
          <w:ilvl w:val="0"/>
          <w:numId w:val="1057"/>
        </w:numPr>
      </w:pPr>
      <w:r>
        <w:t xml:space="preserve">Beroende av plattformstjänstens erbjudande och livscykel.</w:t>
      </w:r>
    </w:p>
    <w:bookmarkEnd w:id="102"/>
    <w:bookmarkStart w:id="105" w:name="relationer-9"/>
    <w:p>
      <w:pPr>
        <w:pStyle w:val="Heading3"/>
      </w:pPr>
      <w:r>
        <w:t xml:space="preserve">Relationer</w:t>
      </w:r>
    </w:p>
    <w:bookmarkStart w:id="103" w:name="härleds-från-derived_from"/>
    <w:p>
      <w:pPr>
        <w:pStyle w:val="Heading4"/>
      </w:pPr>
      <w:r>
        <w:t xml:space="preserve">Härleds från (</w:t>
      </w:r>
      <w:r>
        <w:rPr>
          <w:rStyle w:val="VerbatimChar"/>
        </w:rPr>
        <w:t xml:space="preserve">derived_from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t xml:space="preserve">Gemensamma behov realiseras som återanvändbara tjänster (</w:t>
      </w:r>
      <w:r>
        <w:rPr>
          <w:rStyle w:val="VerbatimChar"/>
        </w:rPr>
        <w:t xml:space="preserve">PRN-001</w:t>
      </w:r>
      <w:r>
        <w:t xml:space="preserve">)</w:t>
      </w:r>
    </w:p>
    <w:bookmarkEnd w:id="103"/>
    <w:bookmarkStart w:id="104" w:name="realiserar-realized_by-1"/>
    <w:p>
      <w:pPr>
        <w:pStyle w:val="Heading4"/>
      </w:pPr>
      <w:r>
        <w:t xml:space="preserve">Realiserar (</w:t>
      </w:r>
      <w:r>
        <w:rPr>
          <w:rStyle w:val="VerbatimChar"/>
        </w:rPr>
        <w:t xml:space="preserve">realized_by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t xml:space="preserve">Referensarkitektur för gemensam applikationskörning (</w:t>
      </w:r>
      <w:r>
        <w:rPr>
          <w:rStyle w:val="VerbatimChar"/>
        </w:rPr>
        <w:t xml:space="preserve">RA-001</w:t>
      </w:r>
      <w:r>
        <w:t xml:space="preserve">)</w:t>
      </w:r>
    </w:p>
    <w:bookmarkEnd w:id="104"/>
    <w:bookmarkEnd w:id="105"/>
    <w:bookmarkStart w:id="106" w:name="proveniens-9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confidence: medium</w:t>
      </w:r>
    </w:p>
    <w:p>
      <w:pPr>
        <w:pStyle w:val="Compact"/>
        <w:numPr>
          <w:ilvl w:val="1"/>
          <w:numId w:val="1061"/>
        </w:numPr>
      </w:pPr>
      <w:r>
        <w:t xml:space="preserve">Motiv: Mönstret exemplifierar hur princip och standard kan omsättas återanvändbart.</w:t>
      </w:r>
    </w:p>
    <w:p>
      <w:pPr>
        <w:pStyle w:val="Compact"/>
        <w:numPr>
          <w:ilvl w:val="1"/>
          <w:numId w:val="1061"/>
        </w:numPr>
      </w:pPr>
      <w:r>
        <w:t xml:space="preserve">Härledd från: PRN-001, STD-001</w:t>
      </w:r>
    </w:p>
    <w:p>
      <w:r>
        <w:br w:type="page"/>
      </w:r>
    </w:p>
    <w:bookmarkEnd w:id="106"/>
    <w:bookmarkEnd w:id="107"/>
    <w:bookmarkEnd w:id="108"/>
    <w:bookmarkStart w:id="118" w:name="referensarkitekturer"/>
    <w:p>
      <w:pPr>
        <w:pStyle w:val="Heading1"/>
      </w:pPr>
      <w:r>
        <w:t xml:space="preserve">Referensarkitekturer</w:t>
      </w:r>
    </w:p>
    <w:p>
      <w:pPr>
        <w:pStyle w:val="FirstParagraph"/>
      </w:pPr>
      <w:r>
        <w:t xml:space="preserve">Denna katalog visar referensarkitekturer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Scope/tillämpbarhet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Referensarkitektur för gemensam applikationskörning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Gemensam applikationskörning / IT-stöd som lämpar sig för containeriserad körning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</w:tbl>
    <w:bookmarkStart w:id="117" w:name="X3c0d1093bed88c923f80a9c9c9754b532130bb7"/>
    <w:p>
      <w:pPr>
        <w:pStyle w:val="Heading2"/>
      </w:pPr>
      <w:r>
        <w:t xml:space="preserve">Referensarkitektur för gemensam applikationskörning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RA-001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reference_architecture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candidate</w:t>
      </w:r>
    </w:p>
    <w:bookmarkStart w:id="109" w:name="beskrivning-10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Vägledande referensarkitektur för hur IT-stöd kan använda gemensamma plattformstjänster för applikationskörning.</w:t>
      </w:r>
    </w:p>
    <w:bookmarkEnd w:id="109"/>
    <w:bookmarkStart w:id="110" w:name="omfattning-och-tillämpbarhet"/>
    <w:p>
      <w:pPr>
        <w:pStyle w:val="Heading3"/>
      </w:pPr>
      <w:r>
        <w:t xml:space="preserve">Omfattning och tillämpbarhet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Gemensam applikationskörning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applicability:</w:t>
      </w:r>
      <w:r>
        <w:t xml:space="preserve"> </w:t>
      </w:r>
      <w:r>
        <w:t xml:space="preserve">IT-stöd som lämpar sig för containeriserad körning</w:t>
      </w:r>
    </w:p>
    <w:bookmarkEnd w:id="110"/>
    <w:bookmarkStart w:id="111" w:name="byggblock"/>
    <w:p>
      <w:pPr>
        <w:pStyle w:val="Heading3"/>
      </w:pPr>
      <w:r>
        <w:t xml:space="preserve">Byggblock</w:t>
      </w:r>
    </w:p>
    <w:p>
      <w:pPr>
        <w:pStyle w:val="Compact"/>
        <w:numPr>
          <w:ilvl w:val="0"/>
          <w:numId w:val="1064"/>
        </w:numPr>
      </w:pPr>
      <w:r>
        <w:t xml:space="preserve">IT-stöd</w:t>
      </w:r>
    </w:p>
    <w:p>
      <w:pPr>
        <w:pStyle w:val="Compact"/>
        <w:numPr>
          <w:ilvl w:val="0"/>
          <w:numId w:val="1064"/>
        </w:numPr>
      </w:pPr>
      <w:r>
        <w:t xml:space="preserve">Containerplattformstjänst</w:t>
      </w:r>
    </w:p>
    <w:p>
      <w:pPr>
        <w:pStyle w:val="Compact"/>
        <w:numPr>
          <w:ilvl w:val="0"/>
          <w:numId w:val="1064"/>
        </w:numPr>
      </w:pPr>
      <w:r>
        <w:t xml:space="preserve">Containerplattform</w:t>
      </w:r>
    </w:p>
    <w:bookmarkEnd w:id="111"/>
    <w:bookmarkStart w:id="112" w:name="vägledning"/>
    <w:p>
      <w:pPr>
        <w:pStyle w:val="Heading3"/>
      </w:pPr>
      <w:r>
        <w:t xml:space="preserve">Vägledning</w:t>
      </w:r>
    </w:p>
    <w:p>
      <w:pPr>
        <w:pStyle w:val="Compact"/>
        <w:numPr>
          <w:ilvl w:val="0"/>
          <w:numId w:val="1065"/>
        </w:numPr>
      </w:pPr>
      <w:r>
        <w:t xml:space="preserve">Konsumera tjänsten framför att koppla direkt mot plattformens interna implementation.</w:t>
      </w:r>
    </w:p>
    <w:bookmarkEnd w:id="112"/>
    <w:bookmarkStart w:id="115" w:name="relationer-10"/>
    <w:p>
      <w:pPr>
        <w:pStyle w:val="Heading3"/>
      </w:pPr>
      <w:r>
        <w:t xml:space="preserve">Relationer</w:t>
      </w:r>
    </w:p>
    <w:bookmarkStart w:id="113" w:name="realiseras-av-realized_by-1"/>
    <w:p>
      <w:pPr>
        <w:pStyle w:val="Heading4"/>
      </w:pPr>
      <w:r>
        <w:t xml:space="preserve">Realiseras av (</w:t>
      </w:r>
      <w:r>
        <w:rPr>
          <w:rStyle w:val="VerbatimChar"/>
        </w:rPr>
        <w:t xml:space="preserve">realized_by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t xml:space="preserve">Standardiserad applikationskörning (</w:t>
      </w:r>
      <w:r>
        <w:rPr>
          <w:rStyle w:val="VerbatimChar"/>
        </w:rPr>
        <w:t xml:space="preserve">PAT-001</w:t>
      </w:r>
      <w:r>
        <w:t xml:space="preserve">)</w:t>
      </w:r>
    </w:p>
    <w:bookmarkEnd w:id="113"/>
    <w:bookmarkStart w:id="114" w:name="relaterar-till-related_to-1"/>
    <w:p>
      <w:pPr>
        <w:pStyle w:val="Heading4"/>
      </w:pPr>
      <w:r>
        <w:t xml:space="preserve">Relaterar till (</w:t>
      </w:r>
      <w:r>
        <w:rPr>
          <w:rStyle w:val="VerbatimChar"/>
        </w:rPr>
        <w:t xml:space="preserve">related_to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t xml:space="preserve">Driftsätta och köra applikationer (</w:t>
      </w:r>
      <w:r>
        <w:rPr>
          <w:rStyle w:val="VerbatimChar"/>
        </w:rPr>
        <w:t xml:space="preserve">CAP-002</w:t>
      </w:r>
      <w:r>
        <w:t xml:space="preserve">)</w:t>
      </w:r>
    </w:p>
    <w:bookmarkEnd w:id="114"/>
    <w:bookmarkEnd w:id="115"/>
    <w:bookmarkStart w:id="116" w:name="proveniens-10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confidence: medium</w:t>
      </w:r>
    </w:p>
    <w:p>
      <w:pPr>
        <w:pStyle w:val="Compact"/>
        <w:numPr>
          <w:ilvl w:val="1"/>
          <w:numId w:val="1069"/>
        </w:numPr>
      </w:pPr>
      <w:r>
        <w:t xml:space="preserve">Motiv: Referensarkitekturen sammanför exempelmodellens återanvändbara styrning och realisering.</w:t>
      </w:r>
    </w:p>
    <w:p>
      <w:pPr>
        <w:pStyle w:val="Compact"/>
        <w:numPr>
          <w:ilvl w:val="1"/>
          <w:numId w:val="1069"/>
        </w:numPr>
      </w:pPr>
      <w:r>
        <w:t xml:space="preserve">Härledd från: PAT-001, PRN-001</w:t>
      </w:r>
    </w:p>
    <w:bookmarkEnd w:id="116"/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sv-S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EA-modell</dc:title>
  <dc:creator/>
  <dc:language>sv-SE</dc:language>
  <cp:keywords/>
  <dcterms:created xsi:type="dcterms:W3CDTF">2026-08-20T16:34:39Z</dcterms:created>
  <dcterms:modified xsi:type="dcterms:W3CDTF">2026-08-20T16:34:39Z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Enterprise Architecture-dokumentation</vt:lpwstr>
  </property>
  <property fmtid="{D5CDD505-2E9C-101B-9397-08002B2CF9AE}" pid="3" name="toc-title">
    <vt:lpwstr>Innehåll</vt:lpwstr>
  </property>
</Properties>
</file>