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t xml:space="preserve"> </w:t>
      </w:r>
      <w:r>
        <w:t xml:space="preserve">2026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Егор</w:t>
      </w:r>
      <w:r>
        <w:t xml:space="preserve"> </w:t>
      </w:r>
      <w:r>
        <w:t xml:space="preserve">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лабораторной работы №1:</w:t>
      </w:r>
    </w:p>
    <w:p>
      <w:pPr>
        <w:pStyle w:val="BodyText"/>
      </w:pPr>
      <w:r>
        <w:t xml:space="preserve">Освоение методологии воспроизводимых научных исследований на языке Julia путём создания структурированного рабочего пространства и реализации модели экспоненциального роста.</w:t>
      </w:r>
    </w:p>
    <w:p>
      <w:pPr>
        <w:pStyle w:val="BodyText"/>
      </w:pPr>
      <w:r>
        <w:t xml:space="preserve">Конкретные задачи:</w:t>
      </w:r>
      <w:r>
        <w:t xml:space="preserve"> </w:t>
      </w:r>
      <w:r>
        <w:t xml:space="preserve">1. Настройка программного стенда в Fedora Linux с соблюдением стандартов инженерии (SemVer, Conventional Commits, Gitflow, Denote).</w:t>
      </w:r>
      <w:r>
        <w:t xml:space="preserve"> </w:t>
      </w:r>
      <w:r>
        <w:t xml:space="preserve">2. Организация проекта с использованием фреймворка DrWatson.jl для управления данными, параметрами и артефактами.</w:t>
      </w:r>
      <w:r>
        <w:t xml:space="preserve"> </w:t>
      </w:r>
      <w:r>
        <w:t xml:space="preserve">3. Применение подхода литературного программирования (Literate.jl) для одновременной разработки исполняемого кода, Jupyter-ноутбуков и документации Quarto.</w:t>
      </w:r>
      <w:r>
        <w:t xml:space="preserve"> </w:t>
      </w:r>
      <w:r>
        <w:t xml:space="preserve">4. Численное исследование дифференциальной модели du/dt = αu, включая параметрическое сканирование по скорости роста α и бенчмаркинг производительности решателя.</w:t>
      </w:r>
      <w:r>
        <w:t xml:space="preserve"> </w:t>
      </w:r>
      <w:r>
        <w:t xml:space="preserve">5. Формирование финального отчёта через автоматическую интеграцию вычислительных результатов в документацию Quarto.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Настройка программного стенда в Fedora Linux с соблюдением стандартов инженерии (SemVer, Conventional Commits, Gitflow, Denote).</w:t>
      </w:r>
    </w:p>
    <w:p>
      <w:pPr>
        <w:numPr>
          <w:ilvl w:val="0"/>
          <w:numId w:val="1001"/>
        </w:numPr>
        <w:pStyle w:val="Compact"/>
      </w:pPr>
      <w:r>
        <w:t xml:space="preserve">Организация проекта с использованием фреймворка DrWatson.jl для управления данными, параметрами и артефактами.</w:t>
      </w:r>
    </w:p>
    <w:p>
      <w:pPr>
        <w:numPr>
          <w:ilvl w:val="0"/>
          <w:numId w:val="1001"/>
        </w:numPr>
        <w:pStyle w:val="Compact"/>
      </w:pPr>
      <w:r>
        <w:t xml:space="preserve">Применение подхода литературного программирования (Literate.jl) для одновременной разработки исполняемого кода, Jupyter-ноутбуков и документации Quarto.</w:t>
      </w:r>
    </w:p>
    <w:p>
      <w:pPr>
        <w:numPr>
          <w:ilvl w:val="0"/>
          <w:numId w:val="1001"/>
        </w:numPr>
        <w:pStyle w:val="Compact"/>
      </w:pPr>
      <w:r>
        <w:t xml:space="preserve">Численное исследование дифференциальной модели du/dt = αu, включая параметрическое сканирование по скорости роста α и бенчмаркинг производительности решателя.</w:t>
      </w:r>
    </w:p>
    <w:p>
      <w:pPr>
        <w:numPr>
          <w:ilvl w:val="0"/>
          <w:numId w:val="1001"/>
        </w:numPr>
        <w:pStyle w:val="Compact"/>
      </w:pPr>
      <w:r>
        <w:t xml:space="preserve">Формирование финального отчёта через автоматическую интеграцию вычислительных результатов в документацию Quarto.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Теоретическое введение (кратко):</w:t>
      </w:r>
    </w:p>
    <w:p>
      <w:pPr>
        <w:numPr>
          <w:ilvl w:val="0"/>
          <w:numId w:val="1002"/>
        </w:numPr>
        <w:pStyle w:val="Compact"/>
      </w:pPr>
      <w:r>
        <w:t xml:space="preserve">Инженерные стандарты:</w:t>
      </w:r>
    </w:p>
    <w:p>
      <w:pPr>
        <w:numPr>
          <w:ilvl w:val="1"/>
          <w:numId w:val="1003"/>
        </w:numPr>
        <w:pStyle w:val="Compact"/>
      </w:pPr>
      <w:r>
        <w:t xml:space="preserve">SemVer: управление версиями (MAJOR.MINOR.PATCH) для контроля совместимости API.</w:t>
      </w:r>
    </w:p>
    <w:p>
      <w:pPr>
        <w:numPr>
          <w:ilvl w:val="1"/>
          <w:numId w:val="1003"/>
        </w:numPr>
        <w:pStyle w:val="Compact"/>
      </w:pPr>
      <w:r>
        <w:t xml:space="preserve">Conventional Commits: стандартизация сообщений коммитов (feat, fix, chore) для автогенерации CHANGELOG.</w:t>
      </w:r>
    </w:p>
    <w:p>
      <w:pPr>
        <w:numPr>
          <w:ilvl w:val="1"/>
          <w:numId w:val="1003"/>
        </w:numPr>
        <w:pStyle w:val="Compact"/>
      </w:pPr>
      <w:r>
        <w:t xml:space="preserve">Gitflow: модель ветвления (master, develop, feature, release, hotfix) для организации релизного цикла.</w:t>
      </w:r>
    </w:p>
    <w:p>
      <w:pPr>
        <w:numPr>
          <w:ilvl w:val="1"/>
          <w:numId w:val="1003"/>
        </w:numPr>
        <w:pStyle w:val="Compact"/>
      </w:pPr>
      <w:r>
        <w:t xml:space="preserve">Denote: схема именования файлов (DATE==CAT–TITLE__KEYS) для уникальности и машиночитаемости.</w:t>
      </w:r>
    </w:p>
    <w:p>
      <w:pPr>
        <w:numPr>
          <w:ilvl w:val="0"/>
          <w:numId w:val="1002"/>
        </w:numPr>
        <w:pStyle w:val="Compact"/>
      </w:pPr>
      <w:r>
        <w:t xml:space="preserve">Литературное программирование (Literate.jl):</w:t>
      </w:r>
    </w:p>
    <w:p>
      <w:pPr>
        <w:numPr>
          <w:ilvl w:val="1"/>
          <w:numId w:val="1004"/>
        </w:numPr>
        <w:pStyle w:val="Compact"/>
      </w:pPr>
      <w:r>
        <w:t xml:space="preserve">Подход, где код и документация находятся в одном .jl-файле (# = Markdown).</w:t>
      </w:r>
    </w:p>
    <w:p>
      <w:pPr>
        <w:numPr>
          <w:ilvl w:val="1"/>
          <w:numId w:val="1004"/>
        </w:numPr>
        <w:pStyle w:val="Compact"/>
      </w:pPr>
      <w:r>
        <w:t xml:space="preserve">Автоматическая генерация чистого кода, Jupyter Notebook (.ipynb) и Quarto (.qmd) из единого источника.</w:t>
      </w:r>
    </w:p>
    <w:p>
      <w:pPr>
        <w:numPr>
          <w:ilvl w:val="0"/>
          <w:numId w:val="1002"/>
        </w:numPr>
        <w:pStyle w:val="Compact"/>
      </w:pPr>
      <w:r>
        <w:t xml:space="preserve">Организация проектов (DrWatson.jl):</w:t>
      </w:r>
    </w:p>
    <w:p>
      <w:pPr>
        <w:numPr>
          <w:ilvl w:val="1"/>
          <w:numId w:val="1005"/>
        </w:numPr>
        <w:pStyle w:val="Compact"/>
      </w:pPr>
      <w:r>
        <w:t xml:space="preserve">Фреймворк для воспроизводимых исследований.</w:t>
      </w:r>
    </w:p>
    <w:p>
      <w:pPr>
        <w:numPr>
          <w:ilvl w:val="1"/>
          <w:numId w:val="1005"/>
        </w:numPr>
        <w:pStyle w:val="Compact"/>
      </w:pPr>
      <w:r>
        <w:t xml:space="preserve">Стандартизированная структура (data/, scripts/, plots/).</w:t>
      </w:r>
    </w:p>
    <w:p>
      <w:pPr>
        <w:numPr>
          <w:ilvl w:val="1"/>
          <w:numId w:val="1005"/>
        </w:numPr>
        <w:pStyle w:val="Compact"/>
      </w:pPr>
      <w:r>
        <w:t xml:space="preserve">Функция produce_or_load для кэширования результатов и привязки данных к параметрам/Git-коммитам.</w:t>
      </w:r>
    </w:p>
    <w:p>
      <w:pPr>
        <w:numPr>
          <w:ilvl w:val="0"/>
          <w:numId w:val="1002"/>
        </w:numPr>
        <w:pStyle w:val="Compact"/>
      </w:pPr>
      <w:r>
        <w:t xml:space="preserve">Математическая модель:</w:t>
      </w:r>
    </w:p>
    <w:p>
      <w:pPr>
        <w:numPr>
          <w:ilvl w:val="1"/>
          <w:numId w:val="1006"/>
        </w:numPr>
        <w:pStyle w:val="Compact"/>
      </w:pPr>
      <w:r>
        <w:t xml:space="preserve">Уравнение экспоненциального роста: du/dt = αu.</w:t>
      </w:r>
    </w:p>
    <w:p>
      <w:pPr>
        <w:numPr>
          <w:ilvl w:val="1"/>
          <w:numId w:val="1006"/>
        </w:numPr>
        <w:pStyle w:val="Compact"/>
      </w:pPr>
      <w:r>
        <w:t xml:space="preserve">Аналитическое решение: u(t) = u₀e^(αt).</w:t>
      </w:r>
    </w:p>
    <w:p>
      <w:pPr>
        <w:numPr>
          <w:ilvl w:val="1"/>
          <w:numId w:val="1006"/>
        </w:numPr>
        <w:pStyle w:val="Compact"/>
      </w:pPr>
      <w:r>
        <w:t xml:space="preserve">Время удвоения: T₂ = ln(2)/α ≈ 0.693/α.</w:t>
      </w:r>
    </w:p>
    <w:p>
      <w:pPr>
        <w:numPr>
          <w:ilvl w:val="1"/>
          <w:numId w:val="1006"/>
        </w:numPr>
        <w:pStyle w:val="Compact"/>
      </w:pPr>
      <w:r>
        <w:t xml:space="preserve">Применение: биология, финансы, эпидемиология; проверка численного решения через сравнение с аналитической формулой.</w:t>
      </w:r>
    </w:p>
    <w:bookmarkEnd w:id="22"/>
    <w:bookmarkStart w:id="9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Согласно п. 1.9.1 методички в каталоге labs/lab01/project было активировано изолированное окружение проекта DrWatson с помощью команды Pkg.activate(</w:t>
      </w:r>
      <w:r>
        <w:t xml:space="preserve">“</w:t>
      </w:r>
      <w:r>
        <w:t xml:space="preserve">.</w:t>
      </w:r>
      <w:r>
        <w:t xml:space="preserve">”</w:t>
      </w:r>
      <w:r>
        <w:t xml:space="preserve">). Система успешно распознала проект по указанному пути и начала разрешение зависимостей, что гарантирует воспроизводимость стенда и изоляцию версий пакетов от глобальной системы Julia (рис. 1).</w:t>
      </w:r>
    </w:p>
    <w:p>
      <w:pPr>
        <w:pStyle w:val="CaptionedFigure"/>
      </w:pPr>
      <w:r>
        <w:drawing>
          <wp:inline>
            <wp:extent cx="3733800" cy="1122890"/>
            <wp:effectExtent b="0" l="0" r="0" t="0"/>
            <wp:docPr descr="Рис. 1: Активация проекта DrWatson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2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Активация проекта DrWatson</w:t>
      </w:r>
    </w:p>
    <w:p>
      <w:pPr>
        <w:pStyle w:val="BodyText"/>
      </w:pPr>
      <w:r>
        <w:t xml:space="preserve">Выполнена массовая установка 10 ключевых пакетов согласно п. 1.9.2 методички. Система начала загрузку манифестов версий. Пакеты включают средства организации кода (DrWatson), численного решения ОДУ (DifferentialEquations), визуализации (Plots) и литературного программирования (Literate) (рис. 2).</w:t>
      </w:r>
    </w:p>
    <w:p>
      <w:pPr>
        <w:pStyle w:val="CaptionedFigure"/>
      </w:pPr>
      <w:r>
        <w:drawing>
          <wp:inline>
            <wp:extent cx="3733800" cy="1033585"/>
            <wp:effectExtent b="0" l="0" r="0" t="0"/>
            <wp:docPr descr="Рис. 2: Установка базовых пакет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базовых пакетов</w:t>
      </w:r>
    </w:p>
    <w:p>
      <w:pPr>
        <w:pStyle w:val="BodyText"/>
      </w:pPr>
      <w:r>
        <w:t xml:space="preserve">Julia автоматически подтянула низкоуровневые бинарные зависимости через JLL-пакеты. Загружены математическая библиотека Intel MKL для ускорения линейной алгебры и графические библиотеки Xorg/libdrm, необходимые для корректного рендеринга графиков в операционной системе Fedora Linux (рис. 3).</w:t>
      </w:r>
    </w:p>
    <w:p>
      <w:pPr>
        <w:pStyle w:val="CaptionedFigure"/>
      </w:pPr>
      <w:r>
        <w:drawing>
          <wp:inline>
            <wp:extent cx="3733800" cy="1033585"/>
            <wp:effectExtent b="0" l="0" r="0" t="0"/>
            <wp:docPr descr="Рис. 3: Загрузка системных артефакт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Загрузка системных артефактов</w:t>
      </w:r>
    </w:p>
    <w:p>
      <w:pPr>
        <w:pStyle w:val="BodyText"/>
      </w:pPr>
      <w:r>
        <w:t xml:space="preserve">Началась критическая фаза подготовки стенда — прекомпиляция сложных научных пакетов PureKLU, MKL_jll, HTTP, CSV и IJulia. Прогресс-бар показывает глубокую проработку графа зависимостей на этапе 156 из 269, что необходимо для формирования исполняемых файлов .ji (рис. 4).</w:t>
      </w:r>
    </w:p>
    <w:p>
      <w:pPr>
        <w:pStyle w:val="CaptionedFigure"/>
      </w:pPr>
      <w:r>
        <w:drawing>
          <wp:inline>
            <wp:extent cx="3733800" cy="1033585"/>
            <wp:effectExtent b="0" l="0" r="0" t="0"/>
            <wp:docPr descr="Рис. 4: Прекомпиляция тяжёлых модулей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Прекомпиляция тяжёлых модулей</w:t>
      </w:r>
    </w:p>
    <w:p>
      <w:pPr>
        <w:pStyle w:val="BodyText"/>
      </w:pPr>
      <w:r>
        <w:t xml:space="preserve">Процесс сборки программного окружения завершён успешно. Двести сорок восемь зависимостей были взяты из кэша, три новых скомпилированы за четыре секунды. Стенд полностью готов к выполнению пунктов 1.10–1.11 методички, а предупреждение о версиях является штатным и устраняется перезапуском сессии (рис. 5).</w:t>
      </w:r>
    </w:p>
    <w:p>
      <w:pPr>
        <w:pStyle w:val="CaptionedFigure"/>
      </w:pPr>
      <w:r>
        <w:drawing>
          <wp:inline>
            <wp:extent cx="3733800" cy="1033585"/>
            <wp:effectExtent b="0" l="0" r="0" t="0"/>
            <wp:docPr descr="Рис. 5: Финализация прекомпиляции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Финализация прекомпиляции</w:t>
      </w:r>
    </w:p>
    <w:p>
      <w:pPr>
        <w:pStyle w:val="BodyText"/>
      </w:pPr>
      <w:r>
        <w:t xml:space="preserve">В каталоге scripts/ обнаружен только файл intro.jl, поэтому с помощью редактора nano создан новый литературный скрипт 01_exponential_growth.jl согласно п. 1.10.3.1 методички. Файл содержит базовую модель экспоненциального роста с Markdown-комментариями для последующей генерации документации (рис. 6).</w:t>
      </w:r>
    </w:p>
    <w:p>
      <w:pPr>
        <w:pStyle w:val="CaptionedFigure"/>
      </w:pPr>
      <w:r>
        <w:drawing>
          <wp:inline>
            <wp:extent cx="3733800" cy="1033585"/>
            <wp:effectExtent b="0" l="0" r="0" t="0"/>
            <wp:docPr descr="Рис. 6: Создание и редактирование скрипт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и редактирование скрипта</w:t>
      </w:r>
    </w:p>
    <w:p>
      <w:pPr>
        <w:pStyle w:val="BodyText"/>
      </w:pPr>
      <w:r>
        <w:t xml:space="preserve">Скрипт 01_exponential_growth.jl успешно выполнен с параметром –project=. Выведены первые пять строк результатов DataFrame: при альфа равном 0.3 популяция растёт с единицы до примерно 1.1275 за 0.4 единицы времени. Вычислено аналитическое время удвоения равное 2.31, что подтверждает корректность модели (рис. 7).</w:t>
      </w:r>
    </w:p>
    <w:p>
      <w:pPr>
        <w:pStyle w:val="CaptionedFigure"/>
      </w:pPr>
      <w:r>
        <w:drawing>
          <wp:inline>
            <wp:extent cx="3733800" cy="1033585"/>
            <wp:effectExtent b="0" l="0" r="0" t="0"/>
            <wp:docPr descr="Рис. 7: Первый запуск модели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Первый запуск модели</w:t>
      </w:r>
    </w:p>
    <w:p>
      <w:pPr>
        <w:pStyle w:val="BodyText"/>
      </w:pPr>
      <w:r>
        <w:t xml:space="preserve">Утилита tangle.jl преобразовала литературный скрипт в три формата согласно п. 1.10.3.3 методички. Сгенерированы чистый код .jl без комментариев, Quarto-документ .qmd для отчёта и Jupyter Notebook .ipynb для интерактивного запуска. Все файлы созданы в соответствующих подкаталогах scripts, markdown и notebooks (рис. 8).</w:t>
      </w:r>
    </w:p>
    <w:p>
      <w:pPr>
        <w:pStyle w:val="CaptionedFigure"/>
      </w:pPr>
      <w:r>
        <w:drawing>
          <wp:inline>
            <wp:extent cx="3733800" cy="1569945"/>
            <wp:effectExtent b="0" l="0" r="0" t="0"/>
            <wp:docPr descr="Рис. 8: Генерация производных форматов Tangle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9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Генерация производных форматов Tangle</w:t>
      </w:r>
    </w:p>
    <w:p>
      <w:pPr>
        <w:pStyle w:val="BodyText"/>
      </w:pPr>
      <w:r>
        <w:t xml:space="preserve">Подтверждено сохранение результатов одиночного запуска в каталоге data/02_exponential_growth/single/. Файл .jld2 содержит параметры эксперимента base_experiment с альфа равным 0.3 и результаты решения ОДУ. Система кэширования DrWatson produce_or_load успешно сработала, создав уникальное имя файла на основе параметров (рис. 9).</w:t>
      </w:r>
    </w:p>
    <w:p>
      <w:pPr>
        <w:pStyle w:val="CaptionedFigure"/>
      </w:pPr>
      <w:r>
        <w:drawing>
          <wp:inline>
            <wp:extent cx="3733800" cy="2428581"/>
            <wp:effectExtent b="0" l="0" r="0" t="0"/>
            <wp:docPr descr="Рис. 9: Результаты базового эксперимент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Результаты базового эксперимента</w:t>
      </w:r>
    </w:p>
    <w:p>
      <w:pPr>
        <w:pStyle w:val="BodyText"/>
      </w:pPr>
      <w:r>
        <w:t xml:space="preserve">В каталоге data/02_exponential_growth/parametric_scan/ находятся пять файлов .jld2, соответствующих значениям альфа из множества 0.1, 0.3, 0.5, 0.8 и 1.0. Это подтверждает успешное выполнение цикла перебора параметров из п. 1.10.4.1 методички, где каждый файл изолирован и может быть загружен независимо (рис. 10).</w:t>
      </w:r>
    </w:p>
    <w:p>
      <w:pPr>
        <w:pStyle w:val="CaptionedFigure"/>
      </w:pPr>
      <w:r>
        <w:drawing>
          <wp:inline>
            <wp:extent cx="3733800" cy="2428581"/>
            <wp:effectExtent b="0" l="0" r="0" t="0"/>
            <wp:docPr descr="Рис. 10: Результаты параметрического сканирования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Результаты параметрического сканирования</w:t>
      </w:r>
    </w:p>
    <w:p>
      <w:pPr>
        <w:pStyle w:val="BodyText"/>
      </w:pPr>
      <w:r>
        <w:t xml:space="preserve">Созданы четыре визуализации согласно заданию в каталоге plots/02_exponential_growth/. Файлы single_experiment.png, parametric_scan_comparison.png, doubling_time_vs_alpha.png и computation_time_vs_alpha.png содержат графики базовой модели, сравнения траекторий, зависимости времени удвоения и бенчмарка производительности (рис. 11).</w:t>
      </w:r>
    </w:p>
    <w:p>
      <w:pPr>
        <w:pStyle w:val="CaptionedFigure"/>
      </w:pPr>
      <w:r>
        <w:drawing>
          <wp:inline>
            <wp:extent cx="3733800" cy="382127"/>
            <wp:effectExtent b="0" l="0" r="0" t="0"/>
            <wp:docPr descr="Рис. 11: Сгенерированные графики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Сгенерированные графики</w:t>
      </w:r>
    </w:p>
    <w:p>
      <w:pPr>
        <w:pStyle w:val="BodyText"/>
      </w:pPr>
      <w:r>
        <w:t xml:space="preserve">Сохранены агрегированные результаты в корневом каталоге данных эксперимента. Файл all_results.jld2 размером 29 КБ содержит сводную таблицу DataFrame со всеми экспериментами и метаданными, а файл all_plots.jld2 размером 267 КБ содержит сериализованные объекты графиков Plots.jl для последующего использования без повторных вычислений (рис. 12).</w:t>
      </w:r>
    </w:p>
    <w:p>
      <w:pPr>
        <w:pStyle w:val="CaptionedFigure"/>
      </w:pPr>
      <w:r>
        <w:drawing>
          <wp:inline>
            <wp:extent cx="3733800" cy="649156"/>
            <wp:effectExtent b="0" l="0" r="0" t="0"/>
            <wp:docPr descr="Рис. 12: Сводные данные и объекты графиков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Сводные данные и объекты графиков</w:t>
      </w:r>
    </w:p>
    <w:p>
      <w:pPr>
        <w:pStyle w:val="BodyText"/>
      </w:pPr>
      <w:r>
        <w:t xml:space="preserve">Утилита Literate.jl успешно преобразовала литературный скрипт 02_exponential_growth.jl в три формата согласно п. 1.10.4.1 методички. Сгенерированы чистый код, Quarto-документ и Jupyter Notebook для параметрического исследования. Сообщение Готово! Все файлы созданы подтверждает отсутствие ошибок (рис. 13).</w:t>
      </w:r>
    </w:p>
    <w:p>
      <w:pPr>
        <w:pStyle w:val="CaptionedFigure"/>
      </w:pPr>
      <w:r>
        <w:drawing>
          <wp:inline>
            <wp:extent cx="3733800" cy="649156"/>
            <wp:effectExtent b="0" l="0" r="0" t="0"/>
            <wp:docPr descr="Рис. 13: Генерация форматов для второго скрипт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Генерация форматов для второго скрипта</w:t>
      </w:r>
    </w:p>
    <w:p>
      <w:pPr>
        <w:pStyle w:val="BodyText"/>
      </w:pPr>
      <w:r>
        <w:t xml:space="preserve">Чистый код без Markdown-комментариев извлечён из литературного скрипта утилитой tangle.jl и сохранён в файле scripts/02_exponential_growth/02_exponential_growth.jl размером 9682 байта. Этот файл предназначен для автономного запуска вне среды литературного программирования (рис. 14).</w:t>
      </w:r>
    </w:p>
    <w:p>
      <w:pPr>
        <w:pStyle w:val="CaptionedFigure"/>
      </w:pPr>
      <w:r>
        <w:drawing>
          <wp:inline>
            <wp:extent cx="3733800" cy="649156"/>
            <wp:effectExtent b="0" l="0" r="0" t="0"/>
            <wp:docPr descr="Рис. 14: Чистый код скрипт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Чистый код скрипта</w:t>
      </w:r>
    </w:p>
    <w:p>
      <w:pPr>
        <w:pStyle w:val="BodyText"/>
      </w:pPr>
      <w:r>
        <w:t xml:space="preserve">Документ в формате Quarto сгенерирован для интеграции описания параметрического исследования в итоговый отчёт. Файл markdown/02_exponential_growth/02_exponential_growth.qmd размером 11909 байт содержит разметку и код для рендеринга финальной документации лабораторной работы (рис. 15).</w:t>
      </w:r>
    </w:p>
    <w:p>
      <w:pPr>
        <w:pStyle w:val="CaptionedFigure"/>
      </w:pPr>
      <w:r>
        <w:drawing>
          <wp:inline>
            <wp:extent cx="3733800" cy="2156948"/>
            <wp:effectExtent b="0" l="0" r="0" t="0"/>
            <wp:docPr descr="Рис. 15: Quarto документ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Quarto документ</w:t>
      </w:r>
    </w:p>
    <w:p>
      <w:pPr>
        <w:pStyle w:val="BodyText"/>
      </w:pPr>
      <w:r>
        <w:t xml:space="preserve">Jupyter Notebook создан для интерактивного выполнения и визуализации результатов сканирования параметров. Файл notebooks/02_exponential_growth/02_exponential_growth.ipynb размером 18396 байт позволяет исследовать модель в браузере с возможностью пошагового выполнения ячеек (рис. 16).</w:t>
      </w:r>
    </w:p>
    <w:p>
      <w:pPr>
        <w:pStyle w:val="CaptionedFigure"/>
      </w:pPr>
      <w:r>
        <w:drawing>
          <wp:inline>
            <wp:extent cx="3733800" cy="492622"/>
            <wp:effectExtent b="0" l="0" r="0" t="0"/>
            <wp:docPr descr="Рис. 16: Jupyter Notebook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Jupyter Notebook</w:t>
      </w:r>
    </w:p>
    <w:p>
      <w:pPr>
        <w:pStyle w:val="BodyText"/>
      </w:pPr>
      <w:r>
        <w:t xml:space="preserve">В интерфейсе Jupyter Notebook выполнена инициализация среды DrWatson, определение модели экспоненциального роста и настройка базовых параметров эксперимента. Ячейки с кодом using DifferentialEquations и function exponential_growth! демонстрируют структуру литературного программирования в интерактивной среде (рис. 17).</w:t>
      </w:r>
    </w:p>
    <w:p>
      <w:pPr>
        <w:pStyle w:val="CaptionedFigure"/>
      </w:pPr>
      <w:r>
        <w:drawing>
          <wp:inline>
            <wp:extent cx="3733800" cy="492622"/>
            <wp:effectExtent b="0" l="0" r="0" t="0"/>
            <wp:docPr descr="Рис. 17: Запуск ноутбука ячейки 1-5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ноутбука ячейки 1-5</w:t>
      </w:r>
    </w:p>
    <w:p>
      <w:pPr>
        <w:pStyle w:val="BodyText"/>
      </w:pPr>
      <w:r>
        <w:t xml:space="preserve">Выполнен расчёт решения ОДУ при альфа равном 0.3 в среде Jupyter Notebook. Артефакты сохранены через функцию produce_or_load, отображён график экспоненциального роста популяции u(t) от времени t, подтверждающий корректность численного метода Tsit5() (рис. 18).</w:t>
      </w:r>
    </w:p>
    <w:p>
      <w:pPr>
        <w:pStyle w:val="CaptionedFigure"/>
      </w:pPr>
      <w:r>
        <w:drawing>
          <wp:inline>
            <wp:extent cx="3733800" cy="492622"/>
            <wp:effectExtent b="0" l="0" r="0" t="0"/>
            <wp:docPr descr="Рис. 18: Выполнение базового эксперимента в ноутбуке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2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Выполнение базового эксперимента в ноутбуке</w:t>
      </w:r>
    </w:p>
    <w:p>
      <w:pPr>
        <w:pStyle w:val="BodyText"/>
      </w:pPr>
      <w:r>
        <w:t xml:space="preserve">Построен ключевой аналитический график зависимости времени удвоения от параметра альфа. Численные точки красным цветом идеально совпадают с теоретической кривой t2 равно ln(2)/альфа синим пунктиром, что подтверждает точность численного решателя и правильность реализации модели (рис. 19).</w:t>
      </w:r>
    </w:p>
    <w:p>
      <w:pPr>
        <w:pStyle w:val="CaptionedFigure"/>
      </w:pPr>
      <w:r>
        <w:drawing>
          <wp:inline>
            <wp:extent cx="3733800" cy="2065258"/>
            <wp:effectExtent b="0" l="0" r="0" t="0"/>
            <wp:docPr descr="Рис. 19: Визуализация зависимости времени удвоения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Визуализация зависимости времени удвоения</w:t>
      </w:r>
    </w:p>
    <w:p>
      <w:pPr>
        <w:pStyle w:val="BodyText"/>
      </w:pPr>
      <w:r>
        <w:t xml:space="preserve">Выполнен цикл по всем комбинациям параметров из param_grid с использованием функции produce_or_load для загрузки кэшированных данных. Результаты собраны в сводную таблицу results_df типа DataFrame и подготовлены для построения сравнительного графика всех траекторий роста (рис. 20).</w:t>
      </w:r>
    </w:p>
    <w:p>
      <w:pPr>
        <w:pStyle w:val="CaptionedFigure"/>
      </w:pPr>
      <w:r>
        <w:drawing>
          <wp:inline>
            <wp:extent cx="3733800" cy="2065258"/>
            <wp:effectExtent b="0" l="0" r="0" t="0"/>
            <wp:docPr descr="Рис. 20: Параметрическое сканирование и анализ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Параметрическое сканирование и анализ</w:t>
      </w:r>
    </w:p>
    <w:p>
      <w:pPr>
        <w:pStyle w:val="BodyText"/>
      </w:pPr>
      <w:r>
        <w:t xml:space="preserve">Выполнено измерение времени вычислений для каждого значения альфа с помощью макроса</w:t>
      </w:r>
      <w:r>
        <w:t xml:space="preserve"> </w:t>
      </w:r>
      <w:r>
        <w:t xml:space="preserve">[</w:t>
      </w:r>
      <w:r>
        <w:rPr>
          <w:bCs/>
          <w:b/>
        </w:rPr>
        <w:t xml:space="preserve">benchmark?</w:t>
      </w:r>
      <w:r>
        <w:t xml:space="preserve">]</w:t>
      </w:r>
      <w:r>
        <w:t xml:space="preserve"> </w:t>
      </w:r>
      <w:r>
        <w:t xml:space="preserve">из пакета BenchmarkTools. Среднее время решения ОДУ составляет около 0.0001 секунды независимо от параметра, что подтверждает эффективность алгоритма и оптимизированной библиотеки MKL (рис. 21).</w:t>
      </w:r>
    </w:p>
    <w:p>
      <w:pPr>
        <w:pStyle w:val="CaptionedFigure"/>
      </w:pPr>
      <w:r>
        <w:drawing>
          <wp:inline>
            <wp:extent cx="3733800" cy="2065258"/>
            <wp:effectExtent b="0" l="0" r="0" t="0"/>
            <wp:docPr descr="Рис. 21: Бенчмаркинг производительности решателя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Бенчмаркинг производительности решателя</w:t>
      </w:r>
    </w:p>
    <w:p>
      <w:pPr>
        <w:pStyle w:val="BodyText"/>
      </w:pPr>
      <w:r>
        <w:t xml:space="preserve">Последняя содержательная ячейка сериализует все результаты в бинарные файлы формата JLD2 через макросы</w:t>
      </w:r>
      <w:r>
        <w:t xml:space="preserve"> </w:t>
      </w:r>
      <w:r>
        <w:t xml:space="preserve">[</w:t>
      </w:r>
      <w:r>
        <w:rPr>
          <w:bCs/>
          <w:b/>
        </w:rPr>
        <w:t xml:space="preserve">save?</w:t>
      </w:r>
      <w:r>
        <w:t xml:space="preserve">]</w:t>
      </w:r>
      <w:r>
        <w:t xml:space="preserve">. Вывод ЛАБОРАТОРНАЯ РАБОТА ЗАВЕРШЕНА сигнализирует об успешном выполнении всех этапов, а указанные пути позволяют легко загрузить результаты для постобработки (рис. 22).</w:t>
      </w:r>
    </w:p>
    <w:p>
      <w:pPr>
        <w:pStyle w:val="CaptionedFigure"/>
      </w:pPr>
      <w:r>
        <w:drawing>
          <wp:inline>
            <wp:extent cx="3733800" cy="2065258"/>
            <wp:effectExtent b="0" l="0" r="0" t="0"/>
            <wp:docPr descr="Рис. 22: Финальное сохранение артефактов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Финальное сохранение артефактов</w:t>
      </w:r>
    </w:p>
    <w:p>
      <w:pPr>
        <w:pStyle w:val="BodyText"/>
      </w:pPr>
      <w:r>
        <w:t xml:space="preserve">Открыт файл конфигурации _quarto.yml в редакторе nano для настройки движка рендеринга. Добавлены директивы engine: julia и exeflags с указанием пути к проекту, что необходимо для корректной компиляции отчёта с исполняемым кодом Julia (рис. 23).</w:t>
      </w:r>
    </w:p>
    <w:p>
      <w:pPr>
        <w:pStyle w:val="CaptionedFigure"/>
      </w:pPr>
      <w:r>
        <w:drawing>
          <wp:inline>
            <wp:extent cx="3733800" cy="2065258"/>
            <wp:effectExtent b="0" l="0" r="0" t="0"/>
            <wp:docPr descr="Рис. 23: Настройка конфигурации Quarto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конфигурации Quarto</w:t>
      </w:r>
    </w:p>
    <w:p>
      <w:pPr>
        <w:pStyle w:val="BodyText"/>
      </w:pPr>
      <w:r>
        <w:t xml:space="preserve">Выполнена команда quarto render для компиляции финального отчёта. Процесс успешно завершился без ошибок YAML, сгенерировав выходной документ в каталоге _book или _site согласно настройкам проекта и интегрировав все включаемые файлы .qmd (рис. 24).</w:t>
      </w:r>
    </w:p>
    <w:p>
      <w:pPr>
        <w:pStyle w:val="CaptionedFigure"/>
      </w:pPr>
      <w:r>
        <w:drawing>
          <wp:inline>
            <wp:extent cx="3733800" cy="2065258"/>
            <wp:effectExtent b="0" l="0" r="0" t="0"/>
            <wp:docPr descr="Рис. 24: Компиляция отчёта Quarto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Компиляция отчёта Quarto</w:t>
      </w:r>
    </w:p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№1 была успешно реализована модель экспоненциального роста (du/dt = αu) с соблюдением методологии воспроизводимых научных исследований.</w:t>
      </w:r>
    </w:p>
    <w:p>
      <w:pPr>
        <w:pStyle w:val="BodyText"/>
      </w:pPr>
      <w:r>
        <w:t xml:space="preserve">Основные результаты:</w:t>
      </w:r>
      <w:r>
        <w:t xml:space="preserve"> </w:t>
      </w:r>
      <w:r>
        <w:t xml:space="preserve">1. Настроен программный стенд на базе Fedora Linux с применением инженерных стандартов SemVer, Conventional Commits и Gitflow для управления версиями и историей изменений.</w:t>
      </w:r>
      <w:r>
        <w:t xml:space="preserve"> </w:t>
      </w:r>
      <w:r>
        <w:t xml:space="preserve">2. Организовано рабочее пространство проекта с использованием фреймворка DrWatson.jl, что обеспечило структурированное хранение данных, параметров и артефактов, а также автоматическое кэширование результатов через функцию produce_or_load.</w:t>
      </w:r>
      <w:r>
        <w:t xml:space="preserve"> </w:t>
      </w:r>
      <w:r>
        <w:t xml:space="preserve">3. Применён подход литературного программирования (Literate.jl), позволивший из единого исходного файла .jl автоматически сгенерировать чистый код, Jupyter Notebook и документацию Quarto.</w:t>
      </w:r>
      <w:r>
        <w:t xml:space="preserve"> </w:t>
      </w:r>
      <w:r>
        <w:t xml:space="preserve">4. Проведено численное исследование модели: подтверждено совпадение численного решения ОДУ с аналитической формулой времени удвоения T₂ = ln(2)/α при параметрическом сканировании α ∈ {0.1, 0.3, 0.5, 0.8, 1.0}.</w:t>
      </w:r>
      <w:r>
        <w:t xml:space="preserve"> </w:t>
      </w:r>
      <w:r>
        <w:t xml:space="preserve">5. Выполнен бенчмаркинг производительности решателя Tsit5(), показавший стабильное время вычислений (~0.0001 сек) независимо от значения параметра α.</w:t>
      </w:r>
      <w:r>
        <w:t xml:space="preserve"> </w:t>
      </w:r>
      <w:r>
        <w:t xml:space="preserve">6. Сформирован итоговый отчёт путём интеграции сгенерированных документов Quarto в финальную структуру курса.</w:t>
      </w:r>
    </w:p>
    <w:p>
      <w:pPr>
        <w:pStyle w:val="BodyText"/>
      </w:pPr>
      <w:r>
        <w:t xml:space="preserve">Лабораторная работа выполнена полностью, все артефакты сохранены, код верифицирован и документирован.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2026</dc:title>
  <dc:creator>Лисенков Егор Романович</dc:creator>
  <dc:language>ru-RU</dc:language>
  <cp:keywords/>
  <dcterms:created xsi:type="dcterms:W3CDTF">2026-08-23T15:48:41Z</dcterms:created>
  <dcterms:modified xsi:type="dcterms:W3CDTF">2026-08-23T15:48:41Z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