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LEO-ARICA-ATS-CLOSED</w:t>
        <w:br/>
        <w:t>Revisión: CLI</w:t>
      </w:r>
    </w:p>
    <w:p>
      <w:pPr>
        <w:pStyle w:val="Heading1"/>
      </w:pPr>
      <w:r>
        <w:t>Portada</w:t>
      </w:r>
    </w:p>
    <w:p>
      <w:r>
        <w:t>Proyecto: LEO-ARICA-ATS-CLOSED</w:t>
      </w:r>
    </w:p>
    <w:p>
      <w:r>
        <w:t>Revision: CLI</w:t>
      </w:r>
    </w:p>
    <w:p>
      <w:r>
        <w:t>Fecha: 19/04/2026 23:14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Transformador</w:t>
      </w:r>
    </w:p>
    <w:p>
      <w:r>
        <w:t>Potencia nominal: 1000.0 kVA</w:t>
      </w:r>
    </w:p>
    <w:p>
      <w:r>
        <w:t>Tension BT: 380.0 V</w:t>
      </w:r>
    </w:p>
    <w:p>
      <w:r>
        <w:t>Ucc%: 5.0 %</w:t>
      </w:r>
    </w:p>
    <w:p>
      <w:r>
        <w:t>Icc bornes BT: nominal=30.39 kA, maxima=36.14 kA, minima=26.85 kA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Calculo Icc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icc_ka</w:t>
            </w:r>
          </w:p>
        </w:tc>
        <w:tc>
          <w:tcPr>
            <w:tcW w:type="dxa" w:w="2160"/>
          </w:tcPr>
          <w:p>
            <w:r>
              <w:t>I_max</w:t>
            </w:r>
          </w:p>
        </w:tc>
        <w:tc>
          <w:tcPr>
            <w:tcW w:type="dxa" w:w="2160"/>
          </w:tcPr>
          <w:p>
            <w:r>
              <w:t>estado proteccion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4.49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CON_FALLAS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2.06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Balance y Demanda</w:t>
      </w:r>
    </w:p>
    <w:p>
      <w:r>
        <w:t>Balance: Demanda total=876.7 kVA, Uso transformador=87.7%</w:t>
      </w:r>
    </w:p>
    <w:p>
      <w:r>
        <w:t>Demanda: 876.7 kVA / 783.382 kW, Factor crecimiento=1.25, Demanda futura=1095.88 kVA</w:t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29.09 kA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