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EXPLICATIVA DE CÁLCULO</w:t>
        <w:br/>
        <w:t>Instalación Eléctrica Interior — LEO-ARICA-M12</w:t>
        <w:br/>
        <w:t>Revisión: CLI</w:t>
      </w:r>
    </w:p>
    <w:p>
      <w:pPr>
        <w:pStyle w:val="Heading1"/>
      </w:pPr>
      <w:r>
        <w:t>Portada</w:t>
      </w:r>
    </w:p>
    <w:p>
      <w:r>
        <w:t>Proyecto: LEO-ARICA-M12</w:t>
      </w:r>
    </w:p>
    <w:p>
      <w:r>
        <w:t>Revision: CLI</w:t>
      </w:r>
    </w:p>
    <w:p>
      <w:r>
        <w:t>Fecha: 19/04/2026 19:44</w:t>
      </w:r>
    </w:p>
    <w:p>
      <w:r>
        <w:t>Norma: AWG</w:t>
      </w:r>
    </w:p>
    <w:p>
      <w:r>
        <w:t>Perfil: Industrial / Telecom</w:t>
      </w:r>
    </w:p>
    <w:p>
      <w:pPr>
        <w:pStyle w:val="Heading1"/>
      </w:pPr>
      <w:r>
        <w:t>Antecedentes</w:t>
      </w:r>
    </w:p>
    <w:p>
      <w:r>
        <w:t>Sistema de referencia: 380V / 3F / 50Hz</w:t>
      </w:r>
    </w:p>
    <w:p>
      <w:r>
        <w:t>Norma aplicada: RIC N°04 / IEC 60228 — Conductores AWG</w:t>
      </w:r>
    </w:p>
    <w:p>
      <w:pPr>
        <w:pStyle w:val="Heading1"/>
      </w:pPr>
      <w:r>
        <w:t>Transformador</w:t>
      </w:r>
    </w:p>
    <w:p>
      <w:r>
        <w:t>Potencia nominal: 1000.0 kVA</w:t>
      </w:r>
    </w:p>
    <w:p>
      <w:r>
        <w:t>Tension BT: 380.0 V</w:t>
      </w:r>
    </w:p>
    <w:p>
      <w:r>
        <w:t>Ucc%: 5.0 %</w:t>
      </w:r>
    </w:p>
    <w:p>
      <w:r>
        <w:t>Icc bornes BT: nominal=30.39 kA, maxima=36.14 kA, minima=26.85 kA</w:t>
      </w:r>
    </w:p>
    <w:p>
      <w:pPr>
        <w:pStyle w:val="Heading1"/>
      </w:pPr>
      <w:r>
        <w:t>Cuadro de cargas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I_diseno (A)</w:t>
            </w:r>
          </w:p>
        </w:tc>
        <w:tc>
          <w:tcPr>
            <w:tcW w:type="dxa" w:w="2160"/>
          </w:tcPr>
          <w:p>
            <w:r>
              <w:t>Potencia Activa (W)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2AWG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12AWG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6080.0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7600.0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8550.0</w:t>
            </w:r>
          </w:p>
        </w:tc>
      </w:tr>
    </w:tbl>
    <w:p>
      <w:pPr>
        <w:pStyle w:val="Heading1"/>
      </w:pPr>
      <w:r>
        <w:t>Calculo DeltaV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Circuito</w:t>
            </w:r>
          </w:p>
        </w:tc>
        <w:tc>
          <w:tcPr>
            <w:tcW w:type="dxa" w:w="1440"/>
          </w:tcPr>
          <w:p>
            <w:r>
              <w:t>L_m</w:t>
            </w:r>
          </w:p>
        </w:tc>
        <w:tc>
          <w:tcPr>
            <w:tcW w:type="dxa" w:w="1440"/>
          </w:tcPr>
          <w:p>
            <w:r>
              <w:t>S_mm2</w:t>
            </w:r>
          </w:p>
        </w:tc>
        <w:tc>
          <w:tcPr>
            <w:tcW w:type="dxa" w:w="1440"/>
          </w:tcPr>
          <w:p>
            <w:r>
              <w:t>dv_v</w:t>
            </w:r>
          </w:p>
        </w:tc>
        <w:tc>
          <w:tcPr>
            <w:tcW w:type="dxa" w:w="1440"/>
          </w:tcPr>
          <w:p>
            <w:r>
              <w:t>dv_pct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CRAC Unit 1-A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CRAC Unit 1-B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Antena Panel campo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33.6</w:t>
            </w:r>
          </w:p>
        </w:tc>
        <w:tc>
          <w:tcPr>
            <w:tcW w:type="dxa" w:w="1440"/>
          </w:tcPr>
          <w:p>
            <w:r>
              <w:t>4.546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A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B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2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Iluminacion HUB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13.535</w:t>
            </w:r>
          </w:p>
        </w:tc>
        <w:tc>
          <w:tcPr>
            <w:tcW w:type="dxa" w:w="1440"/>
          </w:tcPr>
          <w:p>
            <w:r>
              <w:t>6.152</w:t>
            </w:r>
          </w:p>
        </w:tc>
        <w:tc>
          <w:tcPr>
            <w:tcW w:type="dxa" w:w="1440"/>
          </w:tcPr>
          <w:p>
            <w:r>
              <w:t>CON_FALLAS</w:t>
            </w:r>
          </w:p>
        </w:tc>
      </w:tr>
      <w:tr>
        <w:tc>
          <w:tcPr>
            <w:tcW w:type="dxa" w:w="1440"/>
          </w:tcPr>
          <w:p>
            <w:r>
              <w:t>Tomacorriente Oficina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3.327</w:t>
            </w:r>
          </w:p>
        </w:tc>
        <w:tc>
          <w:tcPr>
            <w:tcW w:type="dxa" w:w="1440"/>
          </w:tcPr>
          <w:p>
            <w:r>
              <w:t>1.512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Mini Split 1-A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2.495</w:t>
            </w:r>
          </w:p>
        </w:tc>
        <w:tc>
          <w:tcPr>
            <w:tcW w:type="dxa" w:w="1440"/>
          </w:tcPr>
          <w:p>
            <w:r>
              <w:t>1.134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pPr>
        <w:pStyle w:val="Heading1"/>
      </w:pPr>
      <w:r>
        <w:t>Calculo Icc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icc_ka</w:t>
            </w:r>
          </w:p>
        </w:tc>
        <w:tc>
          <w:tcPr>
            <w:tcW w:type="dxa" w:w="2160"/>
          </w:tcPr>
          <w:p>
            <w:r>
              <w:t>I_max</w:t>
            </w:r>
          </w:p>
        </w:tc>
        <w:tc>
          <w:tcPr>
            <w:tcW w:type="dxa" w:w="2160"/>
          </w:tcPr>
          <w:p>
            <w:r>
              <w:t>estado proteccion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4.49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CON_FALLAS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2.06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1"/>
      </w:pPr>
      <w:r>
        <w:t>Balance y Demanda</w:t>
      </w:r>
    </w:p>
    <w:p>
      <w:r>
        <w:t>Balance: Demanda total=876.7 kVA, Uso transformador=87.7%</w:t>
      </w:r>
    </w:p>
    <w:p>
      <w:r>
        <w:t>Demanda: 876.7 kVA / 783.382 kW, Factor crecimiento=1.25, Demanda futura=1095.88 kVA</w:t>
      </w:r>
    </w:p>
    <w:p>
      <w:pPr>
        <w:pStyle w:val="Heading1"/>
      </w:pPr>
      <w:r>
        <w:t>Conclusion</w:t>
      </w:r>
    </w:p>
    <w:p>
      <w:r>
        <w:t>n_ok: 9</w:t>
      </w:r>
    </w:p>
    <w:p>
      <w:r>
        <w:t>n_fallas: 1</w:t>
      </w:r>
    </w:p>
    <w:p>
      <w:r>
        <w:t>max_dv_pct: 6.152</w:t>
      </w:r>
    </w:p>
    <w:p>
      <w:r>
        <w:t>max_icc_ka: 29.09 kA</w:t>
      </w:r>
    </w:p>
    <w:p>
      <w:r>
        <w:t>status: CON_FALLAS</w:t>
      </w:r>
    </w:p>
    <w:p>
      <w:r>
        <w:t>ATENCIÓN: 1 circuito(s) presentan caída de tensión superior</w:t>
        <w:br/>
        <w:t>al límite normativo (ΔV &gt; 5%, RIC N°10).</w:t>
        <w:br/>
        <w:t>Acción requerida: redimensionar conductor antes de declarar</w:t>
        <w:br/>
        <w:t>ante SEC.</w:t>
      </w:r>
    </w:p>
    <w:p>
      <w:r>
        <w:t>Circuitos en falla: Iluminacion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