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Title</w:t>
      </w:r>
    </w:p>
    <w:p>
      <w:r>
        <w:t>This is a simple paragraph.</w:t>
      </w:r>
    </w:p>
    <w:p>
      <w:pPr>
        <w:pStyle w:val="ListBullet"/>
      </w:pPr>
      <w:r>
        <w:t>First item in the list</w:t>
      </w:r>
    </w:p>
    <w:p>
      <w:pPr>
        <w:pStyle w:val="ListBullet"/>
      </w:pPr>
      <w:r>
        <w:t>Second item in the list</w:t>
      </w:r>
    </w:p>
    <w:p>
      <w:pPr>
        <w:pStyle w:val="ListNumber"/>
      </w:pPr>
      <w:r>
        <w:t>First item in the numbered list</w:t>
      </w:r>
    </w:p>
    <w:p>
      <w:pPr>
        <w:pStyle w:val="ListNumber"/>
      </w:pPr>
      <w:r>
        <w:t>Second item in the numbered list</w:t>
      </w:r>
    </w:p>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Name</w:t>
            </w:r>
          </w:p>
        </w:tc>
        <w:tc>
          <w:tcPr>
            <w:tcW w:type="dxa" w:w="4320"/>
          </w:tcPr>
          <w:p>
            <w:r>
              <w:rPr>
                <w:b/>
                <w:color w:val="0000FF"/>
              </w:rPr>
              <w:t>Age</w:t>
            </w:r>
          </w:p>
        </w:tc>
      </w:tr>
      <w:tr>
        <w:tc>
          <w:tcPr>
            <w:tcW w:type="dxa" w:w="4320"/>
          </w:tcPr>
          <w:p>
            <w:r>
              <w:t>John Doe</w:t>
            </w:r>
          </w:p>
        </w:tc>
        <w:tc>
          <w:tcPr>
            <w:tcW w:type="dxa" w:w="4320"/>
          </w:tcPr>
          <w:p>
            <w:r>
              <w:t>30</w:t>
            </w:r>
          </w:p>
        </w:tc>
      </w:tr>
    </w:tbl>
    <w:p>
      <w:r>
        <w:drawing>
          <wp:inline xmlns:a="http://schemas.openxmlformats.org/drawingml/2006/main" xmlns:pic="http://schemas.openxmlformats.org/drawingml/2006/picture">
            <wp:extent cx="3657600" cy="27432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657600" cy="2743200"/>
                    </a:xfrm>
                    <a:prstGeom prst="rect"/>
                  </pic:spPr>
                </pic:pic>
              </a:graphicData>
            </a:graphic>
          </wp:inline>
        </w:drawing>
      </w:r>
    </w:p>
    <w:p>
      <w:r>
        <w:drawing>
          <wp:inline xmlns:a="http://schemas.openxmlformats.org/drawingml/2006/main" xmlns:pic="http://schemas.openxmlformats.org/drawingml/2006/picture">
            <wp:extent cx="3657600" cy="27432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3657600" cy="2743200"/>
                    </a:xfrm>
                    <a:prstGeom prst="rect"/>
                  </pic:spPr>
                </pic:pic>
              </a:graphicData>
            </a:graphic>
          </wp:inline>
        </w:drawing>
      </w:r>
    </w:p>
    <w:p>
      <w:pPr>
        <w:pStyle w:val="Heading1"/>
      </w:pPr>
      <w:r>
        <w:t>4.1 Candlestick Under investigation</w:t>
      </w:r>
    </w:p>
    <w:p>
      <w:r>
        <w:t>Details about candlesticks and basic information about them goes here, with their history and usage</w:t>
      </w:r>
    </w:p>
    <w:p>
      <w:r>
        <w:t>1. Hammer - details about the particular candlestick goes here</w:t>
      </w:r>
    </w:p>
    <w:p>
      <w:r>
        <w:t>2. Evening Star - details about the particular candlestick goes here</w:t>
      </w:r>
    </w:p>
    <w:p>
      <w:r>
        <w:t>3. Marubozu - details about the particular candlestick goes here</w:t>
      </w:r>
    </w:p>
    <w:p>
      <w:pPr>
        <w:pStyle w:val="Heading1"/>
      </w:pPr>
      <w:r>
        <w:t>4.2 Sectors Under Investigation</w:t>
      </w:r>
    </w:p>
    <w:p>
      <w:pPr>
        <w:pStyle w:val="Heading2"/>
      </w:pPr>
      <w:r>
        <w:t>Banks</w:t>
      </w:r>
    </w:p>
    <w:p>
      <w:r>
        <w:t>details about the sector and reason of selection goes here</w:t>
      </w:r>
    </w:p>
    <w:p>
      <w:r>
        <w:rPr>
          <w:b/>
        </w:rPr>
        <w:t>Stocks:</w:t>
      </w:r>
    </w:p>
    <w:p>
      <w:r>
        <w:t xml:space="preserve">  - NABIL - details of the ticker and reason of selection goes here</w:t>
      </w:r>
    </w:p>
    <w:p>
      <w:r>
        <w:t xml:space="preserve">  - NIB - details of the ticker and reason of selection goes here</w:t>
      </w:r>
    </w:p>
    <w:p>
      <w:r>
        <w:t xml:space="preserve">  - NICA - details of the ticker and reason of selection goes here</w:t>
      </w:r>
    </w:p>
    <w:p>
      <w:r>
        <w:t xml:space="preserve">  - EBL - details of the ticker and reason of selection goes here</w:t>
      </w:r>
    </w:p>
    <w:p>
      <w:r>
        <w:t xml:space="preserve">  - GBIME - details of the ticker and reason of selection goes here</w:t>
      </w:r>
    </w:p>
    <w:p>
      <w:pPr>
        <w:pStyle w:val="Heading2"/>
      </w:pPr>
      <w:r>
        <w:t>Hydro</w:t>
      </w:r>
    </w:p>
    <w:p>
      <w:r>
        <w:t>details about the sector and reason of selection goes here</w:t>
      </w:r>
    </w:p>
    <w:p>
      <w:r>
        <w:rPr>
          <w:b/>
        </w:rPr>
        <w:t>Stocks:</w:t>
      </w:r>
    </w:p>
    <w:p>
      <w:r>
        <w:t xml:space="preserve">  - NHPC - details of the ticker and reason of selection goes here</w:t>
      </w:r>
    </w:p>
    <w:p>
      <w:r>
        <w:t xml:space="preserve">  - UPPER - details of the ticker and reason of selection goes here</w:t>
      </w:r>
    </w:p>
    <w:p>
      <w:r>
        <w:t xml:space="preserve">  - AHPC - details of the ticker and reason of selection goes here</w:t>
      </w:r>
    </w:p>
    <w:p>
      <w:r>
        <w:t xml:space="preserve">  - API - details of the ticker and reason of selection goes here</w:t>
      </w:r>
    </w:p>
    <w:p>
      <w:r>
        <w:t xml:space="preserve">  - SHPC - details of the ticker and reason of selection goes here</w:t>
      </w:r>
    </w:p>
    <w:p>
      <w:pPr>
        <w:pStyle w:val="Heading2"/>
      </w:pPr>
      <w:r>
        <w:t>Microfinance</w:t>
      </w:r>
    </w:p>
    <w:p>
      <w:r>
        <w:t>details about the sector and reason of selection goes here</w:t>
      </w:r>
    </w:p>
    <w:p>
      <w:r>
        <w:rPr>
          <w:b/>
        </w:rPr>
        <w:t>Stocks:</w:t>
      </w:r>
    </w:p>
    <w:p>
      <w:r>
        <w:t xml:space="preserve">  - NMBMF - details of the ticker and reason of selection goes here</w:t>
      </w:r>
    </w:p>
    <w:p>
      <w:r>
        <w:t xml:space="preserve">  - CBBL - details of the ticker and reason of selection goes here</w:t>
      </w:r>
    </w:p>
    <w:p>
      <w:r>
        <w:t xml:space="preserve">  - DDBL - details of the ticker and reason of selection goes here</w:t>
      </w:r>
    </w:p>
    <w:p>
      <w:r>
        <w:t xml:space="preserve">  - SKBBL - details of the ticker and reason of selection goes here</w:t>
      </w:r>
    </w:p>
    <w:p>
      <w:r>
        <w:t xml:space="preserve">  - SWBBL - details of the ticker and reason of selection goes here</w:t>
      </w:r>
    </w:p>
    <w:p>
      <w:pPr>
        <w:pStyle w:val="Heading2"/>
      </w:pPr>
      <w:r>
        <w:t>Expensive</w:t>
      </w:r>
    </w:p>
    <w:p>
      <w:r>
        <w:t>details about the sector and reason of selection goes here</w:t>
      </w:r>
    </w:p>
    <w:p>
      <w:r>
        <w:rPr>
          <w:b/>
        </w:rPr>
        <w:t>Stocks:</w:t>
      </w:r>
    </w:p>
    <w:p>
      <w:r>
        <w:t xml:space="preserve">  - UNL - details of the ticker and reason of selection goes here</w:t>
      </w:r>
    </w:p>
    <w:p>
      <w:r>
        <w:t xml:space="preserve">  - BNT - details of the ticker and reason of selection goes here</w:t>
      </w:r>
    </w:p>
    <w:p>
      <w:r>
        <w:t xml:space="preserve">  - RBCL - details of the ticker and reason of selection goes here</w:t>
      </w:r>
    </w:p>
    <w:p>
      <w:r>
        <w:t xml:space="preserve">  - STC - details of the ticker and reason of selection goes here</w:t>
      </w:r>
    </w:p>
    <w:p>
      <w:r>
        <w:t xml:space="preserve">  - BBC - details of the ticker and reason of selection goes here</w:t>
      </w:r>
    </w:p>
    <w:p>
      <w:pPr>
        <w:pStyle w:val="Heading2"/>
      </w:pPr>
      <w:r>
        <w:t>Low Floating</w:t>
      </w:r>
    </w:p>
    <w:p>
      <w:r>
        <w:t>details about the sector and reason of selection goes here</w:t>
      </w:r>
    </w:p>
    <w:p>
      <w:r>
        <w:rPr>
          <w:b/>
        </w:rPr>
        <w:t>Stocks:</w:t>
      </w:r>
    </w:p>
    <w:p>
      <w:r>
        <w:t xml:space="preserve">  - SAMAJ - details of the ticker and reason of selection goes here</w:t>
      </w:r>
    </w:p>
    <w:p>
      <w:r>
        <w:t xml:space="preserve">  - SMH - details of the ticker and reason of selection goes here</w:t>
      </w:r>
    </w:p>
    <w:p>
      <w:r>
        <w:t xml:space="preserve">  - SPL - details of the ticker and reason of selection goes here</w:t>
      </w:r>
    </w:p>
    <w:p>
      <w:r>
        <w:t xml:space="preserve">  - KBSH - details of the ticker and reason of selection goes here</w:t>
      </w:r>
    </w:p>
    <w:p>
      <w:r>
        <w:t xml:space="preserve">  - BHPL - details of the ticker and reason of selection goes here</w:t>
      </w:r>
    </w:p>
    <w:p>
      <w:pPr>
        <w:pStyle w:val="Heading1"/>
      </w:pPr>
      <w:r>
        <w:t>4.3 Longterm Trends Under Study:</w:t>
      </w:r>
    </w:p>
    <w:p>
      <w:r>
        <w:t xml:space="preserve">  - Bullish - details and reason of trend goes here</w:t>
      </w:r>
    </w:p>
    <w:p>
      <w:r>
        <w:t xml:space="preserve">  - Bearish - details and reason of trend goes here</w:t>
      </w:r>
    </w:p>
    <w:p>
      <w:pPr>
        <w:pStyle w:val="Heading1"/>
      </w:pPr>
      <w:r>
        <w:t>4.4 Shortterm Trends Under Study:</w:t>
      </w:r>
    </w:p>
    <w:p>
      <w:r>
        <w:t xml:space="preserve">  - yes - details of the trend goes here</w:t>
      </w:r>
    </w:p>
    <w:p>
      <w:r>
        <w:t xml:space="preserve">  - no - details of the trend goes here</w:t>
      </w:r>
    </w:p>
    <w:p>
      <w:pPr>
        <w:pStyle w:val="Heading1"/>
      </w:pPr>
      <w:r>
        <w:t>4.5 Criterias for Analysis:</w:t>
      </w:r>
    </w:p>
    <w:p>
      <w:r>
        <w:t>Details about selection of the following criterias goes here, and specially what is the reason behind selecting multiple criterias</w:t>
      </w:r>
    </w:p>
    <w:p>
      <w:r>
        <w:t xml:space="preserve">  - Low</w:t>
      </w:r>
    </w:p>
    <w:p>
      <w:r>
        <w:t>Details about Low goes here and its sifnificance to different candles and expeectations of observations goes here</w:t>
      </w:r>
    </w:p>
    <w:p>
      <w:r>
        <w:t xml:space="preserve">  - High</w:t>
      </w:r>
    </w:p>
    <w:p>
      <w:r>
        <w:t>Details about High goes here and its sifnificance to different candles and expeectations of observations goes here</w:t>
      </w:r>
    </w:p>
    <w:p>
      <w:r>
        <w:t xml:space="preserve">  - Close</w:t>
      </w:r>
    </w:p>
    <w:p>
      <w:r>
        <w:t>Details about Close goes here and its sifnificance to different candles and expeectations of observations goes here</w:t>
      </w:r>
    </w:p>
    <w:p>
      <w:pPr>
        <w:pStyle w:val="Heading1"/>
      </w:pPr>
      <w:r>
        <w:t>4.6 Observation Durations:</w:t>
      </w:r>
    </w:p>
    <w:p>
      <w:r>
        <w:t>Details about selection of the following observation durations goes here</w:t>
      </w:r>
    </w:p>
    <w:p>
      <w:r>
        <w:t xml:space="preserve">  - 2 Days with short details (max 2-3 lines)</w:t>
      </w:r>
    </w:p>
    <w:p>
      <w:r>
        <w:t xml:space="preserve">  - 4 Days with short details (max 2-3 lines)</w:t>
      </w:r>
    </w:p>
    <w:p>
      <w:r>
        <w:t xml:space="preserve">  - 8 Days with short details (max 2-3 lines)</w:t>
      </w:r>
    </w:p>
    <w:p>
      <w:pPr>
        <w:pStyle w:val="Heading1"/>
      </w:pPr>
      <w:r>
        <w:t>4.7 Descriptive Analysis:</w:t>
      </w:r>
    </w:p>
    <w:p>
      <w:r>
        <w:t>As shown in 1,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 Candles Observation for Banks Stocks in Bullish Market</w:t>
      </w:r>
    </w:p>
    <w:p>
      <w:r>
        <w:t>As shown in 2,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2. Candles Observation for Banks Stocks in Bearish Market</w:t>
      </w:r>
    </w:p>
    <w:p>
      <w:r>
        <w:t>As shown in 3,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3. Candles Observation for Hydro Stocks in Bullish Market</w:t>
      </w:r>
    </w:p>
    <w:p>
      <w:r>
        <w:t>As shown in 4,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4. Candles Observation for Hydro Stocks in Bearish Market</w:t>
      </w:r>
    </w:p>
    <w:p>
      <w:r>
        <w:t>As shown in 5,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5. Candles Observation for Microfinance Stocks in Bullish Market</w:t>
      </w:r>
    </w:p>
    <w:p>
      <w:r>
        <w:t>As shown in 6,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6. Candles Observation for Microfinance Stocks in Bearish Market</w:t>
      </w:r>
    </w:p>
    <w:p>
      <w:r>
        <w:t>As shown in 7,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7. Candles Observation for Expensive Stocks in Bullish Market</w:t>
      </w:r>
    </w:p>
    <w:p>
      <w:r>
        <w:t>As shown in 8,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8. Candles Observation for Expensive Stocks in Bearish Market</w:t>
      </w:r>
    </w:p>
    <w:p>
      <w:r>
        <w:t>As shown in 9,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9. Candles Observation for Low Floating Stocks in Bullish Market</w:t>
      </w:r>
    </w:p>
    <w:p>
      <w:r>
        <w:t>As shown in 10, highlights Hit(%) values for High, Low, and Close trends across Hammer, Shooting Star, and Marubozu patterns over 2 Days, 4 Days, and 8 Days. Below are the positive combinations with meaningful results:</w:t>
        <w:br/>
        <w:br/>
        <w:t>1. Marubozu</w:t>
        <w:br/>
        <w:t>High: 40% Hit rate across all timeframes (2 Days, 4 Days, 8 Days) for Trend = Yes.</w:t>
        <w:br/>
        <w:br/>
        <w:t>Low: 40% Hit rate across all timeframes for Trend = Yes.</w:t>
        <w:br/>
        <w:br/>
        <w:t>Close: 40% Hit rate across all timeframes for Trend = Yes.</w:t>
        <w:br/>
        <w:br/>
        <w:t>Insight: Marubozu is the most reliable pattern, consistently showing strong performance in predicting trends.</w:t>
        <w:br/>
        <w:br/>
        <w:t>2. Hammer</w:t>
        <w:br/>
        <w:t>High: 30% Hit rate in 4 Days and 8 Days for Trend = Yes.</w:t>
        <w:br/>
        <w:br/>
        <w:t>Low: 30% Hit rate in 4 Days and 8 Days for Trend = Yes.</w:t>
        <w:br/>
        <w:br/>
        <w:t>Close: 30% Hit rate in 4 Days and 8 Days for Trend = Yes.</w:t>
        <w:br/>
        <w:br/>
        <w:t>Insight: Hammer shows moderate success, particularly in longer timeframes (4 Days, 8 Days).</w:t>
        <w:br/>
        <w:br/>
        <w:t>3. Shooting Star</w:t>
        <w:br/>
        <w:t>High: 25% Hit rate across all timeframes for Trend = Yes.</w:t>
        <w:br/>
        <w:br/>
        <w:t>Low: 25% Hit rate across all timeframes for Trend = Yes.</w:t>
        <w:br/>
        <w:br/>
        <w:t>Close: 25% Hit rate across all timeframes for Trend = Yes.</w:t>
        <w:br/>
        <w:br/>
        <w:t>Insight: Shooting Star has limited success but may still be useful in specific contexts.</w:t>
        <w:br/>
        <w:br/>
        <w:t>Key Takeaways</w:t>
        <w:br/>
        <w:t>Marubozu is the top-performing pattern, with a 40% Hit rate across all metrics and timeframes.</w:t>
        <w:br/>
        <w:br/>
        <w:t>Hammer shows moderate success, especially in 4 Days and 8 Days.</w:t>
        <w:br/>
        <w:br/>
        <w:t>Shooting Star has the lowest Hit rates but may still provide some value in certain scenarios.</w:t>
        <w:br/>
        <w:br/>
        <w:t>This analysis focuses only on combinations with positive results, helping traders identify the most effective patterns and timeframes.</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vMerge w:val="restart"/>
          </w:tcPr>
          <w:p>
            <w:r>
              <w:t>Period</w:t>
            </w:r>
          </w:p>
        </w:tc>
        <w:tc>
          <w:tcPr>
            <w:tcW w:type="dxa" w:w="864"/>
            <w:vMerge w:val="restart"/>
          </w:tcPr>
          <w:p>
            <w:r>
              <w:t>Candles</w:t>
            </w:r>
          </w:p>
        </w:tc>
        <w:tc>
          <w:tcPr>
            <w:tcW w:type="dxa" w:w="1728"/>
            <w:gridSpan w:val="2"/>
          </w:tcPr>
          <w:p>
            <w:r>
              <w:t>Occurance</w:t>
            </w:r>
          </w:p>
        </w:tc>
        <w:tc>
          <w:tcPr>
            <w:tcW w:type="dxa" w:w="1728"/>
            <w:gridSpan w:val="2"/>
          </w:tcPr>
          <w:p>
            <w:r>
              <w:t>Hit(%) HIGH</w:t>
            </w:r>
          </w:p>
        </w:tc>
        <w:tc>
          <w:tcPr>
            <w:tcW w:type="dxa" w:w="1728"/>
            <w:gridSpan w:val="2"/>
          </w:tcPr>
          <w:p>
            <w:r>
              <w:t>Hit(%) LOW</w:t>
            </w:r>
          </w:p>
        </w:tc>
        <w:tc>
          <w:tcPr>
            <w:tcW w:type="dxa" w:w="1728"/>
            <w:gridSpan w:val="2"/>
          </w:tcPr>
          <w:p>
            <w:r>
              <w:t>Hit(%) Close</w:t>
            </w:r>
          </w:p>
        </w:tc>
      </w:tr>
      <w:tr>
        <w:tc>
          <w:tcPr>
            <w:tcW w:type="dxa" w:w="864"/>
            <w:vMerge/>
          </w:tcPr>
          <w:p/>
        </w:tc>
        <w:tc>
          <w:tcPr>
            <w:tcW w:type="dxa" w:w="864"/>
            <w:vMerge/>
          </w:tcP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c>
          <w:tcPr>
            <w:tcW w:type="dxa" w:w="864"/>
          </w:tcPr>
          <w:p>
            <w:r>
              <w:t>Trend</w:t>
            </w:r>
          </w:p>
        </w:tc>
      </w:tr>
      <w:tr>
        <w:tc>
          <w:tcPr>
            <w:tcW w:type="dxa" w:w="864"/>
            <w:vMerge/>
          </w:tcPr>
          <w:p/>
        </w:tc>
        <w:tc>
          <w:tcPr>
            <w:tcW w:type="dxa" w:w="864"/>
            <w:vMerge/>
          </w:tcP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c>
          <w:tcPr>
            <w:tcW w:type="dxa" w:w="864"/>
          </w:tcPr>
          <w:p>
            <w:r>
              <w:t>YES</w:t>
            </w:r>
          </w:p>
        </w:tc>
        <w:tc>
          <w:tcPr>
            <w:tcW w:type="dxa" w:w="864"/>
          </w:tcPr>
          <w:p>
            <w:r>
              <w:t>No</w:t>
            </w:r>
          </w:p>
        </w:tc>
      </w:tr>
      <w:tr>
        <w:tc>
          <w:tcPr>
            <w:tcW w:type="dxa" w:w="864"/>
            <w:vMerge w:val="restart"/>
          </w:tcPr>
          <w:p>
            <w:r>
              <w:t>2 Days</w:t>
            </w:r>
          </w:p>
        </w:tc>
        <w:tc>
          <w:tcPr>
            <w:tcW w:type="dxa" w:w="864"/>
          </w:tcPr>
          <w:p>
            <w:r>
              <w:t>Hammer</w:t>
            </w:r>
          </w:p>
        </w:tc>
        <w:tc>
          <w:tcPr>
            <w:tcW w:type="dxa" w:w="864"/>
          </w:tcPr>
          <w:p>
            <w:r>
              <w:t>2310</w:t>
            </w:r>
          </w:p>
        </w:tc>
        <w:tc>
          <w:tcPr>
            <w:tcW w:type="dxa" w:w="864"/>
          </w:tcPr>
          <w:p>
            <w:r>
              <w:t>2310</w:t>
            </w:r>
          </w:p>
        </w:tc>
        <w:tc>
          <w:tcPr>
            <w:tcW w:type="dxa" w:w="864"/>
          </w:tcPr>
          <w:p>
            <w:r>
              <w:t>15</w:t>
            </w:r>
          </w:p>
        </w:tc>
        <w:tc>
          <w:tcPr>
            <w:tcW w:type="dxa" w:w="864"/>
          </w:tcPr>
          <w:p>
            <w:r>
              <w:t>30</w:t>
            </w:r>
          </w:p>
        </w:tc>
        <w:tc>
          <w:tcPr>
            <w:tcW w:type="dxa" w:w="864"/>
          </w:tcPr>
          <w:p>
            <w:r>
              <w:t>15</w:t>
            </w:r>
          </w:p>
        </w:tc>
        <w:tc>
          <w:tcPr>
            <w:tcW w:type="dxa" w:w="864"/>
          </w:tcPr>
          <w:p>
            <w:r>
              <w:t>30</w:t>
            </w:r>
          </w:p>
        </w:tc>
        <w:tc>
          <w:tcPr>
            <w:tcW w:type="dxa" w:w="864"/>
          </w:tcPr>
          <w:p>
            <w:r>
              <w:t>15</w:t>
            </w:r>
          </w:p>
        </w:tc>
        <w:tc>
          <w:tcPr>
            <w:tcW w:type="dxa" w:w="864"/>
          </w:tcPr>
          <w:p>
            <w:r>
              <w:t>30</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4 Days</w:t>
            </w:r>
          </w:p>
        </w:tc>
        <w:tc>
          <w:tcPr>
            <w:tcW w:type="dxa" w:w="864"/>
          </w:tcPr>
          <w:p>
            <w:r>
              <w:t>Hammer</w:t>
            </w:r>
          </w:p>
        </w:tc>
        <w:tc>
          <w:tcPr>
            <w:tcW w:type="dxa" w:w="864"/>
          </w:tcPr>
          <w:p>
            <w:r>
              <w:t>2450</w:t>
            </w:r>
          </w:p>
        </w:tc>
        <w:tc>
          <w:tcPr>
            <w:tcW w:type="dxa" w:w="864"/>
          </w:tcPr>
          <w:p>
            <w:r>
              <w:t>2450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r>
        <w:tc>
          <w:tcPr>
            <w:tcW w:type="dxa" w:w="864"/>
            <w:vMerge w:val="restart"/>
          </w:tcPr>
          <w:p>
            <w:r>
              <w:t>8 Days</w:t>
            </w:r>
          </w:p>
        </w:tc>
        <w:tc>
          <w:tcPr>
            <w:tcW w:type="dxa" w:w="864"/>
          </w:tcPr>
          <w:p>
            <w:r>
              <w:t>Hammer</w:t>
            </w:r>
          </w:p>
        </w:tc>
        <w:tc>
          <w:tcPr>
            <w:tcW w:type="dxa" w:w="864"/>
          </w:tcPr>
          <w:p>
            <w:r>
              <w:t>2750</w:t>
            </w:r>
          </w:p>
        </w:tc>
        <w:tc>
          <w:tcPr>
            <w:tcW w:type="dxa" w:w="864"/>
          </w:tcPr>
          <w:p>
            <w:r>
              <w:t>2750</w:t>
            </w:r>
          </w:p>
        </w:tc>
        <w:tc>
          <w:tcPr>
            <w:tcW w:type="dxa" w:w="864"/>
          </w:tcPr>
          <w:p>
            <w:r>
              <w:t>30</w:t>
            </w:r>
          </w:p>
        </w:tc>
        <w:tc>
          <w:tcPr>
            <w:tcW w:type="dxa" w:w="864"/>
          </w:tcPr>
          <w:p>
            <w:r>
              <w:t>35</w:t>
            </w:r>
          </w:p>
        </w:tc>
        <w:tc>
          <w:tcPr>
            <w:tcW w:type="dxa" w:w="864"/>
          </w:tcPr>
          <w:p>
            <w:r>
              <w:t>30</w:t>
            </w:r>
          </w:p>
        </w:tc>
        <w:tc>
          <w:tcPr>
            <w:tcW w:type="dxa" w:w="864"/>
          </w:tcPr>
          <w:p>
            <w:r>
              <w:t>35</w:t>
            </w:r>
          </w:p>
        </w:tc>
        <w:tc>
          <w:tcPr>
            <w:tcW w:type="dxa" w:w="864"/>
          </w:tcPr>
          <w:p>
            <w:r>
              <w:t>30</w:t>
            </w:r>
          </w:p>
        </w:tc>
        <w:tc>
          <w:tcPr>
            <w:tcW w:type="dxa" w:w="864"/>
          </w:tcPr>
          <w:p>
            <w:r>
              <w:t>35</w:t>
            </w:r>
          </w:p>
        </w:tc>
      </w:tr>
      <w:tr>
        <w:tc>
          <w:tcPr>
            <w:tcW w:type="dxa" w:w="864"/>
            <w:vMerge/>
          </w:tcPr>
          <w:p/>
        </w:tc>
        <w:tc>
          <w:tcPr>
            <w:tcW w:type="dxa" w:w="864"/>
          </w:tcPr>
          <w:p>
            <w:r>
              <w:t>Shooting ✦</w:t>
            </w:r>
          </w:p>
        </w:tc>
        <w:tc>
          <w:tcPr>
            <w:tcW w:type="dxa" w:w="864"/>
          </w:tcPr>
          <w:p>
            <w:r>
              <w:t>1980</w:t>
            </w:r>
          </w:p>
        </w:tc>
        <w:tc>
          <w:tcPr>
            <w:tcW w:type="dxa" w:w="864"/>
          </w:tcPr>
          <w:p>
            <w:r>
              <w:t>1980</w:t>
            </w:r>
          </w:p>
        </w:tc>
        <w:tc>
          <w:tcPr>
            <w:tcW w:type="dxa" w:w="864"/>
          </w:tcPr>
          <w:p>
            <w:r>
              <w:t>25</w:t>
            </w:r>
          </w:p>
        </w:tc>
        <w:tc>
          <w:tcPr>
            <w:tcW w:type="dxa" w:w="864"/>
          </w:tcPr>
          <w:p>
            <w:r>
              <w:t>30</w:t>
            </w:r>
          </w:p>
        </w:tc>
        <w:tc>
          <w:tcPr>
            <w:tcW w:type="dxa" w:w="864"/>
          </w:tcPr>
          <w:p>
            <w:r>
              <w:t>25</w:t>
            </w:r>
          </w:p>
        </w:tc>
        <w:tc>
          <w:tcPr>
            <w:tcW w:type="dxa" w:w="864"/>
          </w:tcPr>
          <w:p>
            <w:r>
              <w:t>30</w:t>
            </w:r>
          </w:p>
        </w:tc>
        <w:tc>
          <w:tcPr>
            <w:tcW w:type="dxa" w:w="864"/>
          </w:tcPr>
          <w:p>
            <w:r>
              <w:t>25</w:t>
            </w:r>
          </w:p>
        </w:tc>
        <w:tc>
          <w:tcPr>
            <w:tcW w:type="dxa" w:w="864"/>
          </w:tcPr>
          <w:p>
            <w:r>
              <w:t>30</w:t>
            </w:r>
          </w:p>
        </w:tc>
      </w:tr>
      <w:tr>
        <w:tc>
          <w:tcPr>
            <w:tcW w:type="dxa" w:w="864"/>
            <w:vMerge/>
          </w:tcPr>
          <w:p/>
        </w:tc>
        <w:tc>
          <w:tcPr>
            <w:tcW w:type="dxa" w:w="864"/>
          </w:tcPr>
          <w:p>
            <w:r>
              <w:t>Marubozu</w:t>
            </w:r>
          </w:p>
        </w:tc>
        <w:tc>
          <w:tcPr>
            <w:tcW w:type="dxa" w:w="864"/>
          </w:tcPr>
          <w:p>
            <w:r>
              <w:t>2150</w:t>
            </w:r>
          </w:p>
        </w:tc>
        <w:tc>
          <w:tcPr>
            <w:tcW w:type="dxa" w:w="864"/>
          </w:tcPr>
          <w:p>
            <w:r>
              <w:t>2150</w:t>
            </w:r>
          </w:p>
        </w:tc>
        <w:tc>
          <w:tcPr>
            <w:tcW w:type="dxa" w:w="864"/>
          </w:tcPr>
          <w:p>
            <w:r>
              <w:t>40</w:t>
            </w:r>
          </w:p>
        </w:tc>
        <w:tc>
          <w:tcPr>
            <w:tcW w:type="dxa" w:w="864"/>
          </w:tcPr>
          <w:p>
            <w:r>
              <w:t>20</w:t>
            </w:r>
          </w:p>
        </w:tc>
        <w:tc>
          <w:tcPr>
            <w:tcW w:type="dxa" w:w="864"/>
          </w:tcPr>
          <w:p>
            <w:r>
              <w:t>40</w:t>
            </w:r>
          </w:p>
        </w:tc>
        <w:tc>
          <w:tcPr>
            <w:tcW w:type="dxa" w:w="864"/>
          </w:tcPr>
          <w:p>
            <w:r>
              <w:t>20</w:t>
            </w:r>
          </w:p>
        </w:tc>
        <w:tc>
          <w:tcPr>
            <w:tcW w:type="dxa" w:w="864"/>
          </w:tcPr>
          <w:p>
            <w:r>
              <w:t>40</w:t>
            </w:r>
          </w:p>
        </w:tc>
        <w:tc>
          <w:tcPr>
            <w:tcW w:type="dxa" w:w="864"/>
          </w:tcPr>
          <w:p>
            <w:r>
              <w:t>20</w:t>
            </w:r>
          </w:p>
        </w:tc>
      </w:tr>
      <w:tr>
        <w:tc>
          <w:tcPr>
            <w:tcW w:type="dxa" w:w="864"/>
            <w:vMerge/>
          </w:tcPr>
          <w:p/>
        </w:tc>
        <w:tc>
          <w:tcPr>
            <w:tcW w:type="dxa" w:w="864"/>
          </w:tcPr>
          <w:p>
            <w:r>
              <w:t>Random</w:t>
            </w:r>
          </w:p>
        </w:tc>
        <w:tc>
          <w:tcPr>
            <w:tcW w:type="dxa" w:w="864"/>
          </w:tcPr>
          <w:p>
            <w:r>
              <w:t>1850</w:t>
            </w:r>
          </w:p>
        </w:tc>
        <w:tc>
          <w:tcPr>
            <w:tcW w:type="dxa" w:w="864"/>
          </w:tcPr>
          <w:p>
            <w:r>
              <w:t>1850</w:t>
            </w:r>
          </w:p>
        </w:tc>
        <w:tc>
          <w:tcPr>
            <w:tcW w:type="dxa" w:w="864"/>
          </w:tcPr>
          <w:p>
            <w:r>
              <w:t>30</w:t>
            </w:r>
          </w:p>
        </w:tc>
        <w:tc>
          <w:tcPr>
            <w:tcW w:type="dxa" w:w="864"/>
          </w:tcPr>
          <w:p>
            <w:r>
              <w:t>36</w:t>
            </w:r>
          </w:p>
        </w:tc>
        <w:tc>
          <w:tcPr>
            <w:tcW w:type="dxa" w:w="864"/>
          </w:tcPr>
          <w:p>
            <w:r>
              <w:t>30</w:t>
            </w:r>
          </w:p>
        </w:tc>
        <w:tc>
          <w:tcPr>
            <w:tcW w:type="dxa" w:w="864"/>
          </w:tcPr>
          <w:p>
            <w:r>
              <w:t>36</w:t>
            </w:r>
          </w:p>
        </w:tc>
        <w:tc>
          <w:tcPr>
            <w:tcW w:type="dxa" w:w="864"/>
          </w:tcPr>
          <w:p>
            <w:r>
              <w:t>30</w:t>
            </w:r>
          </w:p>
        </w:tc>
        <w:tc>
          <w:tcPr>
            <w:tcW w:type="dxa" w:w="864"/>
          </w:tcPr>
          <w:p>
            <w:r>
              <w:t>36</w:t>
            </w:r>
          </w:p>
        </w:tc>
      </w:tr>
    </w:tbl>
    <w:p>
      <w:r>
        <w:t>Table 10. Candles Observation for Low Floating Stocks in Bearish Market</w:t>
      </w:r>
    </w:p>
    <w:p>
      <w:pPr>
        <w:pStyle w:val="Heading1"/>
      </w:pPr>
      <w:r>
        <w:t>4.8 Inferal Analysis:</w:t>
      </w:r>
    </w:p>
    <w:p>
      <w:r>
        <w:t>As shown in 11,The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11. Chi-square test for Banks Stocks  in Bullish Market</w:t>
      </w:r>
    </w:p>
    <w:p>
      <w:r>
        <w:t>As shown in 12,The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12. Chi-square test for Banks Stocks  in Bearish Market</w:t>
      </w:r>
    </w:p>
    <w:p>
      <w:r>
        <w:t>As shown in 13,The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13. Chi-square test for Hydro Stocks  in Bullish Market</w:t>
      </w:r>
    </w:p>
    <w:p>
      <w:r>
        <w:t>As shown in 14,The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14. Chi-square test for Hydro Stocks  in Bearish Market</w:t>
      </w:r>
    </w:p>
    <w:p>
      <w:r>
        <w:t>As shown in 15,The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15. Chi-square test for Microfinance Stocks  in Bullish Market</w:t>
      </w:r>
    </w:p>
    <w:p>
      <w:r>
        <w:t>As shown in 16,The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16. Chi-square test for Microfinance Stocks  in Bearish Market</w:t>
      </w:r>
    </w:p>
    <w:p>
      <w:r>
        <w:t>As shown in 17,The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17. Chi-square test for Expensive Stocks  in Bullish Market</w:t>
      </w:r>
    </w:p>
    <w:p>
      <w:r>
        <w:t>As shown in 18,The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18. Chi-square test for Expensive Stocks  in Bearish Market</w:t>
      </w:r>
    </w:p>
    <w:p>
      <w:r>
        <w:t>As shown in 19,The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19. Chi-square test for Low Floating Stocks  in Bullish Market</w:t>
      </w:r>
    </w:p>
    <w:p>
      <w:r>
        <w:t>As shown in 20,The table highlights P-values for High, Low, and Close trends across Hammer, Shooting Star, and Marubozu patterns over 2 Days, 4 Days, and 8 Days. Key insights:</w:t>
        <w:br/>
        <w:br/>
        <w:t>Strong Significance:</w:t>
        <w:br/>
        <w:br/>
        <w:t>Marubozu: Consistently significant across all timeframes (e.g., P = 0.9999 for Low in 2 Days).</w:t>
        <w:br/>
        <w:br/>
        <w:t>Hammer: Significant in shorter timeframes (e.g., P = 0.0003 for Low in 2 Days).</w:t>
        <w:br/>
        <w:br/>
        <w:t>Weak Significance:</w:t>
        <w:br/>
        <w:br/>
        <w:t>Shooting Star: Weak trends (e.g., P = 0.9987 for High in 2 Days), making it unreliable.</w:t>
        <w:br/>
        <w:br/>
        <w:t>Timeframe Impact:</w:t>
        <w:br/>
        <w:br/>
        <w:t>Shorter timeframes (2 Days) show stronger trends, while significance weakens over longer periods (8 Days).</w:t>
        <w:br/>
        <w:br/>
        <w:t>Implications:</w:t>
        <w:br/>
        <w:br/>
        <w:t>Prioritize Marubozu for robust trends; use Hammer cautiously in short-term trading. Avoid relying on Shooting Star due to weak significance.</w:t>
        <w:br/>
        <w:br/>
        <w:t>This summary provides actionable insights for traders while emphasizing the need for further validation of mid-range P-values.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vMerge w:val="restart"/>
          </w:tcPr>
          <w:p>
            <w:r>
              <w:t>Period</w:t>
            </w:r>
          </w:p>
        </w:tc>
        <w:tc>
          <w:tcPr>
            <w:tcW w:type="dxa" w:w="1080"/>
            <w:vMerge w:val="restart"/>
          </w:tcPr>
          <w:p>
            <w:r>
              <w:t>Candles</w:t>
            </w:r>
          </w:p>
        </w:tc>
        <w:tc>
          <w:tcPr>
            <w:tcW w:type="dxa" w:w="2160"/>
            <w:gridSpan w:val="2"/>
          </w:tcPr>
          <w:p>
            <w:r>
              <w:t>P-value (HIGH)</w:t>
            </w:r>
          </w:p>
        </w:tc>
        <w:tc>
          <w:tcPr>
            <w:tcW w:type="dxa" w:w="2160"/>
            <w:gridSpan w:val="2"/>
          </w:tcPr>
          <w:p>
            <w:r>
              <w:t>P-value (LOW)</w:t>
            </w:r>
          </w:p>
        </w:tc>
        <w:tc>
          <w:tcPr>
            <w:tcW w:type="dxa" w:w="2160"/>
            <w:gridSpan w:val="2"/>
          </w:tcPr>
          <w:p>
            <w:r>
              <w:t>P-value (Close)</w:t>
            </w:r>
          </w:p>
        </w:tc>
      </w:tr>
      <w:tr>
        <w:tc>
          <w:tcPr>
            <w:tcW w:type="dxa" w:w="1080"/>
            <w:vMerge/>
          </w:tcPr>
          <w:p/>
        </w:tc>
        <w:tc>
          <w:tcPr>
            <w:tcW w:type="dxa" w:w="1080"/>
            <w:vMerge/>
          </w:tcPr>
          <w:p/>
        </w:tc>
        <w:tc>
          <w:tcPr>
            <w:tcW w:type="dxa" w:w="1080"/>
          </w:tcPr>
          <w:p>
            <w:r>
              <w:t>Yes</w:t>
            </w:r>
          </w:p>
        </w:tc>
        <w:tc>
          <w:tcPr>
            <w:tcW w:type="dxa" w:w="1080"/>
          </w:tcPr>
          <w:p>
            <w:r>
              <w:t>No</w:t>
            </w:r>
          </w:p>
        </w:tc>
        <w:tc>
          <w:tcPr>
            <w:tcW w:type="dxa" w:w="1080"/>
          </w:tcPr>
          <w:p>
            <w:r>
              <w:t>Yes</w:t>
            </w:r>
          </w:p>
        </w:tc>
        <w:tc>
          <w:tcPr>
            <w:tcW w:type="dxa" w:w="1080"/>
          </w:tcPr>
          <w:p>
            <w:r>
              <w:t>No</w:t>
            </w:r>
          </w:p>
        </w:tc>
        <w:tc>
          <w:tcPr>
            <w:tcW w:type="dxa" w:w="1080"/>
          </w:tcPr>
          <w:p>
            <w:r>
              <w:t>Yes</w:t>
            </w:r>
          </w:p>
        </w:tc>
        <w:tc>
          <w:tcPr>
            <w:tcW w:type="dxa" w:w="1080"/>
          </w:tcPr>
          <w:p>
            <w:r>
              <w:t>No</w:t>
            </w:r>
          </w:p>
        </w:tc>
      </w:tr>
      <w:tr>
        <w:tc>
          <w:tcPr>
            <w:tcW w:type="dxa" w:w="1080"/>
            <w:vMerge w:val="restart"/>
          </w:tcPr>
          <w:p>
            <w:r>
              <w:t>2 Days</w:t>
            </w:r>
          </w:p>
        </w:tc>
        <w:tc>
          <w:tcPr>
            <w:tcW w:type="dxa" w:w="1080"/>
          </w:tcPr>
          <w:p>
            <w:r>
              <w:t>Hammer</w:t>
            </w:r>
          </w:p>
        </w:tc>
        <w:tc>
          <w:tcPr>
            <w:tcW w:type="dxa" w:w="1080"/>
          </w:tcPr>
          <w:p>
            <w:r>
              <w:t>0.0343</w:t>
            </w:r>
          </w:p>
        </w:tc>
        <w:tc>
          <w:tcPr>
            <w:tcW w:type="dxa" w:w="1080"/>
          </w:tcPr>
          <w:p>
            <w:r>
              <w:t>0.9987</w:t>
            </w:r>
          </w:p>
        </w:tc>
        <w:tc>
          <w:tcPr>
            <w:tcW w:type="dxa" w:w="1080"/>
          </w:tcPr>
          <w:p>
            <w:r>
              <w:t>0.0003</w:t>
            </w:r>
          </w:p>
        </w:tc>
        <w:tc>
          <w:tcPr>
            <w:tcW w:type="dxa" w:w="1080"/>
          </w:tcPr>
          <w:p>
            <w:r>
              <w:t>0.9875</w:t>
            </w:r>
          </w:p>
        </w:tc>
        <w:tc>
          <w:tcPr>
            <w:tcW w:type="dxa" w:w="1080"/>
          </w:tcPr>
          <w:p>
            <w:r>
              <w:t>0.0124</w:t>
            </w:r>
          </w:p>
        </w:tc>
        <w:tc>
          <w:tcPr>
            <w:tcW w:type="dxa" w:w="1080"/>
          </w:tcPr>
          <w:p>
            <w:r>
              <w:t>0.9999</w:t>
            </w:r>
          </w:p>
        </w:tc>
      </w:tr>
      <w:tr>
        <w:tc>
          <w:tcPr>
            <w:tcW w:type="dxa" w:w="1080"/>
            <w:vMerge/>
          </w:tcPr>
          <w:p/>
        </w:tc>
        <w:tc>
          <w:tcPr>
            <w:tcW w:type="dxa" w:w="1080"/>
          </w:tcPr>
          <w:p>
            <w:r>
              <w:t>Shooting ✦</w:t>
            </w:r>
          </w:p>
        </w:tc>
        <w:tc>
          <w:tcPr>
            <w:tcW w:type="dxa" w:w="1080"/>
          </w:tcPr>
          <w:p>
            <w:r>
              <w:t>0.2499</w:t>
            </w:r>
          </w:p>
        </w:tc>
        <w:tc>
          <w:tcPr>
            <w:tcW w:type="dxa" w:w="1080"/>
          </w:tcPr>
          <w:p>
            <w:r>
              <w:t>0.9987</w:t>
            </w:r>
          </w:p>
        </w:tc>
        <w:tc>
          <w:tcPr>
            <w:tcW w:type="dxa" w:w="1080"/>
          </w:tcPr>
          <w:p>
            <w:r>
              <w:t>0.0001</w:t>
            </w:r>
          </w:p>
        </w:tc>
        <w:tc>
          <w:tcPr>
            <w:tcW w:type="dxa" w:w="1080"/>
          </w:tcPr>
          <w:p>
            <w:r>
              <w:t>0.9567</w:t>
            </w:r>
          </w:p>
        </w:tc>
        <w:tc>
          <w:tcPr>
            <w:tcW w:type="dxa" w:w="1080"/>
          </w:tcPr>
          <w:p>
            <w:r>
              <w:t>0.2499</w:t>
            </w:r>
          </w:p>
        </w:tc>
        <w:tc>
          <w:tcPr>
            <w:tcW w:type="dxa" w:w="1080"/>
          </w:tcPr>
          <w:p>
            <w:r>
              <w:t>0.9995</w:t>
            </w:r>
          </w:p>
        </w:tc>
      </w:tr>
      <w:tr>
        <w:tc>
          <w:tcPr>
            <w:tcW w:type="dxa" w:w="1080"/>
            <w:vMerge/>
          </w:tcPr>
          <w:p/>
        </w:tc>
        <w:tc>
          <w:tcPr>
            <w:tcW w:type="dxa" w:w="1080"/>
          </w:tcPr>
          <w:p>
            <w:r>
              <w:t>Marubozu</w:t>
            </w:r>
          </w:p>
        </w:tc>
        <w:tc>
          <w:tcPr>
            <w:tcW w:type="dxa" w:w="1080"/>
          </w:tcPr>
          <w:p>
            <w:r>
              <w:t>0.9987</w:t>
            </w:r>
          </w:p>
        </w:tc>
        <w:tc>
          <w:tcPr>
            <w:tcW w:type="dxa" w:w="1080"/>
          </w:tcPr>
          <w:p>
            <w:r>
              <w:t>0.0003</w:t>
            </w:r>
          </w:p>
        </w:tc>
        <w:tc>
          <w:tcPr>
            <w:tcW w:type="dxa" w:w="1080"/>
          </w:tcPr>
          <w:p>
            <w:r>
              <w:t>0.9999</w:t>
            </w:r>
          </w:p>
        </w:tc>
        <w:tc>
          <w:tcPr>
            <w:tcW w:type="dxa" w:w="1080"/>
          </w:tcPr>
          <w:p>
            <w:r>
              <w:t>0.0343</w:t>
            </w:r>
          </w:p>
        </w:tc>
        <w:tc>
          <w:tcPr>
            <w:tcW w:type="dxa" w:w="1080"/>
          </w:tcPr>
          <w:p>
            <w:r>
              <w:t>0.9987</w:t>
            </w:r>
          </w:p>
        </w:tc>
        <w:tc>
          <w:tcPr>
            <w:tcW w:type="dxa" w:w="1080"/>
          </w:tcPr>
          <w:p>
            <w:r>
              <w:t>0.0012</w:t>
            </w:r>
          </w:p>
        </w:tc>
      </w:tr>
      <w:tr>
        <w:tc>
          <w:tcPr>
            <w:tcW w:type="dxa" w:w="1080"/>
            <w:vMerge w:val="restart"/>
          </w:tcPr>
          <w:p>
            <w:r>
              <w:t>4 Days</w:t>
            </w:r>
          </w:p>
        </w:tc>
        <w:tc>
          <w:tcPr>
            <w:tcW w:type="dxa" w:w="1080"/>
          </w:tcPr>
          <w:p>
            <w:r>
              <w:t>Hammer</w:t>
            </w:r>
          </w:p>
        </w:tc>
        <w:tc>
          <w:tcPr>
            <w:tcW w:type="dxa" w:w="1080"/>
          </w:tcPr>
          <w:p>
            <w:r>
              <w:t>0.1234</w:t>
            </w:r>
          </w:p>
        </w:tc>
        <w:tc>
          <w:tcPr>
            <w:tcW w:type="dxa" w:w="1080"/>
          </w:tcPr>
          <w:p>
            <w:r>
              <w:t>0.9990</w:t>
            </w:r>
          </w:p>
        </w:tc>
        <w:tc>
          <w:tcPr>
            <w:tcW w:type="dxa" w:w="1080"/>
          </w:tcPr>
          <w:p>
            <w:r>
              <w:t>0.0032</w:t>
            </w:r>
          </w:p>
        </w:tc>
        <w:tc>
          <w:tcPr>
            <w:tcW w:type="dxa" w:w="1080"/>
          </w:tcPr>
          <w:p>
            <w:r>
              <w:t>0.9945</w:t>
            </w:r>
          </w:p>
        </w:tc>
        <w:tc>
          <w:tcPr>
            <w:tcW w:type="dxa" w:w="1080"/>
          </w:tcPr>
          <w:p>
            <w:r>
              <w:t>0.0456</w:t>
            </w:r>
          </w:p>
        </w:tc>
        <w:tc>
          <w:tcPr>
            <w:tcW w:type="dxa" w:w="1080"/>
          </w:tcPr>
          <w:p>
            <w:r>
              <w:t>0.9998</w:t>
            </w:r>
          </w:p>
        </w:tc>
      </w:tr>
      <w:tr>
        <w:tc>
          <w:tcPr>
            <w:tcW w:type="dxa" w:w="1080"/>
            <w:vMerge/>
          </w:tcPr>
          <w:p/>
        </w:tc>
        <w:tc>
          <w:tcPr>
            <w:tcW w:type="dxa" w:w="1080"/>
          </w:tcPr>
          <w:p>
            <w:r>
              <w:t>Shooting ✦</w:t>
            </w:r>
          </w:p>
        </w:tc>
        <w:tc>
          <w:tcPr>
            <w:tcW w:type="dxa" w:w="1080"/>
          </w:tcPr>
          <w:p>
            <w:r>
              <w:t>0.2999</w:t>
            </w:r>
          </w:p>
        </w:tc>
        <w:tc>
          <w:tcPr>
            <w:tcW w:type="dxa" w:w="1080"/>
          </w:tcPr>
          <w:p>
            <w:r>
              <w:t>0.9972</w:t>
            </w:r>
          </w:p>
        </w:tc>
        <w:tc>
          <w:tcPr>
            <w:tcW w:type="dxa" w:w="1080"/>
          </w:tcPr>
          <w:p>
            <w:r>
              <w:t>0.0021</w:t>
            </w:r>
          </w:p>
        </w:tc>
        <w:tc>
          <w:tcPr>
            <w:tcW w:type="dxa" w:w="1080"/>
          </w:tcPr>
          <w:p>
            <w:r>
              <w:t>0.9782</w:t>
            </w:r>
          </w:p>
        </w:tc>
        <w:tc>
          <w:tcPr>
            <w:tcW w:type="dxa" w:w="1080"/>
          </w:tcPr>
          <w:p>
            <w:r>
              <w:t>0.1999</w:t>
            </w:r>
          </w:p>
        </w:tc>
        <w:tc>
          <w:tcPr>
            <w:tcW w:type="dxa" w:w="1080"/>
          </w:tcPr>
          <w:p>
            <w:r>
              <w:t>0.9977</w:t>
            </w:r>
          </w:p>
        </w:tc>
      </w:tr>
      <w:tr>
        <w:tc>
          <w:tcPr>
            <w:tcW w:type="dxa" w:w="1080"/>
            <w:vMerge/>
          </w:tcPr>
          <w:p/>
        </w:tc>
        <w:tc>
          <w:tcPr>
            <w:tcW w:type="dxa" w:w="1080"/>
          </w:tcPr>
          <w:p>
            <w:r>
              <w:t>Marubozu</w:t>
            </w:r>
          </w:p>
        </w:tc>
        <w:tc>
          <w:tcPr>
            <w:tcW w:type="dxa" w:w="1080"/>
          </w:tcPr>
          <w:p>
            <w:r>
              <w:t>0.9999</w:t>
            </w:r>
          </w:p>
        </w:tc>
        <w:tc>
          <w:tcPr>
            <w:tcW w:type="dxa" w:w="1080"/>
          </w:tcPr>
          <w:p>
            <w:r>
              <w:t>0.0009</w:t>
            </w:r>
          </w:p>
        </w:tc>
        <w:tc>
          <w:tcPr>
            <w:tcW w:type="dxa" w:w="1080"/>
          </w:tcPr>
          <w:p>
            <w:r>
              <w:t>0.9987</w:t>
            </w:r>
          </w:p>
        </w:tc>
        <w:tc>
          <w:tcPr>
            <w:tcW w:type="dxa" w:w="1080"/>
          </w:tcPr>
          <w:p>
            <w:r>
              <w:t>0.0213</w:t>
            </w:r>
          </w:p>
        </w:tc>
        <w:tc>
          <w:tcPr>
            <w:tcW w:type="dxa" w:w="1080"/>
          </w:tcPr>
          <w:p>
            <w:r>
              <w:t>0.9995</w:t>
            </w:r>
          </w:p>
        </w:tc>
        <w:tc>
          <w:tcPr>
            <w:tcW w:type="dxa" w:w="1080"/>
          </w:tcPr>
          <w:p>
            <w:r>
              <w:t>0.0045</w:t>
            </w:r>
          </w:p>
        </w:tc>
      </w:tr>
      <w:tr>
        <w:tc>
          <w:tcPr>
            <w:tcW w:type="dxa" w:w="1080"/>
            <w:vMerge w:val="restart"/>
          </w:tcPr>
          <w:p>
            <w:r>
              <w:t>8 Days</w:t>
            </w:r>
          </w:p>
        </w:tc>
        <w:tc>
          <w:tcPr>
            <w:tcW w:type="dxa" w:w="1080"/>
          </w:tcPr>
          <w:p>
            <w:r>
              <w:t>Hammer</w:t>
            </w:r>
          </w:p>
        </w:tc>
        <w:tc>
          <w:tcPr>
            <w:tcW w:type="dxa" w:w="1080"/>
          </w:tcPr>
          <w:p>
            <w:r>
              <w:t>0.0678</w:t>
            </w:r>
          </w:p>
        </w:tc>
        <w:tc>
          <w:tcPr>
            <w:tcW w:type="dxa" w:w="1080"/>
          </w:tcPr>
          <w:p>
            <w:r>
              <w:t>0.9954</w:t>
            </w:r>
          </w:p>
        </w:tc>
        <w:tc>
          <w:tcPr>
            <w:tcW w:type="dxa" w:w="1080"/>
          </w:tcPr>
          <w:p>
            <w:r>
              <w:t>0.0054</w:t>
            </w:r>
          </w:p>
        </w:tc>
        <w:tc>
          <w:tcPr>
            <w:tcW w:type="dxa" w:w="1080"/>
          </w:tcPr>
          <w:p>
            <w:r>
              <w:t>0.9899</w:t>
            </w:r>
          </w:p>
        </w:tc>
        <w:tc>
          <w:tcPr>
            <w:tcW w:type="dxa" w:w="1080"/>
          </w:tcPr>
          <w:p>
            <w:r>
              <w:t>0.0789</w:t>
            </w:r>
          </w:p>
        </w:tc>
        <w:tc>
          <w:tcPr>
            <w:tcW w:type="dxa" w:w="1080"/>
          </w:tcPr>
          <w:p>
            <w:r>
              <w:t>0.9993</w:t>
            </w:r>
          </w:p>
        </w:tc>
      </w:tr>
      <w:tr>
        <w:tc>
          <w:tcPr>
            <w:tcW w:type="dxa" w:w="1080"/>
            <w:vMerge/>
          </w:tcPr>
          <w:p/>
        </w:tc>
        <w:tc>
          <w:tcPr>
            <w:tcW w:type="dxa" w:w="1080"/>
          </w:tcPr>
          <w:p>
            <w:r>
              <w:t>Shooting ✦</w:t>
            </w:r>
          </w:p>
        </w:tc>
        <w:tc>
          <w:tcPr>
            <w:tcW w:type="dxa" w:w="1080"/>
          </w:tcPr>
          <w:p>
            <w:r>
              <w:t>0.1999</w:t>
            </w:r>
          </w:p>
        </w:tc>
        <w:tc>
          <w:tcPr>
            <w:tcW w:type="dxa" w:w="1080"/>
          </w:tcPr>
          <w:p>
            <w:r>
              <w:t>0.9966</w:t>
            </w:r>
          </w:p>
        </w:tc>
        <w:tc>
          <w:tcPr>
            <w:tcW w:type="dxa" w:w="1080"/>
          </w:tcPr>
          <w:p>
            <w:r>
              <w:t>0.0019</w:t>
            </w:r>
          </w:p>
        </w:tc>
        <w:tc>
          <w:tcPr>
            <w:tcW w:type="dxa" w:w="1080"/>
          </w:tcPr>
          <w:p>
            <w:r>
              <w:t>0.9654</w:t>
            </w:r>
          </w:p>
        </w:tc>
        <w:tc>
          <w:tcPr>
            <w:tcW w:type="dxa" w:w="1080"/>
          </w:tcPr>
          <w:p>
            <w:r>
              <w:t>0.1776</w:t>
            </w:r>
          </w:p>
        </w:tc>
        <w:tc>
          <w:tcPr>
            <w:tcW w:type="dxa" w:w="1080"/>
          </w:tcPr>
          <w:p>
            <w:r>
              <w:t>0.9921</w:t>
            </w:r>
          </w:p>
        </w:tc>
      </w:tr>
      <w:tr>
        <w:tc>
          <w:tcPr>
            <w:tcW w:type="dxa" w:w="1080"/>
            <w:vMerge/>
          </w:tcPr>
          <w:p/>
        </w:tc>
        <w:tc>
          <w:tcPr>
            <w:tcW w:type="dxa" w:w="1080"/>
          </w:tcPr>
          <w:p>
            <w:r>
              <w:t>Marubozu</w:t>
            </w:r>
          </w:p>
        </w:tc>
        <w:tc>
          <w:tcPr>
            <w:tcW w:type="dxa" w:w="1080"/>
          </w:tcPr>
          <w:p>
            <w:r>
              <w:t>0.9988</w:t>
            </w:r>
          </w:p>
        </w:tc>
        <w:tc>
          <w:tcPr>
            <w:tcW w:type="dxa" w:w="1080"/>
          </w:tcPr>
          <w:p>
            <w:r>
              <w:t>0.0007</w:t>
            </w:r>
          </w:p>
        </w:tc>
        <w:tc>
          <w:tcPr>
            <w:tcW w:type="dxa" w:w="1080"/>
          </w:tcPr>
          <w:p>
            <w:r>
              <w:t>0.9994</w:t>
            </w:r>
          </w:p>
        </w:tc>
        <w:tc>
          <w:tcPr>
            <w:tcW w:type="dxa" w:w="1080"/>
          </w:tcPr>
          <w:p>
            <w:r>
              <w:t>0.0198</w:t>
            </w:r>
          </w:p>
        </w:tc>
        <w:tc>
          <w:tcPr>
            <w:tcW w:type="dxa" w:w="1080"/>
          </w:tcPr>
          <w:p>
            <w:r>
              <w:t>0.9991</w:t>
            </w:r>
          </w:p>
        </w:tc>
        <w:tc>
          <w:tcPr>
            <w:tcW w:type="dxa" w:w="1080"/>
          </w:tcPr>
          <w:p>
            <w:r>
              <w:t>0.0023</w:t>
            </w:r>
          </w:p>
        </w:tc>
      </w:tr>
    </w:tbl>
    <w:p>
      <w:r>
        <w:t>Table 20. Chi-square test for Low Floating Stocks  in Bearish Market</w:t>
      </w:r>
    </w:p>
    <w:p>
      <w:pPr>
        <w:pStyle w:val="Heading1"/>
      </w:pPr>
      <w:r>
        <w:t>5.0 Conclusion:</w:t>
      </w:r>
    </w:p>
    <w:p>
      <w:pPr>
        <w:pStyle w:val="Heading2"/>
      </w:pPr>
      <w:r>
        <w:t>5.0.1 Summary</w:t>
      </w:r>
    </w:p>
    <w:p>
      <w:r>
        <w:br/>
        <w:t>This study aimed to evaluate the effectiveness of three candlestick patterns—Hammer, Shooting Star, and Marubozu—in predicting market trends across different timeframes (2 Days, 4 Days, 8 Days). The analysis was conducted using two key metrics: Hit(%), which measures the success rate of each pattern in predicting trends, and P-values, which assess the statistical significance of these predictions. The study focused on three primary trends: High, Low, and Close.</w:t>
        <w:br/>
        <w:br/>
        <w:t>Descriptive Analysis</w:t>
        <w:br/>
        <w:t>The descriptive analysis revealed clear differences in the performance of the three patterns. Marubozu emerged as the most reliable pattern, consistently achieving a 40% Hit rate across all timeframes and metrics. This indicates that Marubozu is highly effective in predicting upward, downward, and closing trends. In contrast, Hammer showed moderate success, with Hit rates improving slightly over longer timeframes (e.g., 30%–35% in 8 Days compared to 15%–30% in 2 Days). Shooting Star was the least effective, with consistently low Hit rates of 25% across all timeframes and metrics, suggesting it is not a reliable indicator of trends.</w:t>
        <w:br/>
        <w:br/>
        <w:t>Inferential Analysis</w:t>
        <w:br/>
        <w:t>The inferential analysis, based on P-values, provided further insights into the statistical significance of the observed trends. Marubozu consistently demonstrated strong statistical significance, with P-values near 0.9999 for Trend = Yes, indicating near-certainty in its predictions. Hammer showed moderate significance in shorter timeframes (e.g., P = 0.0003 for Low in 2 Days) but weakened over longer periods (e.g., P = 0.0789 for Close in 8 Days). Shooting Star consistently showed weak significance, with P-values near 0.9987 for Trend = No, suggesting that its predictions are likely due to random variation.</w:t>
        <w:br/>
        <w:br/>
        <w:t>Key Insights</w:t>
        <w:br/>
        <w:t>Marubozu is the most reliable pattern, with high Hit rates and strong statistical significance across all timeframes.</w:t>
        <w:br/>
        <w:br/>
        <w:t>Hammer is moderately effective, particularly in shorter timeframes, but its reliability diminishes over longer periods.</w:t>
        <w:br/>
        <w:br/>
        <w:t>Shooting Star is the least reliable, with low Hit rates and weak statistical significance.</w:t>
        <w:br/>
        <w:br/>
        <w:br/>
      </w:r>
    </w:p>
    <w:p>
      <w:pPr>
        <w:pStyle w:val="Heading2"/>
      </w:pPr>
      <w:r>
        <w:t>5.0.2 Conclusion</w:t>
      </w:r>
    </w:p>
    <w:p>
      <w:r>
        <w:br/>
        <w:t>The findings of this study provide valuable insights into the effectiveness of different candlestick patterns in predicting market trends. Marubozu stands out as the most reliable pattern, consistently delivering high Hit rates and strong statistical significance across all timeframes and metrics. This makes it an excellent tool for traders seeking accurate trend predictions. Hammer also shows promise, particularly in shorter timeframes, but its performance declines over longer periods, suggesting that it should be used with caution in extended analyses. Shooting Star, on the other hand, is the least effective pattern, with consistently low Hit rates and weak statistical significance, making it an unreliable indicator of trends.</w:t>
        <w:br/>
        <w:br/>
        <w:t>The study also highlights the importance of considering timeframes when analyzing candlestick patterns. Shorter timeframes (e.g., 2 Days) tend to yield more reliable results for certain patterns like Hammer, while Marubozu maintains its effectiveness across all timeframes. This underscores the need for traders to carefully select patterns and timeframes based on their specific trading strategies and goals.</w:t>
        <w:br/>
        <w:br/>
        <w:t>Overall, the results demonstrate that Marubozu is the most robust and reliable pattern for trend prediction, while Hammer and Shooting Star have limited utility. These findings provide a solid foundation for traders to make informed decisions and improve their trading strategies.</w:t>
        <w:br/>
        <w:br/>
        <w:br/>
      </w:r>
    </w:p>
    <w:p>
      <w:pPr>
        <w:pStyle w:val="Heading2"/>
      </w:pPr>
      <w:r>
        <w:t>5.0.3 Recommendation</w:t>
      </w:r>
    </w:p>
    <w:p>
      <w:r>
        <w:br/>
        <w:t>Based on the findings of this study, the following recommendations are proposed for traders and researchers:</w:t>
        <w:br/>
        <w:br/>
        <w:t>1. Prioritize Marubozu Patterns</w:t>
        <w:br/>
        <w:t>Marubozu patterns should be the primary focus for traders due to their consistently high Hit rates and strong statistical significance across all timeframes. These patterns are highly effective in predicting upward, downward, and closing trends, making them a valuable tool for both short-term and long-term trading strategies.</w:t>
        <w:br/>
        <w:br/>
        <w:t>2. Use Hammer Patterns Cautiously</w:t>
        <w:br/>
        <w:t>Hammer patterns can be useful for short-term trend predictions, particularly in 2-day and 4-day timeframes. However, their reliability decreases over longer periods, so traders should use them with caution and consider additional confirmation signals when making decisions based on this pattern.</w:t>
        <w:br/>
        <w:br/>
        <w:t>3. Avoid Shooting Star Patterns</w:t>
        <w:br/>
        <w:t>Shooting Star patterns should be avoided or used with extreme caution due to their low Hit rates and weak statistical significance. These patterns are not reliable indicators of trends and are likely to lead to inaccurate predictions.</w:t>
        <w:br/>
        <w:br/>
        <w:t>4. Consider Timeframes Carefully</w:t>
        <w:br/>
        <w:t>Traders should carefully consider the impact of timeframes on pattern performance. Shorter timeframes (e.g., 2 Days) tend to yield more reliable results for certain patterns like Hammer, while Marubozu maintains its effectiveness across all timeframes. Selecting the appropriate timeframe is crucial for maximizing the accuracy of trend predictions.</w:t>
        <w:br/>
        <w:br/>
        <w:t>5. Conduct Further Research</w:t>
        <w:br/>
        <w:t>Future studies should explore larger datasets and additional candlestick patterns to validate these findings and identify other reliable indicators. Researchers should also investigate the impact of external factors, such as market volatility and economic events, on the performance of candlestick patterns.</w:t>
        <w:br/>
        <w:br/>
        <w:t>6. Develop Trading Strategies</w:t>
        <w:br/>
        <w:t>Traders should develop and test trading strategies that incorporate the insights from this study. For example, strategies that prioritize Marubozu patterns and use Hammer patterns selectively in shorter timeframes are likely to yield better results. Backtesting these strategies on historical data can help refine their effectiveness.</w:t>
        <w:br/>
        <w:br/>
        <w:t>7. Educate Traders</w:t>
        <w:br/>
        <w:t>Educational programs and resources should emphasize the importance of understanding candlestick patterns and their performance across different timeframes. Traders should be trained to recognize reliable patterns like Marubozu and avoid less reliable ones like Shooting Star.</w:t>
        <w:br/>
        <w:br/>
        <w:br/>
      </w:r>
    </w:p>
    <w:sectPr w:rsidR="00FC693F" w:rsidRPr="0006063C" w:rsidSect="00034616">
      <w:pgSz w:w="12240" w:h="15840"/>
      <w:pgMar w:top="1440" w:right="1800" w:bottom="1440" w:left="1800" w:header="720" w:footer="720" w:gutter="0"/>
      <w:cols w:space="720"/>
      <w:docGrid w:linePitch="360"/>
    </w:sectPr>
    <w:tbl>
      <w:tblPr>
        <w:tblStyle w:val="TableGrid"/>
        <w:tblW w:type="auto" w:w="0"/>
        <w:tblLook w:firstColumn="1" w:firstRow="1" w:lastColumn="0" w:lastRow="0" w:noHBand="0" w:noVBand="1" w:val="04A0"/>
      </w:tblPr>
      <w:tblGrid>
        <w:gridCol w:w="4320"/>
        <w:gridCol w:w="4320"/>
      </w:tblGrid>
      <w:tr>
        <w:tc>
          <w:tcPr>
            <w:tcW w:type="dxa" w:w="4320"/>
          </w:tcPr>
          <w:p>
            <w:r>
              <w:rPr>
                <w:b/>
                <w:color w:val="0000FF"/>
              </w:rPr>
              <w:t>Index</w:t>
            </w:r>
          </w:p>
        </w:tc>
        <w:tc>
          <w:tcPr>
            <w:tcW w:type="dxa" w:w="4320"/>
          </w:tcPr>
          <w:p>
            <w:r>
              <w:rPr>
                <w:b/>
                <w:color w:val="0000FF"/>
              </w:rPr>
              <w:t>Description</w:t>
            </w:r>
          </w:p>
        </w:tc>
      </w:tr>
      <w:tr>
        <w:tc>
          <w:tcPr>
            <w:tcW w:type="dxa" w:w="4320"/>
          </w:tcPr>
          <w:p>
            <w:r>
              <w:t>1</w:t>
            </w:r>
          </w:p>
        </w:tc>
        <w:tc>
          <w:tcPr>
            <w:tcW w:type="dxa" w:w="4320"/>
          </w:tcPr>
          <w:p>
            <w:r>
              <w:t>Description for item 1</w:t>
            </w:r>
          </w:p>
        </w:tc>
      </w:tr>
      <w:tr>
        <w:tc>
          <w:tcPr>
            <w:tcW w:type="dxa" w:w="4320"/>
          </w:tcPr>
          <w:p>
            <w:r>
              <w:t>2</w:t>
            </w:r>
          </w:p>
        </w:tc>
        <w:tc>
          <w:tcPr>
            <w:tcW w:type="dxa" w:w="4320"/>
          </w:tcPr>
          <w:p>
            <w:r>
              <w:t>Description for item 2</w:t>
            </w:r>
          </w:p>
        </w:tc>
      </w:tr>
      <w:tr>
        <w:tc>
          <w:tcPr>
            <w:tcW w:type="dxa" w:w="4320"/>
          </w:tcPr>
          <w:p>
            <w:r>
              <w:t>3</w:t>
            </w:r>
          </w:p>
        </w:tc>
        <w:tc>
          <w:tcPr>
            <w:tcW w:type="dxa" w:w="4320"/>
          </w:tcPr>
          <w:p>
            <w:r>
              <w:t>Description for item 3</w:t>
            </w:r>
          </w:p>
        </w:tc>
      </w:tr>
      <w:tr>
        <w:tc>
          <w:tcPr>
            <w:tcW w:type="dxa" w:w="4320"/>
          </w:tcPr>
          <w:p>
            <w:r>
              <w:t>4</w:t>
            </w:r>
          </w:p>
        </w:tc>
        <w:tc>
          <w:tcPr>
            <w:tcW w:type="dxa" w:w="4320"/>
          </w:tcPr>
          <w:p>
            <w:r>
              <w:t>Description for item 4</w:t>
            </w:r>
          </w:p>
        </w:tc>
      </w:tr>
      <w:tr>
        <w:tc>
          <w:tcPr>
            <w:tcW w:type="dxa" w:w="4320"/>
          </w:tcPr>
          <w:p>
            <w:r>
              <w:t>5</w:t>
            </w:r>
          </w:p>
        </w:tc>
        <w:tc>
          <w:tcPr>
            <w:tcW w:type="dxa" w:w="4320"/>
          </w:tcPr>
          <w:p>
            <w:r>
              <w:t>Description for item 5</w:t>
            </w:r>
          </w:p>
        </w:tc>
      </w:tr>
      <w:tr>
        <w:tc>
          <w:tcPr>
            <w:tcW w:type="dxa" w:w="4320"/>
          </w:tcPr>
          <w:p>
            <w:r>
              <w:t>6</w:t>
            </w:r>
          </w:p>
        </w:tc>
        <w:tc>
          <w:tcPr>
            <w:tcW w:type="dxa" w:w="4320"/>
          </w:tcPr>
          <w:p>
            <w:r>
              <w:t>Description for item 6</w:t>
            </w:r>
          </w:p>
        </w:tc>
      </w:tr>
      <w:tr>
        <w:tc>
          <w:tcPr>
            <w:tcW w:type="dxa" w:w="4320"/>
          </w:tcPr>
          <w:p>
            <w:r>
              <w:t>7</w:t>
            </w:r>
          </w:p>
        </w:tc>
        <w:tc>
          <w:tcPr>
            <w:tcW w:type="dxa" w:w="4320"/>
          </w:tcPr>
          <w:p>
            <w:r>
              <w:t>Description for item 7</w:t>
            </w:r>
          </w:p>
        </w:tc>
      </w:tr>
      <w:tr>
        <w:tc>
          <w:tcPr>
            <w:tcW w:type="dxa" w:w="4320"/>
          </w:tcPr>
          <w:p>
            <w:r>
              <w:t>8</w:t>
            </w:r>
          </w:p>
        </w:tc>
        <w:tc>
          <w:tcPr>
            <w:tcW w:type="dxa" w:w="4320"/>
          </w:tcPr>
          <w:p>
            <w:r>
              <w:t>Description for item 8</w:t>
            </w:r>
          </w:p>
        </w:tc>
      </w:tr>
      <w:tr>
        <w:tc>
          <w:tcPr>
            <w:tcW w:type="dxa" w:w="4320"/>
          </w:tcPr>
          <w:p>
            <w:r>
              <w:t>9</w:t>
            </w:r>
          </w:p>
        </w:tc>
        <w:tc>
          <w:tcPr>
            <w:tcW w:type="dxa" w:w="4320"/>
          </w:tcPr>
          <w:p>
            <w:r>
              <w:t>Description for item 9</w:t>
            </w:r>
          </w:p>
        </w:tc>
      </w:tr>
      <w:tr>
        <w:tc>
          <w:tcPr>
            <w:tcW w:type="dxa" w:w="4320"/>
          </w:tcPr>
          <w:p>
            <w:r>
              <w:t>10</w:t>
            </w:r>
          </w:p>
        </w:tc>
        <w:tc>
          <w:tcPr>
            <w:tcW w:type="dxa" w:w="4320"/>
          </w:tcPr>
          <w:p>
            <w:r>
              <w:t>Description for item 10</w:t>
            </w:r>
          </w:p>
        </w:tc>
      </w:tr>
      <w:tr>
        <w:tc>
          <w:tcPr>
            <w:tcW w:type="dxa" w:w="4320"/>
          </w:tcPr>
          <w:p>
            <w:r>
              <w:t>11</w:t>
            </w:r>
          </w:p>
        </w:tc>
        <w:tc>
          <w:tcPr>
            <w:tcW w:type="dxa" w:w="4320"/>
          </w:tcPr>
          <w:p>
            <w:r>
              <w:t>Description for item 11</w:t>
            </w:r>
          </w:p>
        </w:tc>
      </w:tr>
      <w:tr>
        <w:tc>
          <w:tcPr>
            <w:tcW w:type="dxa" w:w="4320"/>
          </w:tcPr>
          <w:p>
            <w:r>
              <w:t>12</w:t>
            </w:r>
          </w:p>
        </w:tc>
        <w:tc>
          <w:tcPr>
            <w:tcW w:type="dxa" w:w="4320"/>
          </w:tcPr>
          <w:p>
            <w:r>
              <w:t>Description for item 12</w:t>
            </w:r>
          </w:p>
        </w:tc>
      </w:tr>
      <w:tr>
        <w:tc>
          <w:tcPr>
            <w:tcW w:type="dxa" w:w="4320"/>
          </w:tcPr>
          <w:p>
            <w:r>
              <w:t>13</w:t>
            </w:r>
          </w:p>
        </w:tc>
        <w:tc>
          <w:tcPr>
            <w:tcW w:type="dxa" w:w="4320"/>
          </w:tcPr>
          <w:p>
            <w:r>
              <w:t>Description for item 13</w:t>
            </w:r>
          </w:p>
        </w:tc>
      </w:tr>
      <w:tr>
        <w:tc>
          <w:tcPr>
            <w:tcW w:type="dxa" w:w="4320"/>
          </w:tcPr>
          <w:p>
            <w:r>
              <w:t>14</w:t>
            </w:r>
          </w:p>
        </w:tc>
        <w:tc>
          <w:tcPr>
            <w:tcW w:type="dxa" w:w="4320"/>
          </w:tcPr>
          <w:p>
            <w:r>
              <w:t>Description for item 14</w:t>
            </w:r>
          </w:p>
        </w:tc>
      </w:tr>
      <w:tr>
        <w:tc>
          <w:tcPr>
            <w:tcW w:type="dxa" w:w="4320"/>
          </w:tcPr>
          <w:p>
            <w:r>
              <w:t>15</w:t>
            </w:r>
          </w:p>
        </w:tc>
        <w:tc>
          <w:tcPr>
            <w:tcW w:type="dxa" w:w="4320"/>
          </w:tcPr>
          <w:p>
            <w:r>
              <w:t>Description for item 15</w:t>
            </w:r>
          </w:p>
        </w:tc>
      </w:tr>
      <w:tr>
        <w:tc>
          <w:tcPr>
            <w:tcW w:type="dxa" w:w="4320"/>
          </w:tcPr>
          <w:p>
            <w:r>
              <w:t>16</w:t>
            </w:r>
          </w:p>
        </w:tc>
        <w:tc>
          <w:tcPr>
            <w:tcW w:type="dxa" w:w="4320"/>
          </w:tcPr>
          <w:p>
            <w:r>
              <w:t>Description for item 16</w:t>
            </w:r>
          </w:p>
        </w:tc>
      </w:tr>
      <w:tr>
        <w:tc>
          <w:tcPr>
            <w:tcW w:type="dxa" w:w="4320"/>
          </w:tcPr>
          <w:p>
            <w:r>
              <w:t>17</w:t>
            </w:r>
          </w:p>
        </w:tc>
        <w:tc>
          <w:tcPr>
            <w:tcW w:type="dxa" w:w="4320"/>
          </w:tcPr>
          <w:p>
            <w:r>
              <w:t>Description for item 17</w:t>
            </w:r>
          </w:p>
        </w:tc>
      </w:tr>
      <w:tr>
        <w:tc>
          <w:tcPr>
            <w:tcW w:type="dxa" w:w="4320"/>
          </w:tcPr>
          <w:p>
            <w:r>
              <w:t>18</w:t>
            </w:r>
          </w:p>
        </w:tc>
        <w:tc>
          <w:tcPr>
            <w:tcW w:type="dxa" w:w="4320"/>
          </w:tcPr>
          <w:p>
            <w:r>
              <w:t>Description for item 18</w:t>
            </w:r>
          </w:p>
        </w:tc>
      </w:tr>
      <w:tr>
        <w:tc>
          <w:tcPr>
            <w:tcW w:type="dxa" w:w="4320"/>
          </w:tcPr>
          <w:p>
            <w:r>
              <w:t>19</w:t>
            </w:r>
          </w:p>
        </w:tc>
        <w:tc>
          <w:tcPr>
            <w:tcW w:type="dxa" w:w="4320"/>
          </w:tcPr>
          <w:p>
            <w:r>
              <w:t>Description for item 19</w:t>
            </w:r>
          </w:p>
        </w:tc>
      </w:tr>
      <w:tr>
        <w:tc>
          <w:tcPr>
            <w:tcW w:type="dxa" w:w="4320"/>
          </w:tcPr>
          <w:p>
            <w:r>
              <w:t>20</w:t>
            </w:r>
          </w:p>
        </w:tc>
        <w:tc>
          <w:tcPr>
            <w:tcW w:type="dxa" w:w="4320"/>
          </w:tcPr>
          <w:p>
            <w:r>
              <w:t>Description for item 20</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