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0EF3C" w14:textId="1B2FDA33" w:rsidR="00021D3F" w:rsidRPr="00021D3F" w:rsidRDefault="00021D3F" w:rsidP="00021D3F">
      <w:pPr>
        <w:rPr>
          <w:rFonts w:ascii="Times New Roman" w:hAnsi="Times New Roman" w:cs="Times New Roman"/>
          <w:i/>
          <w:iCs/>
          <w:lang w:val="en-US"/>
        </w:rPr>
      </w:pPr>
      <w:r w:rsidRPr="00021D3F">
        <w:rPr>
          <w:rFonts w:ascii="Times New Roman" w:hAnsi="Times New Roman" w:cs="Times New Roman"/>
          <w:i/>
          <w:iCs/>
          <w:lang w:val="en-US"/>
        </w:rPr>
        <w:t>To the Editor-in-Chief and Editorial Board</w:t>
      </w:r>
      <w:r w:rsidRPr="00021D3F">
        <w:rPr>
          <w:rFonts w:ascii="Times New Roman" w:hAnsi="Times New Roman" w:cs="Times New Roman"/>
          <w:i/>
          <w:iCs/>
          <w:lang w:val="en-US"/>
        </w:rPr>
        <w:tab/>
      </w:r>
      <w:r w:rsidRPr="00021D3F">
        <w:rPr>
          <w:rFonts w:ascii="Times New Roman" w:hAnsi="Times New Roman" w:cs="Times New Roman"/>
          <w:i/>
          <w:iCs/>
          <w:lang w:val="en-US"/>
        </w:rPr>
        <w:tab/>
      </w:r>
      <w:r w:rsidRPr="00021D3F">
        <w:rPr>
          <w:rFonts w:ascii="Times New Roman" w:hAnsi="Times New Roman" w:cs="Times New Roman"/>
          <w:i/>
          <w:iCs/>
          <w:lang w:val="en-US"/>
        </w:rPr>
        <w:tab/>
      </w:r>
      <w:r w:rsidRPr="00021D3F">
        <w:rPr>
          <w:rFonts w:ascii="Times New Roman" w:hAnsi="Times New Roman" w:cs="Times New Roman"/>
          <w:i/>
          <w:iCs/>
          <w:lang w:val="en-US"/>
        </w:rPr>
        <w:tab/>
      </w:r>
      <w:r w:rsidRPr="00021D3F">
        <w:rPr>
          <w:rFonts w:ascii="Times New Roman" w:hAnsi="Times New Roman" w:cs="Times New Roman"/>
          <w:i/>
          <w:iCs/>
          <w:lang w:val="en-US"/>
        </w:rPr>
        <w:tab/>
      </w:r>
      <w:r w:rsidRPr="00021D3F">
        <w:rPr>
          <w:rFonts w:ascii="Times New Roman" w:hAnsi="Times New Roman" w:cs="Times New Roman"/>
          <w:i/>
          <w:iCs/>
          <w:lang w:val="en-US"/>
        </w:rPr>
        <w:t>15 August 2026</w:t>
      </w:r>
    </w:p>
    <w:p w14:paraId="03267B6F" w14:textId="77777777" w:rsidR="00021D3F" w:rsidRPr="00021D3F" w:rsidRDefault="00021D3F" w:rsidP="00021D3F">
      <w:pPr>
        <w:rPr>
          <w:rFonts w:ascii="Times New Roman" w:hAnsi="Times New Roman" w:cs="Times New Roman"/>
          <w:i/>
          <w:iCs/>
          <w:lang w:val="en-US"/>
        </w:rPr>
      </w:pPr>
      <w:r w:rsidRPr="00021D3F">
        <w:rPr>
          <w:rFonts w:ascii="Times New Roman" w:hAnsi="Times New Roman" w:cs="Times New Roman"/>
          <w:i/>
          <w:iCs/>
          <w:lang w:val="en-US"/>
        </w:rPr>
        <w:t>*International Journal of Production Research*</w:t>
      </w:r>
    </w:p>
    <w:p w14:paraId="630DA8AD" w14:textId="14195413" w:rsidR="00021D3F" w:rsidRPr="00021D3F" w:rsidRDefault="00021D3F" w:rsidP="00021D3F">
      <w:pPr>
        <w:rPr>
          <w:rFonts w:ascii="Times New Roman" w:hAnsi="Times New Roman" w:cs="Times New Roman"/>
          <w:i/>
          <w:iCs/>
          <w:lang w:val="en-US"/>
        </w:rPr>
      </w:pPr>
      <w:r w:rsidRPr="00021D3F">
        <w:rPr>
          <w:rFonts w:ascii="Times New Roman" w:hAnsi="Times New Roman" w:cs="Times New Roman"/>
          <w:i/>
          <w:iCs/>
          <w:lang w:val="en-US"/>
        </w:rPr>
        <w:t>Taylor &amp; Francis Group</w:t>
      </w:r>
    </w:p>
    <w:p w14:paraId="68B78525" w14:textId="77777777" w:rsidR="00021D3F" w:rsidRDefault="00021D3F" w:rsidP="00021D3F">
      <w:pPr>
        <w:rPr>
          <w:rFonts w:ascii="Times New Roman" w:hAnsi="Times New Roman" w:cs="Times New Roman"/>
          <w:lang w:val="en-US"/>
        </w:rPr>
      </w:pPr>
    </w:p>
    <w:p w14:paraId="29A867D5" w14:textId="47C625FD" w:rsidR="00021D3F" w:rsidRPr="00021D3F" w:rsidRDefault="00021D3F" w:rsidP="00021D3F">
      <w:pPr>
        <w:rPr>
          <w:rFonts w:ascii="Times New Roman" w:hAnsi="Times New Roman" w:cs="Times New Roman"/>
          <w:lang w:val="en-US"/>
        </w:rPr>
      </w:pPr>
      <w:r w:rsidRPr="00021D3F">
        <w:rPr>
          <w:rFonts w:ascii="Times New Roman" w:hAnsi="Times New Roman" w:cs="Times New Roman"/>
          <w:b/>
          <w:bCs/>
          <w:lang w:val="en-US"/>
        </w:rPr>
        <w:t>RE:</w:t>
      </w:r>
      <w:r w:rsidRPr="00021D3F">
        <w:rPr>
          <w:rFonts w:ascii="Times New Roman" w:hAnsi="Times New Roman" w:cs="Times New Roman"/>
          <w:lang w:val="en-US"/>
        </w:rPr>
        <w:t xml:space="preserve"> Submission of "</w:t>
      </w:r>
      <w:r w:rsidRPr="00021D3F">
        <w:rPr>
          <w:rFonts w:ascii="Times New Roman" w:hAnsi="Times New Roman" w:cs="Times New Roman"/>
          <w:i/>
          <w:iCs/>
          <w:lang w:val="en-US"/>
        </w:rPr>
        <w:t>Efficient and practical solutions for the correlated storage location assignment problem in automated pick-and-pass warehouses</w:t>
      </w:r>
      <w:r w:rsidRPr="00021D3F">
        <w:rPr>
          <w:rFonts w:ascii="Times New Roman" w:hAnsi="Times New Roman" w:cs="Times New Roman"/>
          <w:lang w:val="en-US"/>
        </w:rPr>
        <w:t xml:space="preserve">" </w:t>
      </w:r>
    </w:p>
    <w:p w14:paraId="4841A2D4" w14:textId="77777777" w:rsidR="00021D3F" w:rsidRPr="00021D3F" w:rsidRDefault="00021D3F" w:rsidP="00021D3F">
      <w:pPr>
        <w:rPr>
          <w:rFonts w:ascii="Times New Roman" w:hAnsi="Times New Roman" w:cs="Times New Roman"/>
          <w:lang w:val="en-US"/>
        </w:rPr>
      </w:pPr>
    </w:p>
    <w:p w14:paraId="1E0CD728" w14:textId="77777777" w:rsidR="00021D3F" w:rsidRPr="00021D3F" w:rsidRDefault="00021D3F" w:rsidP="00021D3F">
      <w:pPr>
        <w:rPr>
          <w:rFonts w:ascii="Times New Roman" w:hAnsi="Times New Roman" w:cs="Times New Roman"/>
          <w:lang w:val="en-US"/>
        </w:rPr>
      </w:pPr>
      <w:r w:rsidRPr="00021D3F">
        <w:rPr>
          <w:rFonts w:ascii="Times New Roman" w:hAnsi="Times New Roman" w:cs="Times New Roman"/>
          <w:lang w:val="en-US"/>
        </w:rPr>
        <w:t>Dear Editor-in-Chief and Editorial Team,</w:t>
      </w:r>
    </w:p>
    <w:p w14:paraId="6DA6D8FE" w14:textId="77777777" w:rsidR="00021D3F" w:rsidRPr="00021D3F" w:rsidRDefault="00021D3F" w:rsidP="00021D3F">
      <w:pPr>
        <w:rPr>
          <w:rFonts w:ascii="Times New Roman" w:hAnsi="Times New Roman" w:cs="Times New Roman"/>
          <w:lang w:val="en-US"/>
        </w:rPr>
      </w:pPr>
    </w:p>
    <w:p w14:paraId="34DF82B5" w14:textId="77777777" w:rsidR="00021D3F" w:rsidRPr="00021D3F" w:rsidRDefault="00021D3F" w:rsidP="00021D3F">
      <w:pPr>
        <w:rPr>
          <w:rFonts w:ascii="Times New Roman" w:hAnsi="Times New Roman" w:cs="Times New Roman"/>
          <w:lang w:val="en-US"/>
        </w:rPr>
      </w:pPr>
      <w:r w:rsidRPr="00021D3F">
        <w:rPr>
          <w:rFonts w:ascii="Times New Roman" w:hAnsi="Times New Roman" w:cs="Times New Roman"/>
          <w:lang w:val="en-US"/>
        </w:rPr>
        <w:t>Please find enclosed our manuscript for consideration as a Research Article.</w:t>
      </w:r>
    </w:p>
    <w:p w14:paraId="7DA62C19" w14:textId="77777777" w:rsidR="00021D3F" w:rsidRPr="00021D3F" w:rsidRDefault="00021D3F" w:rsidP="00021D3F">
      <w:pPr>
        <w:rPr>
          <w:rFonts w:ascii="Times New Roman" w:hAnsi="Times New Roman" w:cs="Times New Roman"/>
          <w:lang w:val="en-US"/>
        </w:rPr>
      </w:pPr>
    </w:p>
    <w:p w14:paraId="6AF6ACD2" w14:textId="77777777" w:rsidR="00021D3F" w:rsidRPr="00021D3F" w:rsidRDefault="00021D3F" w:rsidP="00021D3F">
      <w:pPr>
        <w:rPr>
          <w:rFonts w:ascii="Times New Roman" w:hAnsi="Times New Roman" w:cs="Times New Roman"/>
          <w:lang w:val="en-US"/>
        </w:rPr>
      </w:pPr>
      <w:r w:rsidRPr="00021D3F">
        <w:rPr>
          <w:rFonts w:ascii="Times New Roman" w:hAnsi="Times New Roman" w:cs="Times New Roman"/>
          <w:lang w:val="en-US"/>
        </w:rPr>
        <w:t xml:space="preserve">The decision we address </w:t>
      </w:r>
      <w:proofErr w:type="gramStart"/>
      <w:r w:rsidRPr="00021D3F">
        <w:rPr>
          <w:rFonts w:ascii="Times New Roman" w:hAnsi="Times New Roman" w:cs="Times New Roman"/>
          <w:lang w:val="en-US"/>
        </w:rPr>
        <w:t>belongs</w:t>
      </w:r>
      <w:proofErr w:type="gramEnd"/>
      <w:r w:rsidRPr="00021D3F">
        <w:rPr>
          <w:rFonts w:ascii="Times New Roman" w:hAnsi="Times New Roman" w:cs="Times New Roman"/>
          <w:lang w:val="en-US"/>
        </w:rPr>
        <w:t xml:space="preserve"> to the slotting planner of an automated pick-and-pass distribution </w:t>
      </w:r>
      <w:proofErr w:type="spellStart"/>
      <w:r w:rsidRPr="00021D3F">
        <w:rPr>
          <w:rFonts w:ascii="Times New Roman" w:hAnsi="Times New Roman" w:cs="Times New Roman"/>
          <w:lang w:val="en-US"/>
        </w:rPr>
        <w:t>centre</w:t>
      </w:r>
      <w:proofErr w:type="spellEnd"/>
      <w:r w:rsidRPr="00021D3F">
        <w:rPr>
          <w:rFonts w:ascii="Times New Roman" w:hAnsi="Times New Roman" w:cs="Times New Roman"/>
          <w:lang w:val="en-US"/>
        </w:rPr>
        <w:t xml:space="preserve">: which </w:t>
      </w:r>
      <w:proofErr w:type="gramStart"/>
      <w:r w:rsidRPr="00021D3F">
        <w:rPr>
          <w:rFonts w:ascii="Times New Roman" w:hAnsi="Times New Roman" w:cs="Times New Roman"/>
          <w:lang w:val="en-US"/>
        </w:rPr>
        <w:t>of</w:t>
      </w:r>
      <w:proofErr w:type="gramEnd"/>
      <w:r w:rsidRPr="00021D3F">
        <w:rPr>
          <w:rFonts w:ascii="Times New Roman" w:hAnsi="Times New Roman" w:cs="Times New Roman"/>
          <w:lang w:val="en-US"/>
        </w:rPr>
        <w:t xml:space="preserve"> tens of thousands of SKUs to hold at each picking station, under a fixed slot count and an engineered daily workload budget. No picker walks in these systems. Travel distance, the objective that dominates the correlated storage location assignment literature, measures nothing the facility pays for. What it pays for is how often a tote leaves the main line and merges back, so we pose the problem around station visits under hard capacity and workload caps.</w:t>
      </w:r>
    </w:p>
    <w:p w14:paraId="1450EA4E" w14:textId="77777777" w:rsidR="00021D3F" w:rsidRPr="00021D3F" w:rsidRDefault="00021D3F" w:rsidP="00021D3F">
      <w:pPr>
        <w:rPr>
          <w:rFonts w:ascii="Times New Roman" w:hAnsi="Times New Roman" w:cs="Times New Roman"/>
          <w:lang w:val="en-US"/>
        </w:rPr>
      </w:pPr>
    </w:p>
    <w:p w14:paraId="7F39691B" w14:textId="79631873" w:rsidR="00021D3F" w:rsidRPr="00021D3F" w:rsidRDefault="00021D3F" w:rsidP="00021D3F">
      <w:pPr>
        <w:rPr>
          <w:rFonts w:ascii="Times New Roman" w:hAnsi="Times New Roman" w:cs="Times New Roman"/>
          <w:lang w:val="en-US"/>
        </w:rPr>
      </w:pPr>
      <w:r w:rsidRPr="00021D3F">
        <w:rPr>
          <w:rFonts w:ascii="Times New Roman" w:hAnsi="Times New Roman" w:cs="Times New Roman"/>
          <w:lang w:val="en-US"/>
        </w:rPr>
        <w:t xml:space="preserve">That objective is piecewise constant. Relocating one product usually changes nothing, and the linear relaxation says no more than that every order visits some station, so branch-and-bound and single-swap metaheuristics stall. All three of our methods move whole product groups: a set-variable reformulation of the mixed-integer </w:t>
      </w:r>
      <w:proofErr w:type="spellStart"/>
      <w:r w:rsidRPr="00021D3F">
        <w:rPr>
          <w:rFonts w:ascii="Times New Roman" w:hAnsi="Times New Roman" w:cs="Times New Roman"/>
          <w:lang w:val="en-US"/>
        </w:rPr>
        <w:t>programme</w:t>
      </w:r>
      <w:proofErr w:type="spellEnd"/>
      <w:r w:rsidRPr="00021D3F">
        <w:rPr>
          <w:rFonts w:ascii="Times New Roman" w:hAnsi="Times New Roman" w:cs="Times New Roman"/>
          <w:lang w:val="en-US"/>
        </w:rPr>
        <w:t xml:space="preserve">, a set-partitioning column generation driven as a price-and-complete </w:t>
      </w:r>
      <w:proofErr w:type="spellStart"/>
      <w:r w:rsidRPr="00021D3F">
        <w:rPr>
          <w:rFonts w:ascii="Times New Roman" w:hAnsi="Times New Roman" w:cs="Times New Roman"/>
          <w:lang w:val="en-US"/>
        </w:rPr>
        <w:t>matheuristic</w:t>
      </w:r>
      <w:proofErr w:type="spellEnd"/>
      <w:r w:rsidRPr="00021D3F">
        <w:rPr>
          <w:rFonts w:ascii="Times New Roman" w:hAnsi="Times New Roman" w:cs="Times New Roman"/>
          <w:lang w:val="en-US"/>
        </w:rPr>
        <w:t xml:space="preserve">, and a clustering heuristic </w:t>
      </w:r>
      <w:r w:rsidR="008C40FD">
        <w:rPr>
          <w:rFonts w:ascii="Times New Roman" w:hAnsi="Times New Roman" w:cs="Times New Roman"/>
          <w:lang w:val="en-US"/>
        </w:rPr>
        <w:t>based on</w:t>
      </w:r>
      <w:r w:rsidRPr="00021D3F">
        <w:rPr>
          <w:rFonts w:ascii="Times New Roman" w:hAnsi="Times New Roman" w:cs="Times New Roman"/>
          <w:lang w:val="en-US"/>
        </w:rPr>
        <w:t xml:space="preserve"> community bound</w:t>
      </w:r>
      <w:r>
        <w:rPr>
          <w:rFonts w:ascii="Times New Roman" w:hAnsi="Times New Roman" w:cs="Times New Roman"/>
          <w:lang w:val="en-US"/>
        </w:rPr>
        <w:t>.</w:t>
      </w:r>
    </w:p>
    <w:p w14:paraId="5882288B" w14:textId="77777777" w:rsidR="00021D3F" w:rsidRPr="00021D3F" w:rsidRDefault="00021D3F" w:rsidP="00021D3F">
      <w:pPr>
        <w:rPr>
          <w:rFonts w:ascii="Times New Roman" w:hAnsi="Times New Roman" w:cs="Times New Roman"/>
          <w:lang w:val="en-US"/>
        </w:rPr>
      </w:pPr>
    </w:p>
    <w:p w14:paraId="145A4087" w14:textId="77777777" w:rsidR="00021D3F" w:rsidRPr="00021D3F" w:rsidRDefault="00021D3F" w:rsidP="00021D3F">
      <w:pPr>
        <w:rPr>
          <w:rFonts w:ascii="Times New Roman" w:hAnsi="Times New Roman" w:cs="Times New Roman"/>
          <w:lang w:val="en-US"/>
        </w:rPr>
      </w:pPr>
      <w:r w:rsidRPr="00021D3F">
        <w:rPr>
          <w:rFonts w:ascii="Times New Roman" w:hAnsi="Times New Roman" w:cs="Times New Roman"/>
          <w:lang w:val="en-US"/>
        </w:rPr>
        <w:t xml:space="preserve">We </w:t>
      </w:r>
      <w:proofErr w:type="gramStart"/>
      <w:r w:rsidRPr="00021D3F">
        <w:rPr>
          <w:rFonts w:ascii="Times New Roman" w:hAnsi="Times New Roman" w:cs="Times New Roman"/>
          <w:lang w:val="en-US"/>
        </w:rPr>
        <w:t>validate on</w:t>
      </w:r>
      <w:proofErr w:type="gramEnd"/>
      <w:r w:rsidRPr="00021D3F">
        <w:rPr>
          <w:rFonts w:ascii="Times New Roman" w:hAnsi="Times New Roman" w:cs="Times New Roman"/>
          <w:lang w:val="en-US"/>
        </w:rPr>
        <w:t xml:space="preserve"> 29 benchmark instances of 50 to 2,000 products with paired statistical testing, and on an operating warehouse of 21,874 products and 26 stations, where the set-variable MILP removes 13.7% of station visits inside every workload limit. A layout is fitted once and then operated as demand moves, so we also evaluate on unseen weeks. There the reduction is 6.6 to 7.4%. That figure, not the in-sample one, is what a site should plan against: some 5,400 to 6,050 fewer stops per week.</w:t>
      </w:r>
    </w:p>
    <w:p w14:paraId="656A4153" w14:textId="77777777" w:rsidR="00021D3F" w:rsidRPr="00021D3F" w:rsidRDefault="00021D3F" w:rsidP="00021D3F">
      <w:pPr>
        <w:rPr>
          <w:rFonts w:ascii="Times New Roman" w:hAnsi="Times New Roman" w:cs="Times New Roman"/>
          <w:lang w:val="en-US"/>
        </w:rPr>
      </w:pPr>
    </w:p>
    <w:p w14:paraId="3858F587" w14:textId="77777777" w:rsidR="00021D3F" w:rsidRPr="00021D3F" w:rsidRDefault="00021D3F" w:rsidP="00021D3F">
      <w:pPr>
        <w:rPr>
          <w:rFonts w:ascii="Times New Roman" w:hAnsi="Times New Roman" w:cs="Times New Roman"/>
          <w:lang w:val="en-US"/>
        </w:rPr>
      </w:pPr>
      <w:r w:rsidRPr="00021D3F">
        <w:rPr>
          <w:rFonts w:ascii="Times New Roman" w:hAnsi="Times New Roman" w:cs="Times New Roman"/>
          <w:lang w:val="en-US"/>
        </w:rPr>
        <w:t xml:space="preserve">Which method to deploy depends on whether a site's stations are interchangeable, and we report where each </w:t>
      </w:r>
      <w:proofErr w:type="gramStart"/>
      <w:r w:rsidRPr="00021D3F">
        <w:rPr>
          <w:rFonts w:ascii="Times New Roman" w:hAnsi="Times New Roman" w:cs="Times New Roman"/>
          <w:lang w:val="en-US"/>
        </w:rPr>
        <w:t>wins</w:t>
      </w:r>
      <w:proofErr w:type="gramEnd"/>
      <w:r w:rsidRPr="00021D3F">
        <w:rPr>
          <w:rFonts w:ascii="Times New Roman" w:hAnsi="Times New Roman" w:cs="Times New Roman"/>
          <w:lang w:val="en-US"/>
        </w:rPr>
        <w:t xml:space="preserve">. A bounded-reassignment model caps how many SKUs may move in a cycle, so a manager can set the relocation budget against </w:t>
      </w:r>
      <w:proofErr w:type="spellStart"/>
      <w:r w:rsidRPr="00021D3F">
        <w:rPr>
          <w:rFonts w:ascii="Times New Roman" w:hAnsi="Times New Roman" w:cs="Times New Roman"/>
          <w:lang w:val="en-US"/>
        </w:rPr>
        <w:t>labour</w:t>
      </w:r>
      <w:proofErr w:type="spellEnd"/>
      <w:r w:rsidRPr="00021D3F">
        <w:rPr>
          <w:rFonts w:ascii="Times New Roman" w:hAnsi="Times New Roman" w:cs="Times New Roman"/>
          <w:lang w:val="en-US"/>
        </w:rPr>
        <w:t xml:space="preserve"> and know the marginal return. That return is sub-proportional, and we say why. Re-</w:t>
      </w:r>
      <w:proofErr w:type="spellStart"/>
      <w:r w:rsidRPr="00021D3F">
        <w:rPr>
          <w:rFonts w:ascii="Times New Roman" w:hAnsi="Times New Roman" w:cs="Times New Roman"/>
          <w:lang w:val="en-US"/>
        </w:rPr>
        <w:t>optimising</w:t>
      </w:r>
      <w:proofErr w:type="spellEnd"/>
      <w:r w:rsidRPr="00021D3F">
        <w:rPr>
          <w:rFonts w:ascii="Times New Roman" w:hAnsi="Times New Roman" w:cs="Times New Roman"/>
          <w:lang w:val="en-US"/>
        </w:rPr>
        <w:t xml:space="preserve"> on a rolling window of eight to ten weeks holds most of the gain.</w:t>
      </w:r>
    </w:p>
    <w:p w14:paraId="47D016DB" w14:textId="77777777" w:rsidR="00021D3F" w:rsidRPr="00021D3F" w:rsidRDefault="00021D3F" w:rsidP="00021D3F">
      <w:pPr>
        <w:rPr>
          <w:rFonts w:ascii="Times New Roman" w:hAnsi="Times New Roman" w:cs="Times New Roman"/>
          <w:lang w:val="en-US"/>
        </w:rPr>
      </w:pPr>
    </w:p>
    <w:p w14:paraId="1509AF18" w14:textId="09688F2F" w:rsidR="00021D3F" w:rsidRPr="00021D3F" w:rsidRDefault="00021D3F" w:rsidP="00021D3F">
      <w:pPr>
        <w:rPr>
          <w:rFonts w:ascii="Times New Roman" w:hAnsi="Times New Roman" w:cs="Times New Roman"/>
          <w:lang w:val="en-US"/>
        </w:rPr>
      </w:pPr>
      <w:r w:rsidRPr="00021D3F">
        <w:rPr>
          <w:rFonts w:ascii="Times New Roman" w:hAnsi="Times New Roman" w:cs="Times New Roman"/>
          <w:lang w:val="en-US"/>
        </w:rPr>
        <w:t xml:space="preserve">We chose IJPR because the contribution is a decision aid for a production system that already exists, and because it rests on this journal's own corpus: nine of our references are IJPR articles. It sets no shop-floor control rule, which would belong </w:t>
      </w:r>
      <w:proofErr w:type="gramStart"/>
      <w:r w:rsidRPr="00021D3F">
        <w:rPr>
          <w:rFonts w:ascii="Times New Roman" w:hAnsi="Times New Roman" w:cs="Times New Roman"/>
          <w:lang w:val="en-US"/>
        </w:rPr>
        <w:t>in</w:t>
      </w:r>
      <w:proofErr w:type="gramEnd"/>
      <w:r w:rsidRPr="00021D3F">
        <w:rPr>
          <w:rFonts w:ascii="Times New Roman" w:hAnsi="Times New Roman" w:cs="Times New Roman"/>
          <w:lang w:val="en-US"/>
        </w:rPr>
        <w:t xml:space="preserve"> *Production Planning &amp; Control*. It settles the placement daily operations inherit, tested against a real facility.</w:t>
      </w:r>
    </w:p>
    <w:p w14:paraId="2F8EF5E6" w14:textId="77777777" w:rsidR="00021D3F" w:rsidRPr="00021D3F" w:rsidRDefault="00021D3F" w:rsidP="00021D3F">
      <w:pPr>
        <w:rPr>
          <w:rFonts w:ascii="Times New Roman" w:hAnsi="Times New Roman" w:cs="Times New Roman"/>
          <w:lang w:val="en-US"/>
        </w:rPr>
      </w:pPr>
    </w:p>
    <w:p w14:paraId="1A7C4BA7" w14:textId="0B49B573" w:rsidR="00021D3F" w:rsidRPr="00021D3F" w:rsidRDefault="00021D3F" w:rsidP="00021D3F">
      <w:pPr>
        <w:rPr>
          <w:rFonts w:ascii="Times New Roman" w:hAnsi="Times New Roman" w:cs="Times New Roman"/>
          <w:lang w:val="en-US"/>
        </w:rPr>
      </w:pPr>
      <w:r w:rsidRPr="00021D3F">
        <w:rPr>
          <w:rFonts w:ascii="Times New Roman" w:hAnsi="Times New Roman" w:cs="Times New Roman"/>
          <w:lang w:val="en-US"/>
        </w:rPr>
        <w:t xml:space="preserve">The manuscript is original, unpublished, not under consideration elsewhere, and has no preprint or earlier conference version. It involves no human or animal subjects, so ethics approval does not apply. Funding came from the Association Nationale de la Recherche et de la Technologie under a CIFRE grant with Savoye, and the authors have no competing interests. Both synthetic instance families and the per-instance convergence records are openly available through an </w:t>
      </w:r>
      <w:proofErr w:type="spellStart"/>
      <w:r w:rsidRPr="00021D3F">
        <w:rPr>
          <w:rFonts w:ascii="Times New Roman" w:hAnsi="Times New Roman" w:cs="Times New Roman"/>
          <w:lang w:val="en-US"/>
        </w:rPr>
        <w:t>anonymised</w:t>
      </w:r>
      <w:proofErr w:type="spellEnd"/>
      <w:r w:rsidRPr="00021D3F">
        <w:rPr>
          <w:rFonts w:ascii="Times New Roman" w:hAnsi="Times New Roman" w:cs="Times New Roman"/>
          <w:lang w:val="en-US"/>
        </w:rPr>
        <w:t xml:space="preserve"> link in the Data Availability Statement, de-</w:t>
      </w:r>
      <w:proofErr w:type="spellStart"/>
      <w:r w:rsidRPr="00021D3F">
        <w:rPr>
          <w:rFonts w:ascii="Times New Roman" w:hAnsi="Times New Roman" w:cs="Times New Roman"/>
          <w:lang w:val="en-US"/>
        </w:rPr>
        <w:t>anonymised</w:t>
      </w:r>
      <w:proofErr w:type="spellEnd"/>
      <w:r w:rsidRPr="00021D3F">
        <w:rPr>
          <w:rFonts w:ascii="Times New Roman" w:hAnsi="Times New Roman" w:cs="Times New Roman"/>
          <w:lang w:val="en-US"/>
        </w:rPr>
        <w:t xml:space="preserve"> on acceptance. The industrial dataset is confidential and available on request.</w:t>
      </w:r>
    </w:p>
    <w:p w14:paraId="2D6F0A01" w14:textId="77777777" w:rsidR="00021D3F" w:rsidRPr="00021D3F" w:rsidRDefault="00021D3F" w:rsidP="00021D3F">
      <w:pPr>
        <w:rPr>
          <w:rFonts w:ascii="Times New Roman" w:hAnsi="Times New Roman" w:cs="Times New Roman"/>
          <w:lang w:val="en-US"/>
        </w:rPr>
      </w:pPr>
    </w:p>
    <w:p w14:paraId="17DF9505" w14:textId="77777777" w:rsidR="00021D3F" w:rsidRPr="00021D3F" w:rsidRDefault="00021D3F" w:rsidP="00021D3F">
      <w:pPr>
        <w:rPr>
          <w:rFonts w:ascii="Times New Roman" w:hAnsi="Times New Roman" w:cs="Times New Roman"/>
          <w:lang w:val="en-US"/>
        </w:rPr>
      </w:pPr>
      <w:r w:rsidRPr="00021D3F">
        <w:rPr>
          <w:rFonts w:ascii="Times New Roman" w:hAnsi="Times New Roman" w:cs="Times New Roman"/>
          <w:lang w:val="en-US"/>
        </w:rPr>
        <w:t>Thank you for considering our manuscript.</w:t>
      </w:r>
    </w:p>
    <w:p w14:paraId="77648D52" w14:textId="77777777" w:rsidR="00021D3F" w:rsidRPr="00021D3F" w:rsidRDefault="00021D3F" w:rsidP="00021D3F">
      <w:pPr>
        <w:rPr>
          <w:rFonts w:ascii="Times New Roman" w:hAnsi="Times New Roman" w:cs="Times New Roman"/>
          <w:lang w:val="en-US"/>
        </w:rPr>
      </w:pPr>
    </w:p>
    <w:p w14:paraId="678E7EF1" w14:textId="77777777" w:rsidR="00021D3F" w:rsidRPr="00021D3F" w:rsidRDefault="00021D3F" w:rsidP="00021D3F">
      <w:pPr>
        <w:rPr>
          <w:rFonts w:ascii="Times New Roman" w:hAnsi="Times New Roman" w:cs="Times New Roman"/>
          <w:lang w:val="en-US"/>
        </w:rPr>
      </w:pPr>
      <w:r w:rsidRPr="00021D3F">
        <w:rPr>
          <w:rFonts w:ascii="Times New Roman" w:hAnsi="Times New Roman" w:cs="Times New Roman"/>
          <w:lang w:val="en-US"/>
        </w:rPr>
        <w:t>Sincerely,</w:t>
      </w:r>
    </w:p>
    <w:p w14:paraId="60A8E301" w14:textId="77777777" w:rsidR="00021D3F" w:rsidRPr="00021D3F" w:rsidRDefault="00021D3F" w:rsidP="00021D3F">
      <w:pPr>
        <w:rPr>
          <w:rFonts w:ascii="Times New Roman" w:hAnsi="Times New Roman" w:cs="Times New Roman"/>
          <w:lang w:val="en-US"/>
        </w:rPr>
      </w:pPr>
    </w:p>
    <w:p w14:paraId="4A197614" w14:textId="77777777" w:rsidR="00021D3F" w:rsidRPr="00021D3F" w:rsidRDefault="00021D3F" w:rsidP="00021D3F">
      <w:pPr>
        <w:rPr>
          <w:rFonts w:ascii="Times New Roman" w:hAnsi="Times New Roman" w:cs="Times New Roman"/>
          <w:lang w:val="en-US"/>
        </w:rPr>
      </w:pPr>
      <w:r w:rsidRPr="00021D3F">
        <w:rPr>
          <w:rFonts w:ascii="Times New Roman" w:hAnsi="Times New Roman" w:cs="Times New Roman"/>
          <w:lang w:val="en-US"/>
        </w:rPr>
        <w:t xml:space="preserve">Ermal </w:t>
      </w:r>
      <w:proofErr w:type="spellStart"/>
      <w:r w:rsidRPr="00021D3F">
        <w:rPr>
          <w:rFonts w:ascii="Times New Roman" w:hAnsi="Times New Roman" w:cs="Times New Roman"/>
          <w:lang w:val="en-US"/>
        </w:rPr>
        <w:t>Belul</w:t>
      </w:r>
      <w:proofErr w:type="spellEnd"/>
    </w:p>
    <w:p w14:paraId="4DD3B980" w14:textId="77777777" w:rsidR="00021D3F" w:rsidRPr="00021D3F" w:rsidRDefault="00021D3F" w:rsidP="00021D3F">
      <w:pPr>
        <w:rPr>
          <w:rFonts w:ascii="Times New Roman" w:hAnsi="Times New Roman" w:cs="Times New Roman"/>
          <w:lang w:val="en-US"/>
        </w:rPr>
      </w:pPr>
      <w:r w:rsidRPr="00021D3F">
        <w:rPr>
          <w:rFonts w:ascii="Times New Roman" w:hAnsi="Times New Roman" w:cs="Times New Roman"/>
          <w:lang w:val="en-US"/>
        </w:rPr>
        <w:t>Doctoral researcher (CIFRE)</w:t>
      </w:r>
    </w:p>
    <w:p w14:paraId="4E805457" w14:textId="77777777" w:rsidR="00021D3F" w:rsidRPr="00021D3F" w:rsidRDefault="00021D3F" w:rsidP="00021D3F">
      <w:pPr>
        <w:rPr>
          <w:rFonts w:ascii="Times New Roman" w:hAnsi="Times New Roman" w:cs="Times New Roman"/>
        </w:rPr>
      </w:pPr>
      <w:r w:rsidRPr="00021D3F">
        <w:rPr>
          <w:rFonts w:ascii="Times New Roman" w:hAnsi="Times New Roman" w:cs="Times New Roman"/>
        </w:rPr>
        <w:t xml:space="preserve">Université de technologie de Compiègne, CNRS, </w:t>
      </w:r>
      <w:proofErr w:type="spellStart"/>
      <w:r w:rsidRPr="00021D3F">
        <w:rPr>
          <w:rFonts w:ascii="Times New Roman" w:hAnsi="Times New Roman" w:cs="Times New Roman"/>
        </w:rPr>
        <w:t>Heudiasyc</w:t>
      </w:r>
      <w:proofErr w:type="spellEnd"/>
      <w:r w:rsidRPr="00021D3F">
        <w:rPr>
          <w:rFonts w:ascii="Times New Roman" w:hAnsi="Times New Roman" w:cs="Times New Roman"/>
        </w:rPr>
        <w:t xml:space="preserve"> UMR 7253, Compiègne, France, and Savoye, France</w:t>
      </w:r>
    </w:p>
    <w:p w14:paraId="2C307C93" w14:textId="77777777" w:rsidR="00021D3F" w:rsidRPr="00021D3F" w:rsidRDefault="00021D3F" w:rsidP="00021D3F">
      <w:pPr>
        <w:rPr>
          <w:rFonts w:ascii="Times New Roman" w:hAnsi="Times New Roman" w:cs="Times New Roman"/>
        </w:rPr>
      </w:pPr>
      <w:r w:rsidRPr="00021D3F">
        <w:rPr>
          <w:rFonts w:ascii="Times New Roman" w:hAnsi="Times New Roman" w:cs="Times New Roman"/>
        </w:rPr>
        <w:t>ermal.belul@hds.utc.fr | +33 7 51 59 39 10</w:t>
      </w:r>
    </w:p>
    <w:p w14:paraId="5B27ED9D" w14:textId="77777777" w:rsidR="00021D3F" w:rsidRPr="00021D3F" w:rsidRDefault="00021D3F" w:rsidP="00021D3F">
      <w:pPr>
        <w:rPr>
          <w:rFonts w:ascii="Times New Roman" w:hAnsi="Times New Roman" w:cs="Times New Roman"/>
          <w:lang w:val="en-US"/>
        </w:rPr>
      </w:pPr>
      <w:r w:rsidRPr="00021D3F">
        <w:rPr>
          <w:rFonts w:ascii="Times New Roman" w:hAnsi="Times New Roman" w:cs="Times New Roman"/>
          <w:lang w:val="en-US"/>
        </w:rPr>
        <w:t>ORCID: 0009-0006-3589-6267</w:t>
      </w:r>
    </w:p>
    <w:p w14:paraId="25D3948D" w14:textId="77777777" w:rsidR="00021D3F" w:rsidRPr="00021D3F" w:rsidRDefault="00021D3F" w:rsidP="00021D3F">
      <w:pPr>
        <w:rPr>
          <w:rFonts w:ascii="Times New Roman" w:hAnsi="Times New Roman" w:cs="Times New Roman"/>
          <w:lang w:val="en-US"/>
        </w:rPr>
      </w:pPr>
    </w:p>
    <w:p w14:paraId="40F6AA02" w14:textId="77777777" w:rsidR="00021D3F" w:rsidRPr="00021D3F" w:rsidRDefault="00021D3F" w:rsidP="00021D3F">
      <w:pPr>
        <w:rPr>
          <w:rFonts w:ascii="Times New Roman" w:hAnsi="Times New Roman" w:cs="Times New Roman"/>
          <w:lang w:val="en-US"/>
        </w:rPr>
      </w:pPr>
      <w:r w:rsidRPr="00021D3F">
        <w:rPr>
          <w:rFonts w:ascii="Times New Roman" w:hAnsi="Times New Roman" w:cs="Times New Roman"/>
          <w:lang w:val="en-US"/>
        </w:rPr>
        <w:t>On behalf of the co-authors:</w:t>
      </w:r>
    </w:p>
    <w:p w14:paraId="51E4DED3" w14:textId="77777777" w:rsidR="00021D3F" w:rsidRPr="00021D3F" w:rsidRDefault="00021D3F" w:rsidP="00021D3F">
      <w:pPr>
        <w:rPr>
          <w:rFonts w:ascii="Times New Roman" w:hAnsi="Times New Roman" w:cs="Times New Roman"/>
        </w:rPr>
      </w:pPr>
      <w:r w:rsidRPr="00021D3F">
        <w:rPr>
          <w:rFonts w:ascii="Times New Roman" w:hAnsi="Times New Roman" w:cs="Times New Roman"/>
        </w:rPr>
        <w:t>Marwane Bouznif, Savoye, France (ORCID 0000-0002-5138-1582)</w:t>
      </w:r>
    </w:p>
    <w:p w14:paraId="54452529" w14:textId="77777777" w:rsidR="00021D3F" w:rsidRPr="00021D3F" w:rsidRDefault="00021D3F" w:rsidP="00021D3F">
      <w:pPr>
        <w:rPr>
          <w:rFonts w:ascii="Times New Roman" w:hAnsi="Times New Roman" w:cs="Times New Roman"/>
        </w:rPr>
      </w:pPr>
      <w:r w:rsidRPr="00021D3F">
        <w:rPr>
          <w:rFonts w:ascii="Times New Roman" w:hAnsi="Times New Roman" w:cs="Times New Roman"/>
        </w:rPr>
        <w:t xml:space="preserve">Dritan Nace, Université de technologie de Compiègne, CNRS, </w:t>
      </w:r>
      <w:proofErr w:type="spellStart"/>
      <w:r w:rsidRPr="00021D3F">
        <w:rPr>
          <w:rFonts w:ascii="Times New Roman" w:hAnsi="Times New Roman" w:cs="Times New Roman"/>
        </w:rPr>
        <w:t>Heudiasyc</w:t>
      </w:r>
      <w:proofErr w:type="spellEnd"/>
      <w:r w:rsidRPr="00021D3F">
        <w:rPr>
          <w:rFonts w:ascii="Times New Roman" w:hAnsi="Times New Roman" w:cs="Times New Roman"/>
        </w:rPr>
        <w:t xml:space="preserve"> UMR 7253, France (ORCID 0000-0003-3914-2463)</w:t>
      </w:r>
    </w:p>
    <w:p w14:paraId="3BF30C58" w14:textId="7BAF6DEF" w:rsidR="004A5110" w:rsidRPr="00021D3F" w:rsidRDefault="00021D3F" w:rsidP="00021D3F">
      <w:pPr>
        <w:rPr>
          <w:rFonts w:ascii="Times New Roman" w:hAnsi="Times New Roman" w:cs="Times New Roman"/>
        </w:rPr>
      </w:pPr>
      <w:r w:rsidRPr="00021D3F">
        <w:rPr>
          <w:rFonts w:ascii="Times New Roman" w:hAnsi="Times New Roman" w:cs="Times New Roman"/>
        </w:rPr>
        <w:t xml:space="preserve">Antoine Jouglet, Université de technologie de Compiègne, CNRS, </w:t>
      </w:r>
      <w:proofErr w:type="spellStart"/>
      <w:r w:rsidRPr="00021D3F">
        <w:rPr>
          <w:rFonts w:ascii="Times New Roman" w:hAnsi="Times New Roman" w:cs="Times New Roman"/>
        </w:rPr>
        <w:t>Heudiasyc</w:t>
      </w:r>
      <w:proofErr w:type="spellEnd"/>
      <w:r w:rsidRPr="00021D3F">
        <w:rPr>
          <w:rFonts w:ascii="Times New Roman" w:hAnsi="Times New Roman" w:cs="Times New Roman"/>
        </w:rPr>
        <w:t xml:space="preserve"> UMR 7253, France (ORCID 0000-0001-9251-249X)</w:t>
      </w:r>
    </w:p>
    <w:sectPr w:rsidR="004A5110" w:rsidRPr="00021D3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D3F"/>
    <w:rsid w:val="00021D3F"/>
    <w:rsid w:val="004A5110"/>
    <w:rsid w:val="008C40FD"/>
    <w:rsid w:val="00926D58"/>
    <w:rsid w:val="00F769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4D145"/>
  <w15:chartTrackingRefBased/>
  <w15:docId w15:val="{554E8FD2-B371-49AA-A059-E2A699741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21D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21D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21D3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21D3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21D3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21D3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21D3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21D3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21D3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1D3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21D3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21D3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21D3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21D3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21D3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21D3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21D3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21D3F"/>
    <w:rPr>
      <w:rFonts w:eastAsiaTheme="majorEastAsia" w:cstheme="majorBidi"/>
      <w:color w:val="272727" w:themeColor="text1" w:themeTint="D8"/>
    </w:rPr>
  </w:style>
  <w:style w:type="paragraph" w:styleId="Titre">
    <w:name w:val="Title"/>
    <w:basedOn w:val="Normal"/>
    <w:next w:val="Normal"/>
    <w:link w:val="TitreCar"/>
    <w:uiPriority w:val="10"/>
    <w:qFormat/>
    <w:rsid w:val="00021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21D3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21D3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21D3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21D3F"/>
    <w:pPr>
      <w:spacing w:before="160"/>
      <w:jc w:val="center"/>
    </w:pPr>
    <w:rPr>
      <w:i/>
      <w:iCs/>
      <w:color w:val="404040" w:themeColor="text1" w:themeTint="BF"/>
    </w:rPr>
  </w:style>
  <w:style w:type="character" w:customStyle="1" w:styleId="CitationCar">
    <w:name w:val="Citation Car"/>
    <w:basedOn w:val="Policepardfaut"/>
    <w:link w:val="Citation"/>
    <w:uiPriority w:val="29"/>
    <w:rsid w:val="00021D3F"/>
    <w:rPr>
      <w:i/>
      <w:iCs/>
      <w:color w:val="404040" w:themeColor="text1" w:themeTint="BF"/>
    </w:rPr>
  </w:style>
  <w:style w:type="paragraph" w:styleId="Paragraphedeliste">
    <w:name w:val="List Paragraph"/>
    <w:basedOn w:val="Normal"/>
    <w:uiPriority w:val="34"/>
    <w:qFormat/>
    <w:rsid w:val="00021D3F"/>
    <w:pPr>
      <w:ind w:left="720"/>
      <w:contextualSpacing/>
    </w:pPr>
  </w:style>
  <w:style w:type="character" w:styleId="Accentuationintense">
    <w:name w:val="Intense Emphasis"/>
    <w:basedOn w:val="Policepardfaut"/>
    <w:uiPriority w:val="21"/>
    <w:qFormat/>
    <w:rsid w:val="00021D3F"/>
    <w:rPr>
      <w:i/>
      <w:iCs/>
      <w:color w:val="2F5496" w:themeColor="accent1" w:themeShade="BF"/>
    </w:rPr>
  </w:style>
  <w:style w:type="paragraph" w:styleId="Citationintense">
    <w:name w:val="Intense Quote"/>
    <w:basedOn w:val="Normal"/>
    <w:next w:val="Normal"/>
    <w:link w:val="CitationintenseCar"/>
    <w:uiPriority w:val="30"/>
    <w:qFormat/>
    <w:rsid w:val="00021D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21D3F"/>
    <w:rPr>
      <w:i/>
      <w:iCs/>
      <w:color w:val="2F5496" w:themeColor="accent1" w:themeShade="BF"/>
    </w:rPr>
  </w:style>
  <w:style w:type="character" w:styleId="Rfrenceintense">
    <w:name w:val="Intense Reference"/>
    <w:basedOn w:val="Policepardfaut"/>
    <w:uiPriority w:val="32"/>
    <w:qFormat/>
    <w:rsid w:val="00021D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603</Words>
  <Characters>3322</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SAVOYE</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Ermal BELUL</dc:creator>
  <cp:keywords/>
  <dc:description/>
  <cp:lastModifiedBy>Ermal BELUL</cp:lastModifiedBy>
  <cp:revision>1</cp:revision>
  <dcterms:created xsi:type="dcterms:W3CDTF">2026-08-15T11:40:00Z</dcterms:created>
  <dcterms:modified xsi:type="dcterms:W3CDTF">2026-08-15T11:52:00Z</dcterms:modified>
</cp:coreProperties>
</file>