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ng" ContentType="image/png"/>
  <Override PartName="/word/media/rId63.png" ContentType="image/png"/>
  <Override PartName="/word/media/rId45.png" ContentType="image/png"/>
  <Override PartName="/word/media/rId54.png" ContentType="image/png"/>
  <Override PartName="/word/media/rId49.png" ContentType="image/png"/>
  <Override PartName="/word/media/rId118.png" ContentType="image/png"/>
  <Override PartName="/word/media/rId2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Prospective</w:t>
      </w:r>
      <w:r>
        <w:t xml:space="preserve"> </w:t>
      </w:r>
      <w:r>
        <w:t xml:space="preserve">search</w:t>
      </w:r>
      <w:r>
        <w:t xml:space="preserve"> </w:t>
      </w:r>
      <w:r>
        <w:t xml:space="preserve">time</w:t>
      </w:r>
      <w:r>
        <w:t xml:space="preserve"> </w:t>
      </w:r>
      <w:r>
        <w:t xml:space="preserve">estimates</w:t>
      </w:r>
      <w:r>
        <w:t xml:space="preserve"> </w:t>
      </w:r>
      <w:r>
        <w:t xml:space="preserve">reveal</w:t>
      </w:r>
      <w:r>
        <w:t xml:space="preserve"> </w:t>
      </w:r>
      <w:r>
        <w:t xml:space="preserve">the</w:t>
      </w:r>
      <w:r>
        <w:t xml:space="preserve"> </w:t>
      </w:r>
      <w:r>
        <w:t xml:space="preserve">strengths</w:t>
      </w:r>
      <w:r>
        <w:t xml:space="preserve"> </w:t>
      </w:r>
      <w:r>
        <w:t xml:space="preserve">and</w:t>
      </w:r>
      <w:r>
        <w:t xml:space="preserve"> </w:t>
      </w:r>
      <w:r>
        <w:t xml:space="preserve">limits</w:t>
      </w:r>
      <w:r>
        <w:t xml:space="preserve"> </w:t>
      </w:r>
      <w:r>
        <w:t xml:space="preserve">of</w:t>
      </w:r>
      <w:r>
        <w:t xml:space="preserve"> </w:t>
      </w:r>
      <w:r>
        <w:t xml:space="preserve">internal</w:t>
      </w:r>
      <w:r>
        <w:t xml:space="preserve"> </w:t>
      </w:r>
      <w:r>
        <w:t xml:space="preserve">models</w:t>
      </w:r>
      <w:r>
        <w:t xml:space="preserve"> </w:t>
      </w:r>
      <w:r>
        <w:t xml:space="preserve">of</w:t>
      </w:r>
      <w:r>
        <w:t xml:space="preserve"> </w:t>
      </w:r>
      <w:r>
        <w:t xml:space="preserve">visual</w:t>
      </w:r>
      <w:r>
        <w:t xml:space="preserve"> </w:t>
      </w:r>
      <w:r>
        <w:t xml:space="preserve">search</w:t>
      </w:r>
    </w:p>
    <w:p>
      <w:pPr>
        <w:pStyle w:val="Author"/>
      </w:pPr>
      <w:r>
        <w:t xml:space="preserve">Matan Mazor</w:t>
      </w:r>
      <w:r>
        <w:rPr>
          <w:vertAlign w:val="superscript"/>
        </w:rPr>
        <w:t xml:space="preserve">1,2</w:t>
      </w:r>
      <w:r>
        <w:t xml:space="preserve">, Max Siegel</w:t>
      </w:r>
      <w:r>
        <w:rPr>
          <w:vertAlign w:val="superscript"/>
        </w:rPr>
        <w:t xml:space="preserve">3</w:t>
      </w:r>
      <w:r>
        <w:t xml:space="preserve">, &amp; Joshua B. Tenenbaum</w:t>
      </w:r>
      <w:r>
        <w:rPr>
          <w:vertAlign w:val="superscript"/>
        </w:rPr>
        <w:t xml:space="preserve">3</w:t>
      </w:r>
    </w:p>
    <w:p>
      <w:pPr>
        <w:pStyle w:val="Author"/>
      </w:pPr>
      <w:r>
        <w:rPr>
          <w:vertAlign w:val="superscript"/>
        </w:rPr>
        <w:t xml:space="preserve">1</w:t>
      </w:r>
      <w:r>
        <w:t xml:space="preserve"> </w:t>
      </w:r>
      <w:r>
        <w:t xml:space="preserve">Wellcome Centre for Human Neuroimaging, University College London</w:t>
      </w:r>
    </w:p>
    <w:p>
      <w:pPr>
        <w:pStyle w:val="Author"/>
      </w:pPr>
      <w:r>
        <w:rPr>
          <w:vertAlign w:val="superscript"/>
        </w:rPr>
        <w:t xml:space="preserve">2</w:t>
      </w:r>
      <w:r>
        <w:t xml:space="preserve"> </w:t>
      </w:r>
      <w:r>
        <w:t xml:space="preserve">Department of Psychological Sciences, Birkbeck, University of London</w:t>
      </w:r>
    </w:p>
    <w:p>
      <w:pPr>
        <w:pStyle w:val="Author"/>
      </w:pPr>
      <w:r>
        <w:rPr>
          <w:vertAlign w:val="superscript"/>
        </w:rPr>
        <w:t xml:space="preserve">3</w:t>
      </w:r>
      <w:r>
        <w:t xml:space="preserve"> </w:t>
      </w:r>
      <w:r>
        <w:t xml:space="preserve">Department of Brain and Cognitive Sciences, Massachusetts Institute of Technology</w:t>
      </w:r>
    </w:p>
    <w:p>
      <w:pPr>
        <w:pStyle w:val="Textkrper"/>
      </w:pPr>
      <w:r>
        <w:t xml:space="preserve">                                                                                                                                                    </w:t>
      </w:r>
    </w:p>
    <w:p>
      <w:pPr>
        <w:pStyle w:val="Author"/>
      </w:pPr>
      <w:r>
        <w:t xml:space="preserve">Anonymized data, analysis scripts, and stimulus materials are available at</w:t>
      </w:r>
      <w:r>
        <w:t xml:space="preserve"> </w:t>
      </w:r>
      <w:hyperlink r:id="rId20">
        <w:r>
          <w:rPr>
            <w:rStyle w:val="Hyperlink"/>
          </w:rPr>
          <w:t xml:space="preserve">github.com/matanmazor/metaVisualSearch</w:t>
        </w:r>
      </w:hyperlink>
      <w:r>
        <w:t xml:space="preserve">.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w:t>
      </w:r>
      <w:r>
        <w:t xml:space="preserve"> </w:t>
      </w:r>
      <w:hyperlink r:id="rId21">
        <w:r>
          <w:rPr>
            <w:rStyle w:val="Hyperlink"/>
          </w:rPr>
          <w:t xml:space="preserve">mtnmzor@gmail.com</w:t>
        </w:r>
      </w:hyperlink>
      <w:r>
        <w:t xml:space="preserve">.</w:t>
      </w:r>
    </w:p>
    <w:p>
      <w:pPr>
        <w:pStyle w:val="Author"/>
      </w:pP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Matan Mazor, WC1E 7HX, London UK. E-mail:</w:t>
      </w:r>
      <w:r>
        <w:t xml:space="preserve"> </w:t>
      </w:r>
      <w:hyperlink r:id="rId21">
        <w:r>
          <w:rPr>
            <w:rStyle w:val="Hyperlink"/>
          </w:rPr>
          <w:t xml:space="preserve">mtnmzor@gmail.com</w:t>
        </w:r>
      </w:hyperlink>
    </w:p>
    <w:p>
      <w:pPr>
        <w:pStyle w:val="h1-pagebreak"/>
      </w:pPr>
      <w:r>
        <w:t xml:space="preserve">Abstract</w:t>
      </w:r>
    </w:p>
    <w:p>
      <w:pPr>
        <w:pStyle w:val="Textkrper"/>
      </w:pPr>
      <w:r>
        <w:t xml:space="preserve">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alternatively to a generic person-invariant schema, and whether it is specified as a list of facts and rules, or alternatively as a probabilistic simulation model. To this end, we tested participants’ ability to estimate their own behavior in a visual search task with novel displays. In five online experiments (three pre-registered), prospective search time estimates reflected accurate metacognitive knowledge of key findings in the visual search literature, including the set-size effect, higher efficiency of color over conjunction search, and the visual search asymmetry for familiar and unfamiliar stimuli. In contrast, estimates were biased to assume serial search, and demonstrated little to no insight into search asymmetries for the presence or absence of basic visual features. Together, our findings are consistent with internal models that represent visual search as a serial process that is sensitive to a person-specific, graded notion of search difficulty.</w:t>
      </w:r>
    </w:p>
    <w:p>
      <w:pPr>
        <w:pStyle w:val="Textkrper"/>
      </w:pPr>
      <w:r>
        <w:rPr>
          <w:iCs/>
          <w:i/>
        </w:rPr>
        <w:t xml:space="preserve">Keywords:</w:t>
      </w:r>
      <w:r>
        <w:t xml:space="preserve"> </w:t>
      </w:r>
      <w:r>
        <w:t xml:space="preserve">metacognition, self-model, attention-schema, visual search</w:t>
      </w:r>
    </w:p>
    <w:p>
      <w:pPr>
        <w:pStyle w:val="Textkrper"/>
      </w:pPr>
      <w:r>
        <w:rPr>
          <w:iCs/>
          <w:i/>
        </w:rPr>
        <w:t xml:space="preserve">Word count:</w:t>
      </w:r>
      <w:r>
        <w:t xml:space="preserve"> </w:t>
      </w:r>
      <w:r>
        <w:t xml:space="preserve">8957</w:t>
      </w:r>
    </w:p>
    <w:p>
      <w:pPr>
        <w:pStyle w:val="h1-pagebreak"/>
      </w:pPr>
      <w:r>
        <w:t xml:space="preserve">Prospective search time estimates reveal the strengths and limits of internal models of visual search</w:t>
      </w:r>
    </w:p>
    <w:bookmarkStart w:id="22" w:name="introduction"/>
    <w:p>
      <w:pPr>
        <w:pStyle w:val="berschrift2"/>
      </w:pPr>
      <w:r>
        <w:t xml:space="preserve">Introduction</w:t>
      </w:r>
    </w:p>
    <w:p>
      <w:pPr>
        <w:pStyle w:val="FirstParagraph"/>
      </w:pPr>
      <w:r>
        <w:t xml:space="preserve">In order to efficiently interact with the world, agents construct</w:t>
      </w:r>
      <w:r>
        <w:t xml:space="preserve"> </w:t>
      </w:r>
      <w:r>
        <w:rPr>
          <w:iCs/>
          <w:i/>
        </w:rPr>
        <w:t xml:space="preserve">mental models</w:t>
      </w:r>
      <w:r>
        <w:t xml:space="preserve">: simplified representations of the environment and of other agents that are accurate enough to generate useful predictions and handle missing data</w:t>
      </w:r>
      <w:r>
        <w:t xml:space="preserve"> </w:t>
      </w:r>
      <w:r>
        <w:t xml:space="preserve">(Forrester, 1971; Friston, 2010; Tenenbaum, Kemp, Griffiths, &amp; Goodman, 2011)</w:t>
      </w:r>
      <w:r>
        <w:t xml:space="preserve">. For example, participants’ ability to predict the temporal unfolding of physical scenes has been attributed to an</w:t>
      </w:r>
      <w:r>
        <w:t xml:space="preserve"> </w:t>
      </w:r>
      <w:r>
        <w:t xml:space="preserve">‘</w:t>
      </w:r>
      <w:r>
        <w:t xml:space="preserve">intuitive physics engine</w:t>
      </w:r>
      <w:r>
        <w:t xml:space="preserve">’</w:t>
      </w:r>
      <w:r>
        <w:t xml:space="preserve">: a simplified model of the physical world that uses approximate, probabilistic simulations to make rapid inferences</w:t>
      </w:r>
      <w:r>
        <w:t xml:space="preserve"> </w:t>
      </w:r>
      <w:r>
        <w:t xml:space="preserve">(Battaglia, Hamrick, &amp; Tenenbaum, 2013)</w:t>
      </w:r>
      <w:r>
        <w:t xml:space="preserve">. Similarly, having a simplified model of planning and decision-making allows humans to infer the beliefs and desires of other agents based on their observed behavior</w:t>
      </w:r>
      <w:r>
        <w:t xml:space="preserve"> </w:t>
      </w:r>
      <w:r>
        <w:t xml:space="preserve">(Baker, Saxe, &amp; Tenenbaum, 2011)</w:t>
      </w:r>
      <w:r>
        <w:t xml:space="preserve">. Finally, in motor control, an internal model of one’s motor system and body allows subjects to monitor and control their body</w:t>
      </w:r>
      <w:r>
        <w:t xml:space="preserve"> </w:t>
      </w:r>
      <w:r>
        <w:t xml:space="preserve">(Wolpert, Ghahramani, &amp; Jordan, 1995)</w:t>
      </w:r>
      <w:r>
        <w:t xml:space="preserve">. This internal forward model has also been proposed to play a role in differentiating self and other</w:t>
      </w:r>
      <w:r>
        <w:t xml:space="preserve"> </w:t>
      </w:r>
      <w:r>
        <w:t xml:space="preserve">(Blakemore, Wolpert, &amp; Frith, 1998)</w:t>
      </w:r>
      <w:r>
        <w:t xml:space="preserve">. In recent years, careful experimental and computational work has advanced our understanding of these internal models: their scope, the abstractions that they make, and the consequences of these abstractions for faithfully and efficiently modeling the environment.</w:t>
      </w:r>
    </w:p>
    <w:p>
      <w:pPr>
        <w:pStyle w:val="Textkrper"/>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w:t>
      </w:r>
      <w:r>
        <w:t xml:space="preserve">“</w:t>
      </w:r>
      <w:r>
        <w:t xml:space="preserve">I would have remembered this object if I saw it</w:t>
      </w:r>
      <w:r>
        <w:t xml:space="preserve">”</w:t>
      </w:r>
      <w:r>
        <w:t xml:space="preserve">;</w:t>
      </w:r>
      <w:r>
        <w:t xml:space="preserve"> </w:t>
      </w:r>
      <w:r>
        <w:t xml:space="preserve">Brown, Lewis, and Monk (1977)</w:t>
      </w:r>
      <w:r>
        <w:t xml:space="preserve">]. Similarly, children guided their decisions and evidence accumulation based on model-based expectations about the perception of hidden items</w:t>
      </w:r>
      <w:r>
        <w:t xml:space="preserve"> </w:t>
      </w:r>
      <w:r>
        <w:t xml:space="preserve">(Siegel, Magid, Pelz, Tenenbaum, &amp; Schulz, 2021)</w:t>
      </w:r>
      <w:r>
        <w:t xml:space="preserve">. In the context of perception and attention,</w:t>
      </w:r>
      <w:r>
        <w:t xml:space="preserve"> </w:t>
      </w:r>
      <w:r>
        <w:t xml:space="preserve">Graziano and Webb (2015)</w:t>
      </w:r>
      <w:r>
        <w:t xml:space="preserve"> </w:t>
      </w:r>
      <w:r>
        <w:t xml:space="preserve">argued that having a simplified Attention Schema — a simplified model of attention and its dynamics — is crucial for monitoring and controlling one’s attention, similar to how a body-schema supports motor control.</w:t>
      </w:r>
    </w:p>
    <w:p>
      <w:pPr>
        <w:pStyle w:val="Textkrper"/>
      </w:pPr>
      <w:r>
        <w:t xml:space="preserve">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w:t>
      </w:r>
      <w:r>
        <w:t xml:space="preserve"> </w:t>
      </w:r>
      <w:r>
        <w:t xml:space="preserve">(Levin &amp; Angelone, 2008)</w:t>
      </w:r>
      <w:r>
        <w:t xml:space="preserve">. Similarly, the majority of third graders knew that the addition of distractors makes finding the target harder, particularly if the distractors and target are of the same color</w:t>
      </w:r>
      <w:r>
        <w:t xml:space="preserve"> </w:t>
      </w:r>
      <w:r>
        <w:t xml:space="preserve">(Miller &amp; Bigi, 1977)</w:t>
      </w:r>
      <w:r>
        <w:t xml:space="preserve">.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pPr>
        <w:pStyle w:val="Textkrper"/>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w:t>
      </w:r>
      <w:r>
        <w:t xml:space="preserve"> </w:t>
      </w:r>
      <w:r>
        <w:t xml:space="preserve">(Smith &amp; Vul, 2013)</w:t>
      </w:r>
      <w:r>
        <w:t xml:space="preserve"> </w:t>
      </w:r>
      <w:r>
        <w:t xml:space="preserve">and falling blocks</w:t>
      </w:r>
      <w:r>
        <w:t xml:space="preserve"> </w:t>
      </w:r>
      <w:r>
        <w:t xml:space="preserve">(Battaglia et al., 2013)</w:t>
      </w:r>
      <w:r>
        <w:t xml:space="preserve"> </w:t>
      </w:r>
      <w:r>
        <w:t xml:space="preserve">to study intuitive physics, here we chose visual search for being 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w:t>
      </w:r>
      <w:r>
        <w:t xml:space="preserve"> </w:t>
      </w:r>
      <w:r>
        <w:t xml:space="preserve">(Lake, Salakhutdinov, Gross, &amp; Tenenbaum, 2011)</w:t>
      </w:r>
      <w:r>
        <w:t xml:space="preserve"> </w:t>
      </w:r>
      <w:r>
        <w:t xml:space="preserve">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In Experiment 5, we find that participants’ internal models fail to represent asymmetries between searching for the presence or absence of basic visual features. Together, our findings are consistent with an internal model of visual search that integrates person-specific perceptions of complexity and similarity with person-invariant beliefs about factors that contribute to search difficulty, in representing the later post-attentional stages of the search process.</w:t>
      </w:r>
    </w:p>
    <w:bookmarkEnd w:id="22"/>
    <w:bookmarkStart w:id="38" w:name="X4fb108abd3f767426b4c1d3916a8a00a5b76ee5"/>
    <w:p>
      <w:pPr>
        <w:pStyle w:val="berschrift1"/>
      </w:pPr>
      <w:r>
        <w:t xml:space="preserve">Experiments 1 and 2: shape, orientation, and color</w:t>
      </w:r>
    </w:p>
    <w:p>
      <w:pPr>
        <w:pStyle w:val="FirstParagraph"/>
      </w:pPr>
      <w:r>
        <w:t xml:space="preserve">An internal model of visual search may take a similar form to that of a scientific theory, by specifying an ontology of concepts and a set of causal laws that operate over them</w:t>
      </w:r>
      <w:r>
        <w:t xml:space="preserve"> </w:t>
      </w:r>
      <w:r>
        <w:t xml:space="preserve">(Gerstenberg &amp; Tenenbaum, 2017; Gopnik &amp; Meltzoff, 1997)</w:t>
      </w:r>
      <w:r>
        <w:t xml:space="preserve">. For example, participants may hold an internal model of visual search that is similar to Anne Treisman’s</w:t>
      </w:r>
      <w:r>
        <w:t xml:space="preserve"> </w:t>
      </w:r>
      <w:r>
        <w:rPr>
          <w:iCs/>
          <w:i/>
        </w:rPr>
        <w:t xml:space="preserve">Feature Integration Theory</w:t>
      </w:r>
      <w:r>
        <w:t xml:space="preserve">. According to this theory, visual search comprises two stages: a pre-attentive parallel stage, and a serial focused attention stage</w:t>
      </w:r>
      <w:r>
        <w:t xml:space="preserve"> </w:t>
      </w:r>
      <w:r>
        <w:t xml:space="preserve">(Treisman, 1986; Treisman &amp; Sato, 1990)</w:t>
      </w:r>
      <w:r>
        <w:t xml:space="preserve">. In the first stage, visual features (such as color, orientation, and intensity) are extracted from the display to generate spatial</w:t>
      </w:r>
      <w:r>
        <w:t xml:space="preserve"> </w:t>
      </w:r>
      <w:r>
        <w:t xml:space="preserve">‘</w:t>
      </w:r>
      <w:r>
        <w:t xml:space="preserve">feature maps</w:t>
      </w:r>
      <w:r>
        <w:t xml:space="preserve">’</w:t>
      </w:r>
      <w:r>
        <w:t xml:space="preserve">. Targets that are defined by a single feature with respect to their surroundings can be located based on these feature maps alone (</w:t>
      </w:r>
      <w:r>
        <w:rPr>
          <w:iCs/>
          <w:i/>
        </w:rPr>
        <w:t xml:space="preserve">feature search</w:t>
      </w:r>
      <w:r>
        <w:t xml:space="preserve">;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Cs/>
          <w:i/>
        </w:rPr>
        <w:t xml:space="preserve">conjunction search</w:t>
      </w:r>
      <w:r>
        <w:t xml:space="preserve">; for example if the road has not only yellow taxis, but also red buses). In such cases, attention must be serially deployed to items in the display until the target is identified.</w:t>
      </w:r>
    </w:p>
    <w:p>
      <w:pPr>
        <w:pStyle w:val="Textkrper"/>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w:t>
      </w:r>
      <w:r>
        <w:t xml:space="preserve"> </w:t>
      </w:r>
      <w:r>
        <w:rPr>
          <w:iCs/>
          <w:i/>
        </w:rPr>
        <w:t xml:space="preserve">Guided Search</w:t>
      </w:r>
      <w:r>
        <w:t xml:space="preserve"> </w:t>
      </w:r>
      <w:r>
        <w:t xml:space="preserve">models</w:t>
      </w:r>
      <w:r>
        <w:t xml:space="preserve"> </w:t>
      </w:r>
      <w:r>
        <w:t xml:space="preserve">(Wolfe, 1994, 2021; Wolfe, Cave, &amp; Franzel, 1989)</w:t>
      </w:r>
      <w:r>
        <w:t xml:space="preserve"> </w:t>
      </w:r>
      <w:r>
        <w:t xml:space="preserve">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pPr>
        <w:pStyle w:val="Textkrper"/>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w:t>
      </w:r>
      <w:r>
        <w:t xml:space="preserve"> </w:t>
      </w:r>
      <w:hyperlink r:id="rId23">
        <w:r>
          <w:rPr>
            <w:rStyle w:val="Hyperlink"/>
          </w:rPr>
          <w:t xml:space="preserve">osf.io/2dpq9</w:t>
        </w:r>
      </w:hyperlink>
      <w:r>
        <w:t xml:space="preserve">). Raw data and full analysis scripts are available at</w:t>
      </w:r>
      <w:r>
        <w:t xml:space="preserve"> </w:t>
      </w:r>
      <w:hyperlink r:id="rId20">
        <w:r>
          <w:rPr>
            <w:rStyle w:val="Hyperlink"/>
          </w:rPr>
          <w:t xml:space="preserve">github.com/matanmazor/metaVisualSearch</w:t>
        </w:r>
      </w:hyperlink>
      <w:r>
        <w:t xml:space="preserve">.</w:t>
      </w:r>
    </w:p>
    <w:bookmarkStart w:id="24" w:name="participants"/>
    <w:p>
      <w:pPr>
        <w:pStyle w:val="berschrift2"/>
      </w:pPr>
      <w:r>
        <w:t xml:space="preserve">Participants</w:t>
      </w:r>
    </w:p>
    <w:p>
      <w:pPr>
        <w:pStyle w:val="FirstParagraph"/>
      </w:pPr>
      <w:r>
        <w:t xml:space="preserve">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bookmarkEnd w:id="24"/>
    <w:bookmarkStart w:id="31" w:name="procedure"/>
    <w:p>
      <w:pPr>
        <w:pStyle w:val="berschrift2"/>
      </w:pPr>
      <w:r>
        <w:t xml:space="preserve">Procedure</w:t>
      </w:r>
    </w:p>
    <w:p>
      <w:pPr>
        <w:pStyle w:val="FirstParagraph"/>
      </w:pPr>
      <w:r>
        <w:t xml:space="preserve">The study was built using the Lab.js platform</w:t>
      </w:r>
      <w:r>
        <w:t xml:space="preserve"> </w:t>
      </w:r>
      <w:r>
        <w:t xml:space="preserve">(Henninger, Shevchenko, Mertens, Kieslich, &amp; Hilbig, 2019)</w:t>
      </w:r>
      <w:r>
        <w:t xml:space="preserve"> </w:t>
      </w:r>
      <w:r>
        <w:t xml:space="preserve">and hosted on a JATOS server</w:t>
      </w:r>
      <w:r>
        <w:t xml:space="preserve"> </w:t>
      </w:r>
      <w:r>
        <w:t xml:space="preserve">(Lange, Kühn, &amp; Filevich, 2015)</w:t>
      </w:r>
      <w:r>
        <w:t xml:space="preserve">. Static versions of all four experiments are available at</w:t>
      </w:r>
      <w:r>
        <w:t xml:space="preserve"> </w:t>
      </w:r>
      <w:hyperlink r:id="rId20">
        <w:r>
          <w:rPr>
            <w:rStyle w:val="Hyperlink"/>
          </w:rPr>
          <w:t xml:space="preserve">github.com/matanmazor/metaVisualSearch</w:t>
        </w:r>
      </w:hyperlink>
      <w:r>
        <w:t xml:space="preserve">.</w:t>
      </w:r>
    </w:p>
    <w:bookmarkStart w:id="25" w:name="familiarization"/>
    <w:p>
      <w:pPr>
        <w:pStyle w:val="berschrift3"/>
      </w:pPr>
      <w:r>
        <w:t xml:space="preserve">Familiarization.</w:t>
      </w:r>
    </w:p>
    <w:p>
      <w:pPr>
        <w:pStyle w:val="FirstParagraph"/>
      </w:pPr>
      <w:r>
        <w:t xml:space="preserve">First, participants were acquainted with the visual search task. The instructions for this part were as follows:</w:t>
      </w:r>
    </w:p>
    <w:p>
      <w:pPr>
        <w:pStyle w:val="Blocktext"/>
      </w:pPr>
      <w:r>
        <w:t xml:space="preserve">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pPr>
        <w:pStyle w:val="FirstParagraph"/>
      </w:pPr>
      <w:r>
        <w:t xml:space="preserve">The instructions were followed by four trials of an example visual search task (searching for a</w:t>
      </w:r>
      <w:r>
        <w:t xml:space="preserve"> </w:t>
      </w:r>
      <w:r>
        <w:rPr>
          <w:iCs/>
          <w:i/>
        </w:rPr>
        <w:t xml:space="preserve">T</w:t>
      </w:r>
      <w:r>
        <w:t xml:space="preserve"> </w:t>
      </w:r>
      <w:r>
        <w:t xml:space="preserve">among 7</w:t>
      </w:r>
      <w:r>
        <w:t xml:space="preserve"> </w:t>
      </w:r>
      <w:r>
        <w:rPr>
          <w:iCs/>
          <w:i/>
        </w:rPr>
        <w:t xml:space="preserve">L</w:t>
      </w:r>
      <w:r>
        <w:t xml:space="preserve">s). Feedback was delivered on speed and accuracy. The purpose of this part of the experiment was to familiarize participants with the task.</w:t>
      </w:r>
    </w:p>
    <w:bookmarkEnd w:id="25"/>
    <w:bookmarkStart w:id="29" w:name="estimation"/>
    <w:p>
      <w:pPr>
        <w:pStyle w:val="berschrift3"/>
      </w:pPr>
      <w:r>
        <w:t xml:space="preserve">Estimation.</w:t>
      </w:r>
    </w:p>
    <w:p>
      <w:pPr>
        <w:pStyle w:val="FirstParagraph"/>
      </w:pPr>
      <w:r>
        <w:t xml:space="preserve">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w:t>
      </w:r>
      <w:r>
        <w:t xml:space="preserve"> </w:t>
      </w:r>
      <w:r>
        <w:t xml:space="preserve">1</w:t>
      </w:r>
      <w:r>
        <w:t xml:space="preserve">).</w:t>
      </w:r>
    </w:p>
    <w:p>
      <w:pPr>
        <w:pStyle w:val="Textkrper"/>
      </w:pPr>
      <w:r>
        <w:t xml:space="preserve">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pPr>
        <w:pStyle w:val="CaptionedFigure"/>
      </w:pPr>
      <w:r>
        <w:drawing>
          <wp:inline>
            <wp:extent cx="5969000" cy="4319612"/>
            <wp:effectExtent b="0" l="0" r="0" t="0"/>
            <wp:docPr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title="" id="27" name="Picture"/>
            <a:graphic>
              <a:graphicData uri="http://schemas.openxmlformats.org/drawingml/2006/picture">
                <pic:pic>
                  <pic:nvPicPr>
                    <pic:cNvPr descr="figures/methods1.png" id="28" name="Picture"/>
                    <pic:cNvPicPr>
                      <a:picLocks noChangeArrowheads="1" noChangeAspect="1"/>
                    </pic:cNvPicPr>
                  </pic:nvPicPr>
                  <pic:blipFill>
                    <a:blip r:embed="rId26"/>
                    <a:stretch>
                      <a:fillRect/>
                    </a:stretch>
                  </pic:blipFill>
                  <pic:spPr bwMode="auto">
                    <a:xfrm>
                      <a:off x="0" y="0"/>
                      <a:ext cx="5969000" cy="431961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pPr>
        <w:pStyle w:val="Textkrper"/>
      </w:pPr>
      <w:r>
        <w:t xml:space="preserve">After one practice trial (estimating search time for finding one</w:t>
      </w:r>
      <w:r>
        <w:t xml:space="preserve"> </w:t>
      </w:r>
      <w:r>
        <w:rPr>
          <w:iCs/>
          <w:i/>
        </w:rPr>
        <w:t xml:space="preserve">T</w:t>
      </w:r>
      <w:r>
        <w:t xml:space="preserve"> </w:t>
      </w:r>
      <w:r>
        <w:t xml:space="preserve">among 3 randomly positioned</w:t>
      </w:r>
      <w:r>
        <w:t xml:space="preserve"> </w:t>
      </w:r>
      <w:r>
        <w:rPr>
          <w:iCs/>
          <w:i/>
        </w:rPr>
        <w:t xml:space="preserve">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w:t>
      </w:r>
      <w:r>
        <w:t xml:space="preserve"> </w:t>
      </w:r>
      <w:r>
        <w:t xml:space="preserve">1</w:t>
      </w:r>
      <w:r>
        <w:t xml:space="preserve">, upper right panel). In 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w:t>
      </w:r>
      <w:r>
        <w:t xml:space="preserve"> </w:t>
      </w:r>
      <w:r>
        <w:t xml:space="preserve">1</w:t>
      </w:r>
      <w:r>
        <w:t xml:space="preserve">, lower right panel). In both experiments, the order of estimation trials was randomized between participants.</w:t>
      </w:r>
    </w:p>
    <w:bookmarkEnd w:id="29"/>
    <w:bookmarkStart w:id="30" w:name="visual-search"/>
    <w:p>
      <w:pPr>
        <w:pStyle w:val="berschrift3"/>
      </w:pPr>
      <w:r>
        <w:t xml:space="preserve">Visual Search.</w:t>
      </w:r>
    </w:p>
    <w:p>
      <w:pPr>
        <w:pStyle w:val="FirstParagraph"/>
      </w:pPr>
      <w:r>
        <w:t xml:space="preserve">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bookmarkEnd w:id="30"/>
    <w:bookmarkEnd w:id="31"/>
    <w:bookmarkStart w:id="37" w:name="results"/>
    <w:p>
      <w:pPr>
        <w:pStyle w:val="berschrift2"/>
      </w:pPr>
      <w:r>
        <w:t xml:space="preserve">Results</w:t>
      </w:r>
    </w:p>
    <w:p>
      <w:pPr>
        <w:pStyle w:val="FirstParagraph"/>
      </w:pPr>
      <w:r>
        <w:t xml:space="preserve">Accuracy in the visual search task was reasonably high in both Experiments (Exp. 1:</w:t>
      </w:r>
      <w:r>
        <w:t xml:space="preserve"> </w:t>
      </w:r>
      <m:oMath>
        <m:r>
          <m:t>M</m:t>
        </m:r>
        <m:r>
          <m:rPr>
            <m:sty m:val="p"/>
          </m:rPr>
          <m:t>=</m:t>
        </m:r>
        <m:r>
          <m:t>0.93</m:t>
        </m:r>
      </m:oMath>
      <w:r>
        <w:t xml:space="preserve">, 95% CI</w:t>
      </w:r>
      <w:r>
        <w:t xml:space="preserve"> </w:t>
      </w:r>
      <m:oMath>
        <m:d>
          <m:dPr>
            <m:begChr m:val="["/>
            <m:endChr m:val="]"/>
            <m:sepChr m:val=""/>
            <m:grow/>
          </m:dPr>
          <m:e>
            <m:r>
              <m:t>0.90</m:t>
            </m:r>
            <m:r>
              <m:rPr>
                <m:sty m:val="p"/>
              </m:rPr>
              <m:t>,</m:t>
            </m:r>
            <m:r>
              <m:t>0.96</m:t>
            </m:r>
          </m:e>
        </m:d>
      </m:oMath>
      <w:r>
        <w:t xml:space="preserve">; Exp. 2:</w:t>
      </w:r>
      <w:r>
        <w:t xml:space="preserve"> </w:t>
      </w:r>
      <m:oMath>
        <m:r>
          <m:t>M</m:t>
        </m:r>
        <m:r>
          <m:rPr>
            <m:sty m:val="p"/>
          </m:rPr>
          <m:t>=</m:t>
        </m:r>
        <m:r>
          <m:t>0.82</m:t>
        </m:r>
      </m:oMath>
      <w:r>
        <w:t xml:space="preserve">, 95% CI</w:t>
      </w:r>
      <w:r>
        <w:t xml:space="preserve"> </w:t>
      </w:r>
      <m:oMath>
        <m:d>
          <m:dPr>
            <m:begChr m:val="["/>
            <m:endChr m:val="]"/>
            <m:sepChr m:val=""/>
            <m:grow/>
          </m:dPr>
          <m:e>
            <m:r>
              <m:t>0.77</m:t>
            </m:r>
            <m:r>
              <m:rPr>
                <m:sty m:val="p"/>
              </m:rPr>
              <m:t>,</m:t>
            </m:r>
            <m:r>
              <m:t>0.87</m:t>
            </m:r>
          </m:e>
        </m:d>
      </m:oMath>
      <w:r>
        <w:t xml:space="preserve">).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bookmarkStart w:id="32" w:name="search-times"/>
    <w:p>
      <w:pPr>
        <w:pStyle w:val="berschrift3"/>
      </w:pPr>
      <w:r>
        <w:t xml:space="preserve">Search times.</w:t>
      </w:r>
    </w:p>
    <w:p>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w:t>
      </w:r>
      <w:r>
        <w:t xml:space="preserve"> </w:t>
      </w:r>
      <m:oMath>
        <m:r>
          <m:t>t</m:t>
        </m:r>
        <m:d>
          <m:dPr>
            <m:begChr m:val="("/>
            <m:endChr m:val=")"/>
            <m:sepChr m:val=""/>
            <m:grow/>
          </m:dPr>
          <m:e>
            <m:r>
              <m:t>88</m:t>
            </m:r>
          </m:e>
        </m:d>
        <m:r>
          <m:rPr>
            <m:sty m:val="p"/>
          </m:rPr>
          <m:t>=</m:t>
        </m:r>
        <m:r>
          <m:rPr>
            <m:sty m:val="p"/>
          </m:rPr>
          <m:t>−</m:t>
        </m:r>
        <m:r>
          <m:t>0.45</m:t>
        </m:r>
      </m:oMath>
      <w:r>
        <w:t xml:space="preserve">,</w:t>
      </w:r>
      <w:r>
        <w:t xml:space="preserve"> </w:t>
      </w:r>
      <m:oMath>
        <m:r>
          <m:t>p</m:t>
        </m:r>
        <m:r>
          <m:rPr>
            <m:sty m:val="p"/>
          </m:rPr>
          <m:t>=</m:t>
        </m:r>
        <m:r>
          <m:t>.652</m:t>
        </m:r>
      </m:oMath>
      <w:r>
        <w:t xml:space="preserve">,</w:t>
      </w:r>
      <w:r>
        <w:t xml:space="preserve"> </w:t>
      </w:r>
      <m:oMath>
        <m:sSub>
          <m:e>
            <m:r>
              <m:rPr>
                <m:sty m:val="p"/>
              </m:rPr>
              <m:t>B</m:t>
            </m:r>
            <m:r>
              <m:rPr>
                <m:sty m:val="p"/>
              </m:rPr>
              <m:t>F</m:t>
            </m:r>
          </m:e>
          <m:sub>
            <m:r>
              <m:rPr>
                <m:nor/>
                <m:sty m:val="p"/>
              </m:rPr>
              <m:t>01</m:t>
            </m:r>
          </m:sub>
        </m:sSub>
        <m:r>
          <m:rPr>
            <m:sty m:val="p"/>
          </m:rPr>
          <m:t>=</m:t>
        </m:r>
        <m:r>
          <m:t>7.74</m:t>
        </m:r>
      </m:oMath>
      <w:r>
        <w:t xml:space="preserve">) and Exp. 2 (0.51 ms/item;</w:t>
      </w:r>
      <w:r>
        <w:t xml:space="preserve"> </w:t>
      </w:r>
      <m:oMath>
        <m:r>
          <m:t>t</m:t>
        </m:r>
        <m:d>
          <m:dPr>
            <m:begChr m:val="("/>
            <m:endChr m:val=")"/>
            <m:sepChr m:val=""/>
            <m:grow/>
          </m:dPr>
          <m:e>
            <m:r>
              <m:t>73</m:t>
            </m:r>
          </m:e>
        </m:d>
        <m:r>
          <m:rPr>
            <m:sty m:val="p"/>
          </m:rPr>
          <m:t>=</m:t>
        </m:r>
        <m:r>
          <m:t>0.07</m:t>
        </m:r>
      </m:oMath>
      <w:r>
        <w:t xml:space="preserve">,</w:t>
      </w:r>
      <w:r>
        <w:t xml:space="preserve"> </w:t>
      </w:r>
      <m:oMath>
        <m:r>
          <m:t>p</m:t>
        </m:r>
        <m:r>
          <m:rPr>
            <m:sty m:val="p"/>
          </m:rPr>
          <m:t>=</m:t>
        </m:r>
        <m:r>
          <m:t>.946</m:t>
        </m:r>
      </m:oMath>
      <w:r>
        <w:t xml:space="preserve">,</w:t>
      </w:r>
      <w:r>
        <w:t xml:space="preserve"> </w:t>
      </w:r>
      <m:oMath>
        <m:sSub>
          <m:e>
            <m:r>
              <m:rPr>
                <m:sty m:val="p"/>
              </m:rPr>
              <m:t>B</m:t>
            </m:r>
            <m:r>
              <m:rPr>
                <m:sty m:val="p"/>
              </m:rPr>
              <m:t>F</m:t>
            </m:r>
          </m:e>
          <m:sub>
            <m:r>
              <m:rPr>
                <m:nor/>
                <m:sty m:val="p"/>
              </m:rPr>
              <m:t>01</m:t>
            </m:r>
          </m:sub>
        </m:sSub>
        <m:r>
          <m:rPr>
            <m:sty m:val="p"/>
          </m:rPr>
          <m:t>=</m:t>
        </m:r>
        <m:r>
          <m:t>7.80</m:t>
        </m:r>
      </m:oMath>
      <w:r>
        <w:t xml:space="preserve">). This is consistent with color being a basic feature that is not dependent on serial attention for its extraction by the visual system</w:t>
      </w:r>
      <w:r>
        <w:t xml:space="preserve"> </w:t>
      </w:r>
      <w:r>
        <w:t xml:space="preserve">(Treisman, 1986; Treisman &amp; Sato, 1990)</w:t>
      </w:r>
      <w:r>
        <w:t xml:space="preserve">. The slope for shape search was close, but significantly higher than zero (5.66 ms/item;</w:t>
      </w:r>
      <w:r>
        <w:t xml:space="preserve"> </w:t>
      </w:r>
      <m:oMath>
        <m:r>
          <m:t>t</m:t>
        </m:r>
        <m:d>
          <m:dPr>
            <m:begChr m:val="("/>
            <m:endChr m:val=")"/>
            <m:sepChr m:val=""/>
            <m:grow/>
          </m:dPr>
          <m:e>
            <m:r>
              <m:t>88</m:t>
            </m:r>
          </m:e>
        </m:d>
        <m:r>
          <m:rPr>
            <m:sty m:val="p"/>
          </m:rPr>
          <m:t>=</m:t>
        </m:r>
        <m:r>
          <m:t>4.35</m:t>
        </m:r>
      </m:oMath>
      <w:r>
        <w:t xml:space="preserve">,</w:t>
      </w:r>
      <w:r>
        <w:t xml:space="preserve"> </w:t>
      </w:r>
      <m:oMath>
        <m:r>
          <m:t>p</m:t>
        </m:r>
        <m:r>
          <m:rPr>
            <m:sty m:val="p"/>
          </m:rPr>
          <m:t>&lt;</m:t>
        </m:r>
        <m:r>
          <m:t>.001</m:t>
        </m:r>
      </m:oMath>
      <w:r>
        <w:t xml:space="preserve">), and the slope for orientation was numerically higher than zero (11.05 ms/item) but not significantly so (</w:t>
      </w:r>
      <m:oMath>
        <m:r>
          <m:t>t</m:t>
        </m:r>
        <m:d>
          <m:dPr>
            <m:begChr m:val="("/>
            <m:endChr m:val=")"/>
            <m:sepChr m:val=""/>
            <m:grow/>
          </m:dPr>
          <m:e>
            <m:r>
              <m:t>73</m:t>
            </m:r>
          </m:e>
        </m:d>
        <m:r>
          <m:rPr>
            <m:sty m:val="p"/>
          </m:rPr>
          <m:t>=</m:t>
        </m:r>
        <m:r>
          <m:t>1.50</m:t>
        </m:r>
      </m:oMath>
      <w:r>
        <w:t xml:space="preserve">,</w:t>
      </w:r>
      <w:r>
        <w:t xml:space="preserve"> </w:t>
      </w:r>
      <m:oMath>
        <m:r>
          <m:t>p</m:t>
        </m:r>
        <m:r>
          <m:rPr>
            <m:sty m:val="p"/>
          </m:rPr>
          <m:t>=</m:t>
        </m:r>
        <m:r>
          <m:t>.139</m:t>
        </m:r>
      </m:oMath>
      <w:r>
        <w:t xml:space="preserve">,</w:t>
      </w:r>
      <w:r>
        <w:t xml:space="preserve"> </w:t>
      </w:r>
      <m:oMath>
        <m:sSub>
          <m:e>
            <m:r>
              <m:rPr>
                <m:sty m:val="p"/>
              </m:rPr>
              <m:t>B</m:t>
            </m:r>
            <m:r>
              <m:rPr>
                <m:sty m:val="p"/>
              </m:rPr>
              <m:t>F</m:t>
            </m:r>
          </m:e>
          <m:sub>
            <m:r>
              <m:rPr>
                <m:nor/>
                <m:sty m:val="p"/>
              </m:rPr>
              <m:t>01</m:t>
            </m:r>
          </m:sub>
        </m:sSub>
        <m:r>
          <m:rPr>
            <m:sty m:val="p"/>
          </m:rPr>
          <m:t>=</m:t>
        </m:r>
        <m:r>
          <m:t>2.70</m:t>
        </m:r>
      </m:oMath>
      <w:r>
        <w:t xml:space="preserve">). In both Experiments, conjunction search gave rise to search slopes significantly higher than zero (Exp. 1: 14.80 ms/item (</w:t>
      </w:r>
      <m:oMath>
        <m:r>
          <m:t>t</m:t>
        </m:r>
        <m:d>
          <m:dPr>
            <m:begChr m:val="("/>
            <m:endChr m:val=")"/>
            <m:sepChr m:val=""/>
            <m:grow/>
          </m:dPr>
          <m:e>
            <m:r>
              <m:t>88</m:t>
            </m:r>
          </m:e>
        </m:d>
        <m:r>
          <m:rPr>
            <m:sty m:val="p"/>
          </m:rPr>
          <m:t>=</m:t>
        </m:r>
        <m:r>
          <m:t>9.16</m:t>
        </m:r>
      </m:oMath>
      <w:r>
        <w:t xml:space="preserve">,</w:t>
      </w:r>
      <w:r>
        <w:t xml:space="preserve"> </w:t>
      </w:r>
      <m:oMath>
        <m:r>
          <m:t>p</m:t>
        </m:r>
        <m:r>
          <m:rPr>
            <m:sty m:val="p"/>
          </m:rPr>
          <m:t>&lt;</m:t>
        </m:r>
        <m:r>
          <m:t>.001</m:t>
        </m:r>
      </m:oMath>
      <w:r>
        <w:t xml:space="preserve">; Exp. 2: 72.14 ms/item (</w:t>
      </w:r>
      <m:oMath>
        <m:r>
          <m:t>t</m:t>
        </m:r>
        <m:d>
          <m:dPr>
            <m:begChr m:val="("/>
            <m:endChr m:val=")"/>
            <m:sepChr m:val=""/>
            <m:grow/>
          </m:dPr>
          <m:e>
            <m:r>
              <m:t>73</m:t>
            </m:r>
          </m:e>
        </m:d>
        <m:r>
          <m:rPr>
            <m:sty m:val="p"/>
          </m:rPr>
          <m:t>=</m:t>
        </m:r>
        <m:r>
          <m:t>7.50</m:t>
        </m:r>
      </m:oMath>
      <w:r>
        <w:t xml:space="preserve">,</w:t>
      </w:r>
      <w:r>
        <w:t xml:space="preserve"> </w:t>
      </w:r>
      <m:oMath>
        <m:r>
          <m:t>p</m:t>
        </m:r>
        <m:r>
          <m:rPr>
            <m:sty m:val="p"/>
          </m:rPr>
          <m:t>&lt;</m:t>
        </m:r>
        <m:r>
          <m:t>.001</m:t>
        </m:r>
      </m:oMath>
      <w:r>
        <w:t xml:space="preserve">; see Figure</w:t>
      </w:r>
      <w:r>
        <w:t xml:space="preserve"> </w:t>
      </w:r>
      <w:r>
        <w:t xml:space="preserve">2</w:t>
      </w:r>
      <w:r>
        <w:t xml:space="preserve">).</w:t>
      </w:r>
    </w:p>
    <w:bookmarkEnd w:id="32"/>
    <w:bookmarkStart w:id="36" w:name="estimation-accuracy"/>
    <w:p>
      <w:pPr>
        <w:pStyle w:val="berschrift3"/>
      </w:pPr>
      <w:r>
        <w:t xml:space="preserve">Estimation accuracy.</w:t>
      </w:r>
    </w:p>
    <w:p>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w:t>
      </w:r>
      <w:r>
        <w:t xml:space="preserve"> </w:t>
      </w:r>
      <w:r>
        <w:t xml:space="preserve">2</w:t>
      </w:r>
      <w:r>
        <w:t xml:space="preserve">, left panels: note the difference in y axis between true and estimated search time plots). This is expected, based on our bonus scheme that incentivized conservative estimates (see Appendix). Despite this bias, estimates were correlated with true search times, supporting a metacognitive insight into visual search behavior (see Fig.</w:t>
      </w:r>
      <w:r>
        <w:t xml:space="preserve"> </w:t>
      </w:r>
      <w:r>
        <w:t xml:space="preserve">2</w:t>
      </w:r>
      <w:r>
        <w:t xml:space="preserve">, left panels. Within subject Spearman correlations, Exp. 1:</w:t>
      </w:r>
      <w:r>
        <w:t xml:space="preserve"> </w:t>
      </w:r>
      <m:oMath>
        <m:r>
          <m:t>M</m:t>
        </m:r>
        <m:r>
          <m:rPr>
            <m:sty m:val="p"/>
          </m:rPr>
          <m:t>=</m:t>
        </m:r>
        <m:r>
          <m:t>0.28</m:t>
        </m:r>
      </m:oMath>
      <w:r>
        <w:t xml:space="preserve">, 95% CI</w:t>
      </w:r>
      <w:r>
        <w:t xml:space="preserve"> </w:t>
      </w:r>
      <m:oMath>
        <m:d>
          <m:dPr>
            <m:begChr m:val="["/>
            <m:endChr m:val="]"/>
            <m:sepChr m:val=""/>
            <m:grow/>
          </m:dPr>
          <m:e>
            <m:r>
              <m:t>0.21</m:t>
            </m:r>
            <m:r>
              <m:rPr>
                <m:sty m:val="p"/>
              </m:rPr>
              <m:t>,</m:t>
            </m:r>
            <m:r>
              <m:t>0.35</m:t>
            </m:r>
          </m:e>
        </m:d>
      </m:oMath>
      <w:r>
        <w:t xml:space="preserve">,</w:t>
      </w:r>
      <w:r>
        <w:t xml:space="preserve"> </w:t>
      </w:r>
      <m:oMath>
        <m:r>
          <m:t>t</m:t>
        </m:r>
        <m:d>
          <m:dPr>
            <m:begChr m:val="("/>
            <m:endChr m:val=")"/>
            <m:sepChr m:val=""/>
            <m:grow/>
          </m:dPr>
          <m:e>
            <m:r>
              <m:t>88</m:t>
            </m:r>
          </m:e>
        </m:d>
        <m:r>
          <m:rPr>
            <m:sty m:val="p"/>
          </m:rPr>
          <m:t>=</m:t>
        </m:r>
        <m:r>
          <m:t>7.77</m:t>
        </m:r>
      </m:oMath>
      <w:r>
        <w:t xml:space="preserve">,</w:t>
      </w:r>
      <w:r>
        <w:t xml:space="preserve"> </w:t>
      </w:r>
      <m:oMath>
        <m:r>
          <m:t>p</m:t>
        </m:r>
        <m:r>
          <m:rPr>
            <m:sty m:val="p"/>
          </m:rPr>
          <m:t>&lt;</m:t>
        </m:r>
        <m:r>
          <m:t>.001</m:t>
        </m:r>
      </m:oMath>
      <w:r>
        <w:t xml:space="preserve">; Exp 2:</w:t>
      </w:r>
      <w:r>
        <w:t xml:space="preserve"> </w:t>
      </w:r>
      <m:oMath>
        <m:r>
          <m:t>M</m:t>
        </m:r>
        <m:r>
          <m:rPr>
            <m:sty m:val="p"/>
          </m:rPr>
          <m:t>=</m:t>
        </m:r>
        <m:r>
          <m:t>0.16</m:t>
        </m:r>
      </m:oMath>
      <w:r>
        <w:t xml:space="preserve">, 95% CI</w:t>
      </w:r>
      <w:r>
        <w:t xml:space="preserve"> </w:t>
      </w:r>
      <m:oMath>
        <m:d>
          <m:dPr>
            <m:begChr m:val="["/>
            <m:endChr m:val="]"/>
            <m:sepChr m:val=""/>
            <m:grow/>
          </m:dPr>
          <m:e>
            <m:r>
              <m:t>0.07</m:t>
            </m:r>
            <m:r>
              <m:rPr>
                <m:sty m:val="p"/>
              </m:rPr>
              <m:t>,</m:t>
            </m:r>
            <m:r>
              <m:t>0.26</m:t>
            </m:r>
          </m:e>
        </m:d>
      </m:oMath>
      <w:r>
        <w:t xml:space="preserve">,</w:t>
      </w:r>
      <w:r>
        <w:t xml:space="preserve"> </w:t>
      </w:r>
      <m:oMath>
        <m:r>
          <m:t>t</m:t>
        </m:r>
        <m:d>
          <m:dPr>
            <m:begChr m:val="("/>
            <m:endChr m:val=")"/>
            <m:sepChr m:val=""/>
            <m:grow/>
          </m:dPr>
          <m:e>
            <m:r>
              <m:t>73</m:t>
            </m:r>
          </m:e>
        </m:d>
        <m:r>
          <m:rPr>
            <m:sty m:val="p"/>
          </m:rPr>
          <m:t>=</m:t>
        </m:r>
        <m:r>
          <m:t>3.48</m:t>
        </m:r>
      </m:oMath>
      <w:r>
        <w:t xml:space="preserve">,</w:t>
      </w:r>
      <w:r>
        <w:t xml:space="preserve"> </w:t>
      </w:r>
      <m:oMath>
        <m:r>
          <m:t>p</m:t>
        </m:r>
        <m:r>
          <m:rPr>
            <m:sty m:val="p"/>
          </m:rPr>
          <m:t>=</m:t>
        </m:r>
        <m:r>
          <m:t>.001</m:t>
        </m:r>
      </m:oMath>
      <w:r>
        <w:t xml:space="preserve">).</w:t>
      </w:r>
    </w:p>
    <w:p>
      <w:pPr>
        <w:pStyle w:val="Textkrper"/>
      </w:pPr>
      <w:r>
        <w:t xml:space="preserve">To test participants’ internal models of visual search, we analyzed their estimates as if they were search times, and extracted</w:t>
      </w:r>
      <w:r>
        <w:t xml:space="preserve"> </w:t>
      </w:r>
      <w:r>
        <w:rPr>
          <w:iCs/>
          <w:i/>
        </w:rPr>
        <w:t xml:space="preserve">estimation slopes</w:t>
      </w:r>
      <w:r>
        <w:t xml:space="preserve"> </w:t>
      </w:r>
      <w:r>
        <w:t xml:space="preserve">relating estimates to the number of distractors in the display (see Fig.</w:t>
      </w:r>
      <w:r>
        <w:t xml:space="preserve"> </w:t>
      </w:r>
      <w:r>
        <w:t xml:space="preserve">2</w:t>
      </w:r>
      <w:r>
        <w:t xml:space="preserve">,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w:t>
      </w:r>
      <w:r>
        <w:t xml:space="preserve"> </w:t>
      </w:r>
      <m:oMath>
        <m:r>
          <m:t>t</m:t>
        </m:r>
        <m:d>
          <m:dPr>
            <m:begChr m:val="("/>
            <m:endChr m:val=")"/>
            <m:sepChr m:val=""/>
            <m:grow/>
          </m:dPr>
          <m:e>
            <m:r>
              <m:t>88</m:t>
            </m:r>
          </m:e>
        </m:d>
        <m:r>
          <m:rPr>
            <m:sty m:val="p"/>
          </m:rPr>
          <m:t>=</m:t>
        </m:r>
        <m:r>
          <m:t>6.35</m:t>
        </m:r>
      </m:oMath>
      <w:r>
        <w:t xml:space="preserve">,</w:t>
      </w:r>
      <w:r>
        <w:t xml:space="preserve"> </w:t>
      </w:r>
      <m:oMath>
        <m:r>
          <m:t>p</m:t>
        </m:r>
        <m:r>
          <m:rPr>
            <m:sty m:val="p"/>
          </m:rPr>
          <m:t>&lt;</m:t>
        </m:r>
        <m:r>
          <m:t>.001</m:t>
        </m:r>
      </m:oMath>
      <w:r>
        <w:t xml:space="preserve">; in Exp 2: 29.43 ms/item;</w:t>
      </w:r>
      <w:r>
        <w:t xml:space="preserve"> </w:t>
      </w:r>
      <m:oMath>
        <m:r>
          <m:t>t</m:t>
        </m:r>
        <m:d>
          <m:dPr>
            <m:begChr m:val="("/>
            <m:endChr m:val=")"/>
            <m:sepChr m:val=""/>
            <m:grow/>
          </m:dPr>
          <m:e>
            <m:r>
              <m:t>73</m:t>
            </m:r>
          </m:e>
        </m:d>
        <m:r>
          <m:rPr>
            <m:sty m:val="p"/>
          </m:rPr>
          <m:t>=</m:t>
        </m:r>
        <m:r>
          <m:t>2.63</m:t>
        </m:r>
      </m:oMath>
      <w:r>
        <w:t xml:space="preserve">,</w:t>
      </w:r>
      <w:r>
        <w:t xml:space="preserve"> </w:t>
      </w:r>
      <m:oMath>
        <m:r>
          <m:t>p</m:t>
        </m:r>
        <m:r>
          <m:rPr>
            <m:sty m:val="p"/>
          </m:rPr>
          <m:t>=</m:t>
        </m:r>
        <m:r>
          <m:t>.010</m:t>
        </m:r>
      </m:oMath>
      <w:r>
        <w:t xml:space="preserve">). In other words, at the group level, participants showed no metacognitive insight into the parallel nature of color search.</w:t>
      </w:r>
    </w:p>
    <w:p>
      <w:pPr>
        <w:pStyle w:val="Textkrper"/>
      </w:pPr>
      <w:r>
        <w:t xml:space="preserve">Although they were significantly different from zero, in both Experiments estimation slopes for color search were significantly shallower than for conjunction search (Exp. 1:</w:t>
      </w:r>
      <w:r>
        <w:t xml:space="preserve"> </w:t>
      </w:r>
      <m:oMath>
        <m:r>
          <m:t>t</m:t>
        </m:r>
        <m:d>
          <m:dPr>
            <m:begChr m:val="("/>
            <m:endChr m:val=")"/>
            <m:sepChr m:val=""/>
            <m:grow/>
          </m:dPr>
          <m:e>
            <m:r>
              <m:t>88</m:t>
            </m:r>
          </m:e>
        </m:d>
        <m:r>
          <m:rPr>
            <m:sty m:val="p"/>
          </m:rPr>
          <m:t>=</m:t>
        </m:r>
        <m:r>
          <m:t>4.08</m:t>
        </m:r>
      </m:oMath>
      <w:r>
        <w:t xml:space="preserve">,</w:t>
      </w:r>
      <w:r>
        <w:t xml:space="preserve"> </w:t>
      </w:r>
      <m:oMath>
        <m:r>
          <m:t>p</m:t>
        </m:r>
        <m:r>
          <m:rPr>
            <m:sty m:val="p"/>
          </m:rPr>
          <m:t>&lt;</m:t>
        </m:r>
        <m:r>
          <m:t>.001</m:t>
        </m:r>
      </m:oMath>
      <w:r>
        <w:t xml:space="preserve">, Exp. 2:</w:t>
      </w:r>
      <w:r>
        <w:t xml:space="preserve"> </w:t>
      </w:r>
      <m:oMath>
        <m:r>
          <m:t>t</m:t>
        </m:r>
        <m:d>
          <m:dPr>
            <m:begChr m:val="("/>
            <m:endChr m:val=")"/>
            <m:sepChr m:val=""/>
            <m:grow/>
          </m:dPr>
          <m:e>
            <m:r>
              <m:t>73</m:t>
            </m:r>
          </m:e>
        </m:d>
        <m:r>
          <m:rPr>
            <m:sty m:val="p"/>
          </m:rPr>
          <m:t>=</m:t>
        </m:r>
        <m:r>
          <m:t>3.87</m:t>
        </m:r>
      </m:oMath>
      <w:r>
        <w:t xml:space="preserve">,</w:t>
      </w:r>
      <w:r>
        <w:t xml:space="preserve"> </w:t>
      </w:r>
      <m:oMath>
        <m:r>
          <m:t>p</m:t>
        </m:r>
        <m:r>
          <m:rPr>
            <m:sty m:val="p"/>
          </m:rPr>
          <m:t>&lt;</m:t>
        </m:r>
        <m:r>
          <m:t>.001</m:t>
        </m:r>
      </m:oMath>
      <w:r>
        <w:t xml:space="preserve">). In contrast, although true search slopes were shallower for shape and orientation than for conjunction (p’s&lt;0.001), the difference in estimation slopes was not significant (difference between shape and conjunction slopes:</w:t>
      </w:r>
      <w:r>
        <w:t xml:space="preserve"> </w:t>
      </w:r>
      <m:oMath>
        <m:r>
          <m:t>t</m:t>
        </m:r>
        <m:d>
          <m:dPr>
            <m:begChr m:val="("/>
            <m:endChr m:val=")"/>
            <m:sepChr m:val=""/>
            <m:grow/>
          </m:dPr>
          <m:e>
            <m:r>
              <m:t>88</m:t>
            </m:r>
          </m:e>
        </m:d>
        <m:r>
          <m:rPr>
            <m:sty m:val="p"/>
          </m:rPr>
          <m:t>=</m:t>
        </m:r>
        <m:r>
          <m:t>1.65</m:t>
        </m:r>
      </m:oMath>
      <w:r>
        <w:t xml:space="preserve">,</w:t>
      </w:r>
      <w:r>
        <w:t xml:space="preserve"> </w:t>
      </w:r>
      <m:oMath>
        <m:r>
          <m:t>p</m:t>
        </m:r>
        <m:r>
          <m:rPr>
            <m:sty m:val="p"/>
          </m:rPr>
          <m:t>=</m:t>
        </m:r>
        <m:r>
          <m:t>.103</m:t>
        </m:r>
      </m:oMath>
      <w:r>
        <w:t xml:space="preserve">; difference between orientation and conjunction slopes:</w:t>
      </w:r>
      <w:r>
        <w:t xml:space="preserve"> </w:t>
      </w:r>
      <m:oMath>
        <m:r>
          <m:t>t</m:t>
        </m:r>
        <m:d>
          <m:dPr>
            <m:begChr m:val="("/>
            <m:endChr m:val=")"/>
            <m:sepChr m:val=""/>
            <m:grow/>
          </m:dPr>
          <m:e>
            <m:r>
              <m:t>73</m:t>
            </m:r>
          </m:e>
        </m:d>
        <m:r>
          <m:rPr>
            <m:sty m:val="p"/>
          </m:rPr>
          <m:t>=</m:t>
        </m:r>
        <m:r>
          <m:t>1.18</m:t>
        </m:r>
      </m:oMath>
      <w:r>
        <w:t xml:space="preserve">,</w:t>
      </w:r>
      <w:r>
        <w:t xml:space="preserve"> </w:t>
      </w:r>
      <m:oMath>
        <m:r>
          <m:t>p</m:t>
        </m:r>
        <m:r>
          <m:rPr>
            <m:sty m:val="p"/>
          </m:rPr>
          <m:t>=</m:t>
        </m:r>
        <m:r>
          <m:t>.244</m:t>
        </m:r>
      </m:oMath>
      <w:r>
        <w:t xml:space="preserve">).</w:t>
      </w:r>
    </w:p>
    <w:p>
      <w:pPr>
        <w:pStyle w:val="CaptionedFigure"/>
      </w:pPr>
      <w:r>
        <w:drawing>
          <wp:inline>
            <wp:extent cx="4587290" cy="3669832"/>
            <wp:effectExtent b="0" l="0" r="0" t="0"/>
            <wp:docPr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title="" id="34" name="Picture"/>
            <a:graphic>
              <a:graphicData uri="http://schemas.openxmlformats.org/drawingml/2006/picture">
                <pic:pic>
                  <pic:nvPicPr>
                    <pic:cNvPr descr="MVS_files/figure-docx/MVS-e1-e2-slopes-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bookmarkEnd w:id="36"/>
    <w:bookmarkEnd w:id="37"/>
    <w:bookmarkEnd w:id="38"/>
    <w:bookmarkStart w:id="59" w:name="X7075b9e6a982942c280220fe6463cd707d53051"/>
    <w:p>
      <w:pPr>
        <w:pStyle w:val="berschrift1"/>
      </w:pPr>
      <w:r>
        <w:t xml:space="preserve">Experiments 3 and 4: complex, unfamiliar stimuli</w:t>
      </w:r>
    </w:p>
    <w:p>
      <w:pPr>
        <w:pStyle w:val="FirstParagraph"/>
      </w:pPr>
      <w:r>
        <w:t xml:space="preserve">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but no awareness of the possibility of parallel processing of preattentive basic features. An alternative interpretation is that a gradient of positive search slopes emerges due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pPr>
        <w:pStyle w:val="Textkrper"/>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w:t>
      </w:r>
      <w:r>
        <w:t xml:space="preserve"> </w:t>
      </w:r>
      <w:hyperlink r:id="rId39">
        <w:r>
          <w:rPr>
            <w:rStyle w:val="Hyperlink"/>
          </w:rPr>
          <w:t xml:space="preserve">osf.io/dprtk</w:t>
        </w:r>
      </w:hyperlink>
      <w:r>
        <w:t xml:space="preserve">). Raw data and full analysis scripts are available at</w:t>
      </w:r>
      <w:r>
        <w:t xml:space="preserve"> </w:t>
      </w:r>
      <w:hyperlink r:id="rId20">
        <w:r>
          <w:rPr>
            <w:rStyle w:val="Hyperlink"/>
          </w:rPr>
          <w:t xml:space="preserve">github.com/matanmazor/metaVisualSearch</w:t>
        </w:r>
      </w:hyperlink>
      <w:r>
        <w:t xml:space="preserve">.</w:t>
      </w:r>
    </w:p>
    <w:bookmarkStart w:id="40" w:name="participants-1"/>
    <w:p>
      <w:pPr>
        <w:pStyle w:val="berschrift2"/>
      </w:pPr>
      <w:r>
        <w:t xml:space="preserve">Participants</w:t>
      </w:r>
    </w:p>
    <w:p>
      <w:pPr>
        <w:pStyle w:val="FirstParagraph"/>
      </w:pPr>
      <w:r>
        <w:t xml:space="preserve">For Exp. 3, 100 participants were recruited from the Prolific crowdsourcing web-service. The experiment took about 15</w:t>
      </w:r>
      <w:r>
        <w:t xml:space="preserve"> </w:t>
      </w:r>
      <w:r>
        <w:t xml:space="preserve">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bookmarkEnd w:id="40"/>
    <w:bookmarkStart w:id="44" w:name="procedure-1"/>
    <w:p>
      <w:pPr>
        <w:pStyle w:val="berschrift2"/>
      </w:pPr>
      <w:r>
        <w:t xml:space="preserve">Procedure</w:t>
      </w:r>
    </w:p>
    <w:p>
      <w:pPr>
        <w:pStyle w:val="FirstParagraph"/>
      </w:pPr>
      <w:r>
        <w:t xml:space="preserve">The procedure for Experiments 3 and 4 was similar to that of Exp. 1 with several changes.</w:t>
      </w:r>
    </w:p>
    <w:p>
      <w:pPr>
        <w:pStyle w:val="Textkrper"/>
      </w:pPr>
      <w:r>
        <w:t xml:space="preserve">Stimuli were letters drawn by Mechanical Turk workers</w:t>
      </w:r>
      <w:r>
        <w:t xml:space="preserve"> </w:t>
      </w:r>
      <w:r>
        <w:t xml:space="preserve">(Lake et al., 2011)</w:t>
      </w:r>
      <w:r>
        <w:t xml:space="preserve">, instead of geometrical shapes (see Fig.</w:t>
      </w:r>
      <w:r>
        <w:t xml:space="preserve"> </w:t>
      </w:r>
      <w:r>
        <w:t xml:space="preserve">3</w:t>
      </w:r>
      <w:r>
        <w:t xml:space="preserve">). In Exp. 3, we used letters from the</w:t>
      </w:r>
      <w:r>
        <w:t xml:space="preserve"> </w:t>
      </w:r>
      <w:r>
        <w:rPr>
          <w:iCs/>
          <w:i/>
        </w:rPr>
        <w:t xml:space="preserve">Alphabet of the Magi</w:t>
      </w:r>
      <w:r>
        <w:t xml:space="preserve">. In Exp. 4, we used letters from the</w:t>
      </w:r>
      <w:r>
        <w:t xml:space="preserve"> </w:t>
      </w:r>
      <w:r>
        <w:rPr>
          <w:iCs/>
          <w:i/>
        </w:rPr>
        <w:t xml:space="preserve">Futurama</w:t>
      </w:r>
      <w:r>
        <w:t xml:space="preserve"> </w:t>
      </w:r>
      <w:r>
        <w:t xml:space="preserve">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pPr>
        <w:pStyle w:val="CaptionedFigure"/>
      </w:pPr>
      <w:r>
        <w:drawing>
          <wp:inline>
            <wp:extent cx="5969000" cy="3203130"/>
            <wp:effectExtent b="0" l="0" r="0" t="0"/>
            <wp:docPr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title="" id="42" name="Picture"/>
            <a:graphic>
              <a:graphicData uri="http://schemas.openxmlformats.org/drawingml/2006/picture">
                <pic:pic>
                  <pic:nvPicPr>
                    <pic:cNvPr descr="figures/methods2.png" id="43" name="Picture"/>
                    <pic:cNvPicPr>
                      <a:picLocks noChangeArrowheads="1" noChangeAspect="1"/>
                    </pic:cNvPicPr>
                  </pic:nvPicPr>
                  <pic:blipFill>
                    <a:blip r:embed="rId41"/>
                    <a:stretch>
                      <a:fillRect/>
                    </a:stretch>
                  </pic:blipFill>
                  <pic:spPr bwMode="auto">
                    <a:xfrm>
                      <a:off x="0" y="0"/>
                      <a:ext cx="5969000" cy="320313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w:t>
      </w:r>
    </w:p>
    <w:p>
      <w:pPr>
        <w:pStyle w:val="Textkrper"/>
      </w:pPr>
      <w:r>
        <w:t xml:space="preserve">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bookmarkEnd w:id="44"/>
    <w:bookmarkStart w:id="58" w:name="results-1"/>
    <w:p>
      <w:pPr>
        <w:pStyle w:val="berschrift2"/>
      </w:pPr>
      <w:r>
        <w:t xml:space="preserve">Results</w:t>
      </w:r>
    </w:p>
    <w:p>
      <w:pPr>
        <w:pStyle w:val="FirstParagraph"/>
      </w:pPr>
      <w:r>
        <w:t xml:space="preserve">Accuracy in the visual search task was high in both experiments (Exp. 3:</w:t>
      </w:r>
      <w:r>
        <w:t xml:space="preserve"> </w:t>
      </w:r>
      <m:oMath>
        <m:r>
          <m:t>M</m:t>
        </m:r>
        <m:r>
          <m:rPr>
            <m:sty m:val="p"/>
          </m:rPr>
          <m:t>=</m:t>
        </m:r>
        <m:r>
          <m:t>0.89</m:t>
        </m:r>
      </m:oMath>
      <w:r>
        <w:t xml:space="preserve">, 95% CI</w:t>
      </w:r>
      <w:r>
        <w:t xml:space="preserve"> </w:t>
      </w:r>
      <m:oMath>
        <m:d>
          <m:dPr>
            <m:begChr m:val="["/>
            <m:endChr m:val="]"/>
            <m:sepChr m:val=""/>
            <m:grow/>
          </m:dPr>
          <m:e>
            <m:r>
              <m:t>0.86</m:t>
            </m:r>
            <m:r>
              <m:rPr>
                <m:sty m:val="p"/>
              </m:rPr>
              <m:t>,</m:t>
            </m:r>
            <m:r>
              <m:t>0.92</m:t>
            </m:r>
          </m:e>
        </m:d>
      </m:oMath>
      <w:r>
        <w:t xml:space="preserve">; Exp. 4:</w:t>
      </w:r>
      <w:r>
        <w:t xml:space="preserve"> </w:t>
      </w:r>
      <m:oMath>
        <m:r>
          <m:t>M</m:t>
        </m:r>
        <m:r>
          <m:rPr>
            <m:sty m:val="p"/>
          </m:rPr>
          <m:t>=</m:t>
        </m:r>
        <m:r>
          <m:t>0.97</m:t>
        </m:r>
      </m:oMath>
      <w:r>
        <w:t xml:space="preserve">, 95% CI</w:t>
      </w:r>
      <w:r>
        <w:t xml:space="preserve"> </w:t>
      </w:r>
      <m:oMath>
        <m:d>
          <m:dPr>
            <m:begChr m:val="["/>
            <m:endChr m:val="]"/>
            <m:sepChr m:val=""/>
            <m:grow/>
          </m:dPr>
          <m:e>
            <m:r>
              <m:t>0.96</m:t>
            </m:r>
            <m:r>
              <m:rPr>
                <m:sty m:val="p"/>
              </m:rPr>
              <m:t>,</m:t>
            </m:r>
            <m:r>
              <m:t>0.98</m:t>
            </m:r>
          </m:e>
        </m:d>
      </m:oMath>
      <w:r>
        <w:t xml:space="preserve">).</w:t>
      </w:r>
      <w:r>
        <w:t xml:space="preserve"> </w:t>
      </w:r>
      <w:r>
        <w:t xml:space="preserve">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bookmarkStart w:id="48" w:name="estimation-accuracy-1"/>
    <w:p>
      <w:pPr>
        <w:pStyle w:val="berschrift3"/>
      </w:pPr>
      <w:r>
        <w:t xml:space="preserve">Estimation accuracy.</w:t>
      </w:r>
    </w:p>
    <w:p>
      <w:pPr>
        <w:pStyle w:val="FirstParagraph"/>
      </w:pPr>
      <w:r>
        <w:t xml:space="preserve">In both experiments, search time estimates were positively correlated with true search times (within-subject Spearman correlations in Exp. 3:</w:t>
      </w:r>
      <w:r>
        <w:t xml:space="preserve"> </w:t>
      </w:r>
      <m:oMath>
        <m:r>
          <m:t>M</m:t>
        </m:r>
        <m:r>
          <m:rPr>
            <m:sty m:val="p"/>
          </m:rPr>
          <m:t>=</m:t>
        </m:r>
        <m:r>
          <m:t>0.44</m:t>
        </m:r>
      </m:oMath>
      <w:r>
        <w:t xml:space="preserve">, 95% CI</w:t>
      </w:r>
      <w:r>
        <w:t xml:space="preserve"> </w:t>
      </w:r>
      <m:oMath>
        <m:d>
          <m:dPr>
            <m:begChr m:val="["/>
            <m:endChr m:val="]"/>
            <m:sepChr m:val=""/>
            <m:grow/>
          </m:dPr>
          <m:e>
            <m:r>
              <m:t>0.37</m:t>
            </m:r>
            <m:r>
              <m:rPr>
                <m:sty m:val="p"/>
              </m:rPr>
              <m:t>,</m:t>
            </m:r>
            <m:r>
              <m:t>0.52</m:t>
            </m:r>
          </m:e>
        </m:d>
      </m:oMath>
      <w:r>
        <w:t xml:space="preserve">,</w:t>
      </w:r>
      <w:r>
        <w:t xml:space="preserve"> </w:t>
      </w:r>
      <m:oMath>
        <m:r>
          <m:t>t</m:t>
        </m:r>
        <m:d>
          <m:dPr>
            <m:begChr m:val="("/>
            <m:endChr m:val=")"/>
            <m:sepChr m:val=""/>
            <m:grow/>
          </m:dPr>
          <m:e>
            <m:r>
              <m:t>86</m:t>
            </m:r>
          </m:e>
        </m:d>
        <m:r>
          <m:rPr>
            <m:sty m:val="p"/>
          </m:rPr>
          <m:t>=</m:t>
        </m:r>
        <m:r>
          <m:t>12.16</m:t>
        </m:r>
      </m:oMath>
      <w:r>
        <w:t xml:space="preserve">,</w:t>
      </w:r>
      <w:r>
        <w:t xml:space="preserve"> </w:t>
      </w:r>
      <m:oMath>
        <m:r>
          <m:t>p</m:t>
        </m:r>
        <m:r>
          <m:rPr>
            <m:sty m:val="p"/>
          </m:rPr>
          <m:t>&lt;</m:t>
        </m:r>
        <m:r>
          <m:t>.001</m:t>
        </m:r>
      </m:oMath>
      <w:r>
        <w:t xml:space="preserve">; Exp. 4:</w:t>
      </w:r>
      <w:r>
        <w:t xml:space="preserve"> </w:t>
      </w:r>
      <m:oMath>
        <m:r>
          <m:t>M</m:t>
        </m:r>
        <m:r>
          <m:rPr>
            <m:sty m:val="p"/>
          </m:rPr>
          <m:t>=</m:t>
        </m:r>
        <m:r>
          <m:t>0.10</m:t>
        </m:r>
      </m:oMath>
      <w:r>
        <w:t xml:space="preserve">, 95% CI</w:t>
      </w:r>
      <w:r>
        <w:t xml:space="preserve"> </w:t>
      </w:r>
      <m:oMath>
        <m:d>
          <m:dPr>
            <m:begChr m:val="["/>
            <m:endChr m:val="]"/>
            <m:sepChr m:val=""/>
            <m:grow/>
          </m:dPr>
          <m:e>
            <m:r>
              <m:t>0.05</m:t>
            </m:r>
            <m:r>
              <m:rPr>
                <m:sty m:val="p"/>
              </m:rPr>
              <m:t>,</m:t>
            </m:r>
            <m:r>
              <m:t>0.15</m:t>
            </m:r>
          </m:e>
        </m:d>
      </m:oMath>
      <w:r>
        <w:t xml:space="preserve">,</w:t>
      </w:r>
      <w:r>
        <w:t xml:space="preserve"> </w:t>
      </w:r>
      <m:oMath>
        <m:r>
          <m:t>t</m:t>
        </m:r>
        <m:d>
          <m:dPr>
            <m:begChr m:val="("/>
            <m:endChr m:val=")"/>
            <m:sepChr m:val=""/>
            <m:grow/>
          </m:dPr>
          <m:e>
            <m:r>
              <m:t>191</m:t>
            </m:r>
          </m:e>
        </m:d>
        <m:r>
          <m:rPr>
            <m:sty m:val="p"/>
          </m:rPr>
          <m:t>=</m:t>
        </m:r>
        <m:r>
          <m:t>3.67</m:t>
        </m:r>
      </m:oMath>
      <w:r>
        <w:t xml:space="preserve">,</w:t>
      </w:r>
      <w:r>
        <w:t xml:space="preserve"> </w:t>
      </w:r>
      <m:oMath>
        <m:r>
          <m:t>p</m:t>
        </m:r>
        <m:r>
          <m:rPr>
            <m:sty m:val="p"/>
          </m:rPr>
          <m:t>&lt;</m:t>
        </m:r>
        <m:r>
          <m:t>.001</m:t>
        </m:r>
      </m:oMath>
      <w:r>
        <w:t xml:space="preserve">; see Figures</w:t>
      </w:r>
      <w:r>
        <w:t xml:space="preserve"> </w:t>
      </w:r>
      <w:r>
        <w:t xml:space="preserve">4</w:t>
      </w:r>
      <w:r>
        <w:t xml:space="preserve"> </w:t>
      </w:r>
      <w:r>
        <w:t xml:space="preserve">and</w:t>
      </w:r>
      <w:r>
        <w:t xml:space="preserve"> </w:t>
      </w:r>
      <w:r>
        <w:t xml:space="preserve">6</w:t>
      </w:r>
      <w:r>
        <w:t xml:space="preserve">A). The correlation between search time and search time estimates was significantly weaker in Experiment 4 (</w:t>
      </w:r>
      <m:oMath>
        <m:r>
          <m:t>Δ</m:t>
        </m:r>
        <m:r>
          <m:t>M</m:t>
        </m:r>
        <m:r>
          <m:rPr>
            <m:sty m:val="p"/>
          </m:rPr>
          <m:t>=</m:t>
        </m:r>
        <m:r>
          <m:t>0.35</m:t>
        </m:r>
      </m:oMath>
      <w:r>
        <w:t xml:space="preserve">, 95% CI</w:t>
      </w:r>
      <w:r>
        <w:t xml:space="preserve"> </w:t>
      </w:r>
      <m:oMath>
        <m:d>
          <m:dPr>
            <m:begChr m:val="["/>
            <m:endChr m:val="]"/>
            <m:sepChr m:val=""/>
            <m:grow/>
          </m:dPr>
          <m:e>
            <m:r>
              <m:t>0.26</m:t>
            </m:r>
            <m:r>
              <m:rPr>
                <m:sty m:val="p"/>
              </m:rPr>
              <m:t>,</m:t>
            </m:r>
            <m:r>
              <m:t>0.43</m:t>
            </m:r>
          </m:e>
        </m:d>
      </m:oMath>
      <w:r>
        <w:t xml:space="preserve">,</w:t>
      </w:r>
      <w:r>
        <w:t xml:space="preserve"> </w:t>
      </w:r>
      <m:oMath>
        <m:r>
          <m:t>t</m:t>
        </m:r>
        <m:d>
          <m:dPr>
            <m:begChr m:val="("/>
            <m:endChr m:val=")"/>
            <m:sepChr m:val=""/>
            <m:grow/>
          </m:dPr>
          <m:e>
            <m:r>
              <m:t>181.02</m:t>
            </m:r>
          </m:e>
        </m:d>
        <m:r>
          <m:rPr>
            <m:sty m:val="p"/>
          </m:rPr>
          <m:t>=</m:t>
        </m:r>
        <m:r>
          <m:t>7.60</m:t>
        </m:r>
      </m:oMath>
      <w:r>
        <w:t xml:space="preserve">,</w:t>
      </w:r>
      <w:r>
        <w:t xml:space="preserve"> </w:t>
      </w:r>
      <m:oMath>
        <m:r>
          <m:t>p</m:t>
        </m:r>
        <m:r>
          <m:rPr>
            <m:sty m:val="p"/>
          </m:rPr>
          <m:t>&lt;</m:t>
        </m:r>
        <m:r>
          <m:t>.001</m:t>
        </m:r>
      </m:oMath>
      <w:r>
        <w:t xml:space="preserve">)).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m:t>t</m:t>
        </m:r>
        <m:d>
          <m:dPr>
            <m:begChr m:val="("/>
            <m:endChr m:val=")"/>
            <m:sepChr m:val=""/>
            <m:grow/>
          </m:dPr>
          <m:e>
            <m:r>
              <m:t>284.57</m:t>
            </m:r>
          </m:e>
        </m:d>
        <m:r>
          <m:rPr>
            <m:sty m:val="p"/>
          </m:rPr>
          <m:t>=</m:t>
        </m:r>
        <m:r>
          <m:t>14.36</m:t>
        </m:r>
      </m:oMath>
      <w:r>
        <w:t xml:space="preserve">,</w:t>
      </w:r>
      <w:r>
        <w:t xml:space="preserve"> </w:t>
      </w:r>
      <m:oMath>
        <m:r>
          <m:t>p</m:t>
        </m:r>
        <m:r>
          <m:rPr>
            <m:sty m:val="p"/>
          </m:rPr>
          <m:t>&lt;</m:t>
        </m:r>
        <m:r>
          <m:t>.001</m:t>
        </m:r>
      </m:oMath>
      <w:r>
        <w:t xml:space="preserve">).</w:t>
      </w:r>
    </w:p>
    <w:p>
      <w:pPr>
        <w:pStyle w:val="Textkrper"/>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w:t>
      </w:r>
      <w:r>
        <w:t xml:space="preserve">‘</w:t>
      </w:r>
      <w:r>
        <w:t xml:space="preserve">The third letter in the</w:t>
      </w:r>
      <w:r>
        <w:t xml:space="preserve"> </w:t>
      </w:r>
      <w:r>
        <w:rPr>
          <w:iCs/>
          <w:i/>
        </w:rPr>
        <w:t xml:space="preserve">Alphabet of the Magi</w:t>
      </w:r>
      <w:r>
        <w:t xml:space="preserve"> </w:t>
      </w:r>
      <w:r>
        <w:t xml:space="preserve">pops out to attention when presented between instances of the fourth letter</w:t>
      </w:r>
      <w:r>
        <w:t xml:space="preserve">’</w:t>
      </w:r>
      <w:r>
        <w:t xml:space="preserve">, or</w:t>
      </w:r>
      <w:r>
        <w:t xml:space="preserve"> </w:t>
      </w:r>
      <w:r>
        <w:t xml:space="preserve">‘</w:t>
      </w:r>
      <w:r>
        <w:t xml:space="preserve">the fifth letter in the</w:t>
      </w:r>
      <w:r>
        <w:t xml:space="preserve"> </w:t>
      </w:r>
      <w:r>
        <w:rPr>
          <w:iCs/>
          <w:i/>
        </w:rPr>
        <w:t xml:space="preserve">Futurama Alphabet</w:t>
      </w:r>
      <w:r>
        <w:t xml:space="preserve"> </w:t>
      </w:r>
      <w:r>
        <w:t xml:space="preserve">is difficult to find when presented among</w:t>
      </w:r>
      <w:r>
        <w:t xml:space="preserve"> </w:t>
      </w:r>
      <w:r>
        <w:rPr>
          <w:iCs/>
          <w:i/>
        </w:rPr>
        <w:t xml:space="preserve">d</w:t>
      </w:r>
      <w:r>
        <w:t xml:space="preserve">s</w:t>
      </w:r>
      <w:r>
        <w:t xml:space="preserve">’</w:t>
      </w:r>
      <w:r>
        <w:t xml:space="preserve">). These positive correlations reveal a more intricate knowledge of visual search. Our next two analyses were designed to test whether estimates were based on person-specific knowledge, and whether their generation involved a simulation of the search process.</w:t>
      </w:r>
    </w:p>
    <w:p>
      <w:pPr>
        <w:pStyle w:val="CaptionedFigure"/>
      </w:pPr>
      <w:r>
        <w:drawing>
          <wp:inline>
            <wp:extent cx="4587290" cy="3669832"/>
            <wp:effectExtent b="0" l="0" r="0" t="0"/>
            <wp:docPr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title="" id="46" name="Picture"/>
            <a:graphic>
              <a:graphicData uri="http://schemas.openxmlformats.org/drawingml/2006/picture">
                <pic:pic>
                  <pic:nvPicPr>
                    <pic:cNvPr descr="MVS_files/figure-docx/MVS-exp3-estimation-scatter-1.png" id="47"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search times plotted against true search times in Experiment 2. The dashed line indicates</w:t>
      </w:r>
      <w:r>
        <w:t xml:space="preserve"> </w:t>
      </w:r>
      <m:oMath>
        <m:r>
          <m:t>y</m:t>
        </m:r>
        <m:r>
          <m:rPr>
            <m:sty m:val="p"/>
          </m:rPr>
          <m:t>=</m:t>
        </m:r>
        <m:r>
          <m:t>x</m:t>
        </m:r>
      </m:oMath>
      <w:r>
        <w:t xml:space="preserve">. Legend: each search task involved searching for one Omniglot character (top letter) among ten tokens of a second Omniglot character, drawn by 10 different MTurk workers (bottom letter).</w:t>
      </w:r>
    </w:p>
    <w:bookmarkEnd w:id="48"/>
    <w:bookmarkStart w:id="52" w:name="selfself"/>
    <w:p>
      <w:pPr>
        <w:pStyle w:val="berschrift3"/>
      </w:pPr>
      <w:r>
        <w:t xml:space="preserve">Cross-participant correlations.</w:t>
      </w:r>
    </w:p>
    <w:p>
      <w:pPr>
        <w:pStyle w:val="FirstParagraph"/>
      </w:pPr>
      <w:r>
        <w:t xml:space="preserve">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Cs/>
          <w:i/>
        </w:rPr>
        <w:t xml:space="preserve">self-self alignment</w:t>
      </w:r>
      <w:r>
        <w:t xml:space="preserve">), compared to with the search times of a random surrogate participant (</w:t>
      </w:r>
      <w:r>
        <w:rPr>
          <w:iCs/>
          <w:i/>
        </w:rPr>
        <w:t xml:space="preserve">self-other alignment</w:t>
      </w:r>
      <w:r>
        <w:t xml:space="preserve">). To test this, we ran a non-parametric permutation test, comparing self-self and self-other alignment in prospective search time estimates. In Exp. 3, a numerical difference between self-self (mean Spearman correlation</w:t>
      </w:r>
      <w:r>
        <w:t xml:space="preserve"> </w:t>
      </w:r>
      <m:oMath>
        <m:sSub>
          <m:e>
            <m:r>
              <m:t>M</m:t>
            </m:r>
          </m:e>
          <m:sub>
            <m:r>
              <m:t>r</m:t>
            </m:r>
          </m:sub>
        </m:sSub>
        <m:r>
          <m:rPr>
            <m:sty m:val="p"/>
          </m:rPr>
          <m:t>=</m:t>
        </m:r>
      </m:oMath>
      <w:r>
        <w:t xml:space="preserve"> </w:t>
      </w:r>
      <w:r>
        <w:t xml:space="preserve">0.44) and self-other alignment (</w:t>
      </w:r>
      <m:oMath>
        <m:sSub>
          <m:e>
            <m:r>
              <m:t>M</m:t>
            </m:r>
          </m:e>
          <m:sub>
            <m:r>
              <m:t>r</m:t>
            </m:r>
          </m:sub>
        </m:sSub>
        <m:r>
          <m:rPr>
            <m:sty m:val="p"/>
          </m:rPr>
          <m:t>=</m:t>
        </m:r>
      </m:oMath>
      <w:r>
        <w:t xml:space="preserve"> </w:t>
      </w:r>
      <w:r>
        <w:t xml:space="preserve">0.41) was marginally significant (</w:t>
      </w:r>
      <m:oMath>
        <m:sSub>
          <m:e>
            <m:r>
              <m:t>p</m:t>
            </m:r>
          </m:e>
          <m:sub>
            <m:r>
              <m:t>p</m:t>
            </m:r>
            <m:r>
              <m:t>e</m:t>
            </m:r>
            <m:r>
              <m:t>r</m:t>
            </m:r>
            <m:r>
              <m:t>m</m:t>
            </m:r>
          </m:sub>
        </m:sSub>
        <m:r>
          <m:rPr>
            <m:sty m:val="p"/>
          </m:rPr>
          <m:t>=</m:t>
        </m:r>
      </m:oMath>
      <w:r>
        <w:t xml:space="preserve"> </w:t>
      </w:r>
      <w:r>
        <w:t xml:space="preserve">0.05). In Experiment 4, we pre-registered this analysis and found a significant advantage for self-self alignment compared with self-other alignment (see Fig.</w:t>
      </w:r>
      <w:r>
        <w:t xml:space="preserve"> </w:t>
      </w:r>
      <w:r>
        <w:t xml:space="preserve">5</w:t>
      </w:r>
      <w:r>
        <w:t xml:space="preserve">; mean Spearman correlations for self-self</w:t>
      </w:r>
      <w:r>
        <w:t xml:space="preserve"> </w:t>
      </w:r>
      <m:oMath>
        <m:sSub>
          <m:e>
            <m:r>
              <m:t>M</m:t>
            </m:r>
          </m:e>
          <m:sub>
            <m:r>
              <m:t>r</m:t>
            </m:r>
          </m:sub>
        </m:sSub>
        <m:r>
          <m:rPr>
            <m:sty m:val="p"/>
          </m:rPr>
          <m:t>=</m:t>
        </m:r>
      </m:oMath>
      <w:r>
        <w:t xml:space="preserve"> </w:t>
      </w:r>
      <w:r>
        <w:t xml:space="preserve">0.10 and self-other</w:t>
      </w:r>
      <w:r>
        <w:t xml:space="preserve"> </w:t>
      </w:r>
      <m:oMath>
        <m:sSub>
          <m:e>
            <m:r>
              <m:t>M</m:t>
            </m:r>
          </m:e>
          <m:sub>
            <m:r>
              <m:t>r</m:t>
            </m:r>
          </m:sub>
        </m:sSub>
        <m:r>
          <m:rPr>
            <m:sty m:val="p"/>
          </m:rPr>
          <m:t>=</m:t>
        </m:r>
      </m:oMath>
      <w:r>
        <w:t xml:space="preserve"> </w:t>
      </w:r>
      <w:r>
        <w:t xml:space="preserve">0.04,</w:t>
      </w:r>
      <w:r>
        <w:t xml:space="preserve"> </w:t>
      </w:r>
      <m:oMath>
        <m:sSub>
          <m:e>
            <m:r>
              <m:t>p</m:t>
            </m:r>
          </m:e>
          <m:sub>
            <m:r>
              <m:t>p</m:t>
            </m:r>
            <m:r>
              <m:t>e</m:t>
            </m:r>
            <m:r>
              <m:t>r</m:t>
            </m:r>
            <m:r>
              <m:t>m</m:t>
            </m:r>
          </m:sub>
        </m:sSub>
        <m:r>
          <m:rPr>
            <m:sty m:val="p"/>
          </m:rPr>
          <m:t>=</m:t>
        </m:r>
      </m:oMath>
      <w:r>
        <w:t xml:space="preserve"> </w:t>
      </w:r>
      <w:r>
        <w:t xml:space="preserve">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pPr>
        <w:pStyle w:val="CaptionedFigure"/>
      </w:pPr>
      <w:r>
        <w:drawing>
          <wp:inline>
            <wp:extent cx="4587290" cy="3669832"/>
            <wp:effectExtent b="0" l="0" r="0" t="0"/>
            <wp:docPr descr="Figure 5.  True correlation between estimates and search times (self-self alignment, vertical lines) plotted against a null distribution of correlations, when matching the estimates of each participant with the search time of a random surrogate participant (self-other alignment)." title="" id="50" name="Picture"/>
            <a:graphic>
              <a:graphicData uri="http://schemas.openxmlformats.org/drawingml/2006/picture">
                <pic:pic>
                  <pic:nvPicPr>
                    <pic:cNvPr descr="MVS_files/figure-docx/MVS-self-other-permutations-1.png" id="51"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True correlation between estimates and search times (self-self alignment, vertical lines) plotted against a null distribution of correlations, when matching the estimates of each participant with the search time of a random surrogate participant (self-other alignment).</w:t>
      </w:r>
    </w:p>
    <w:bookmarkEnd w:id="52"/>
    <w:bookmarkStart w:id="53" w:name="estimation-time"/>
    <w:p>
      <w:pPr>
        <w:pStyle w:val="berschrift3"/>
      </w:pPr>
      <w:r>
        <w:t xml:space="preserve">Estimation time.</w:t>
      </w:r>
    </w:p>
    <w:p>
      <w:pPr>
        <w:pStyle w:val="FirstParagraph"/>
      </w:pPr>
      <w:r>
        <w:t xml:space="preserve">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w:t>
      </w:r>
      <w:r>
        <w:t xml:space="preserve"> </w:t>
      </w:r>
      <w:r>
        <w:t xml:space="preserve">(Shepard &amp; Metzler, 1971)</w:t>
      </w:r>
      <w:r>
        <w:t xml:space="preserve">. We find no evidence for within-subject correlation between estimates and the time taken to deliver them, not in Exp. 3 (</w:t>
      </w:r>
      <m:oMath>
        <m:r>
          <m:t>t</m:t>
        </m:r>
        <m:d>
          <m:dPr>
            <m:begChr m:val="("/>
            <m:endChr m:val=")"/>
            <m:sepChr m:val=""/>
            <m:grow/>
          </m:dPr>
          <m:e>
            <m:r>
              <m:t>86</m:t>
            </m:r>
          </m:e>
        </m:d>
        <m:r>
          <m:rPr>
            <m:sty m:val="p"/>
          </m:rPr>
          <m:t>=</m:t>
        </m:r>
        <m:r>
          <m:t>0.40</m:t>
        </m:r>
      </m:oMath>
      <w:r>
        <w:t xml:space="preserve">,</w:t>
      </w:r>
      <w:r>
        <w:t xml:space="preserve"> </w:t>
      </w:r>
      <m:oMath>
        <m:r>
          <m:t>p</m:t>
        </m:r>
        <m:r>
          <m:rPr>
            <m:sty m:val="p"/>
          </m:rPr>
          <m:t>=</m:t>
        </m:r>
        <m:r>
          <m:t>.692</m:t>
        </m:r>
      </m:oMath>
      <w:r>
        <w:t xml:space="preserve">) and not in Exp. 4 (</w:t>
      </w:r>
      <m:oMath>
        <m:r>
          <m:t>t</m:t>
        </m:r>
        <m:d>
          <m:dPr>
            <m:begChr m:val="("/>
            <m:endChr m:val=")"/>
            <m:sepChr m:val=""/>
            <m:grow/>
          </m:dPr>
          <m:e>
            <m:r>
              <m:t>191</m:t>
            </m:r>
          </m:e>
        </m:d>
        <m:r>
          <m:rPr>
            <m:sty m:val="p"/>
          </m:rPr>
          <m:t>=</m:t>
        </m:r>
        <m:r>
          <m:t>0.74</m:t>
        </m:r>
      </m:oMath>
      <w:r>
        <w:t xml:space="preserve">,</w:t>
      </w:r>
      <w:r>
        <w:t xml:space="preserve"> </w:t>
      </w:r>
      <m:oMath>
        <m:r>
          <m:t>p</m:t>
        </m:r>
        <m:r>
          <m:rPr>
            <m:sty m:val="p"/>
          </m:rPr>
          <m:t>=</m:t>
        </m:r>
        <m:r>
          <m:t>.458</m:t>
        </m:r>
      </m:oMath>
      <w:r>
        <w:t xml:space="preserve">). However, given that estimation times were three times longer than search time estimates (median time to estimate = 5 seconds in Exp. 3 and 3 seconds in Exp. 4), a simulation-driven correlation may have been masked by other factors that contributed to estimation times, such as motor control over the report slider.</w:t>
      </w:r>
    </w:p>
    <w:bookmarkEnd w:id="53"/>
    <w:bookmarkStart w:id="57" w:name="asymmetry"/>
    <w:p>
      <w:pPr>
        <w:pStyle w:val="berschrift3"/>
      </w:pPr>
      <w:r>
        <w:t xml:space="preserve">Visual search asymmetry.</w:t>
      </w:r>
    </w:p>
    <w:p>
      <w:pPr>
        <w:pStyle w:val="FirstParagraph"/>
      </w:pPr>
      <w:r>
        <w:t xml:space="preserve">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pPr>
        <w:pStyle w:val="Textkrper"/>
      </w:pPr>
      <w:r>
        <w:t xml:space="preserve">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w:t>
      </w:r>
      <w:r>
        <w:t xml:space="preserve"> </w:t>
      </w:r>
      <w:r>
        <w:t xml:space="preserve">(Malinowski &amp; Hübner, 2001; Shen &amp; Reingold, 2001; Zhang &amp; Onyper, 2020)</w:t>
      </w:r>
      <w:r>
        <w:t xml:space="preserve">.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pPr>
        <w:pStyle w:val="Textkrper"/>
      </w:pPr>
      <w:r>
        <w:t xml:space="preserve">As expected, searching for a familiar target among unfamiliar distractors was more difficult on average, with a difference of 41 milliseconds in search time (</w:t>
      </w:r>
      <m:oMath>
        <m:r>
          <m:t>t</m:t>
        </m:r>
        <m:d>
          <m:dPr>
            <m:begChr m:val="("/>
            <m:endChr m:val=")"/>
            <m:sepChr m:val=""/>
            <m:grow/>
          </m:dPr>
          <m:e>
            <m:r>
              <m:t>199</m:t>
            </m:r>
          </m:e>
        </m:d>
        <m:r>
          <m:rPr>
            <m:sty m:val="p"/>
          </m:rPr>
          <m:t>=</m:t>
        </m:r>
        <m:r>
          <m:t>4.41</m:t>
        </m:r>
      </m:oMath>
      <w:r>
        <w:t xml:space="preserve">,</w:t>
      </w:r>
      <w:r>
        <w:t xml:space="preserve"> </w:t>
      </w:r>
      <m:oMath>
        <m:r>
          <m:t>p</m:t>
        </m:r>
        <m:r>
          <m:rPr>
            <m:sty m:val="p"/>
          </m:rPr>
          <m:t>&lt;</m:t>
        </m:r>
        <m:r>
          <m:t>.001</m:t>
        </m:r>
      </m:oMath>
      <w:r>
        <w:t xml:space="preserve">). To test if subjects were sensitive to the assignment of stimuli to target and distractor roles, 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pPr>
        <w:pStyle w:val="Textkrper"/>
      </w:pPr>
      <w:r>
        <w:t xml:space="preserve">Inverting the target/distractor assignment dropped the correlation between estimates and search time to zero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0.06</m:t>
            </m:r>
            <m:r>
              <m:rPr>
                <m:sty m:val="p"/>
              </m:rPr>
              <m:t>,</m:t>
            </m:r>
            <m:r>
              <m:t>0.04</m:t>
            </m:r>
          </m:e>
        </m:d>
      </m:oMath>
      <w:r>
        <w:t xml:space="preserve">), significantly lower than the original correlation (</w:t>
      </w:r>
      <m:oMath>
        <m:sSub>
          <m:e>
            <m:r>
              <m:t>M</m:t>
            </m:r>
          </m:e>
          <m:sub>
            <m:r>
              <m:t>D</m:t>
            </m:r>
          </m:sub>
        </m:sSub>
        <m:r>
          <m:rPr>
            <m:sty m:val="p"/>
          </m:rPr>
          <m:t>=</m:t>
        </m:r>
        <m:r>
          <m:t>0.10</m:t>
        </m:r>
      </m:oMath>
      <w:r>
        <w:t xml:space="preserve">, 95% CI</w:t>
      </w:r>
      <w:r>
        <w:t xml:space="preserve"> </w:t>
      </w:r>
      <m:oMath>
        <m:d>
          <m:dPr>
            <m:begChr m:val="["/>
            <m:endChr m:val="]"/>
            <m:sepChr m:val=""/>
            <m:grow/>
          </m:dPr>
          <m:e>
            <m:r>
              <m:t>0.03</m:t>
            </m:r>
            <m:r>
              <m:rPr>
                <m:sty m:val="p"/>
              </m:rPr>
              <m:t>,</m:t>
            </m:r>
            <m:r>
              <m:t>0.18</m:t>
            </m:r>
          </m:e>
        </m:d>
      </m:oMath>
      <w:r>
        <w:t xml:space="preserve">,</w:t>
      </w:r>
      <w:r>
        <w:t xml:space="preserve"> </w:t>
      </w:r>
      <m:oMath>
        <m:r>
          <m:t>t</m:t>
        </m:r>
        <m:d>
          <m:dPr>
            <m:begChr m:val="("/>
            <m:endChr m:val=")"/>
            <m:sepChr m:val=""/>
            <m:grow/>
          </m:dPr>
          <m:e>
            <m:r>
              <m:t>191</m:t>
            </m:r>
          </m:e>
        </m:d>
        <m:r>
          <m:rPr>
            <m:sty m:val="p"/>
          </m:rPr>
          <m:t>=</m:t>
        </m:r>
        <m:r>
          <m:t>2.63</m:t>
        </m:r>
      </m:oMath>
      <w:r>
        <w:t xml:space="preserve">,</w:t>
      </w:r>
      <w:r>
        <w:t xml:space="preserve"> </w:t>
      </w:r>
      <m:oMath>
        <m:r>
          <m:t>p</m:t>
        </m:r>
        <m:r>
          <m:rPr>
            <m:sty m:val="p"/>
          </m:rPr>
          <m:t>=</m:t>
        </m:r>
        <m:r>
          <m:t>.009</m:t>
        </m:r>
      </m:oMath>
      <w:r>
        <w:t xml:space="preserve">; see Fig.</w:t>
      </w:r>
      <w:r>
        <w:t xml:space="preserve"> </w:t>
      </w:r>
      <w:r>
        <w:t xml:space="preserve">6</w:t>
      </w:r>
      <w:r>
        <w:t xml:space="preserve">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pPr>
        <w:pStyle w:val="Textkrper"/>
      </w:pPr>
      <w:r>
        <w:t xml:space="preserve">Interestingly, however, a difference in mean estimated search time between familiar and unfamiliar targets did not reach statistical significance (</w:t>
      </w:r>
      <m:oMath>
        <m:r>
          <m:t>M</m:t>
        </m:r>
        <m:r>
          <m:rPr>
            <m:sty m:val="p"/>
          </m:rPr>
          <m:t>=</m:t>
        </m:r>
        <m:r>
          <m:t>9.88</m:t>
        </m:r>
      </m:oMath>
      <w:r>
        <w:t xml:space="preserve">, 95% CI</w:t>
      </w:r>
      <w:r>
        <w:t xml:space="preserve"> </w:t>
      </w:r>
      <m:oMath>
        <m:d>
          <m:dPr>
            <m:begChr m:val="["/>
            <m:endChr m:val="]"/>
            <m:sepChr m:val=""/>
            <m:grow/>
          </m:dPr>
          <m:e>
            <m:r>
              <m:rPr>
                <m:sty m:val="p"/>
              </m:rPr>
              <m:t>−</m:t>
            </m:r>
            <m:r>
              <m:t>5.90</m:t>
            </m:r>
            <m:r>
              <m:rPr>
                <m:sty m:val="p"/>
              </m:rPr>
              <m:t>,</m:t>
            </m:r>
            <m:r>
              <m:t>25.66</m:t>
            </m:r>
          </m:e>
        </m:d>
      </m:oMath>
      <w:r>
        <w:t xml:space="preserve">,</w:t>
      </w:r>
      <w:r>
        <w:t xml:space="preserve"> </w:t>
      </w:r>
      <m:oMath>
        <m:r>
          <m:t>t</m:t>
        </m:r>
        <m:d>
          <m:dPr>
            <m:begChr m:val="("/>
            <m:endChr m:val=")"/>
            <m:sepChr m:val=""/>
            <m:grow/>
          </m:dPr>
          <m:e>
            <m:r>
              <m:t>199</m:t>
            </m:r>
          </m:e>
        </m:d>
        <m:r>
          <m:rPr>
            <m:sty m:val="p"/>
          </m:rPr>
          <m:t>=</m:t>
        </m:r>
        <m:r>
          <m:t>1.23</m:t>
        </m:r>
      </m:oMath>
      <w:r>
        <w:t xml:space="preserve">,</w:t>
      </w:r>
      <w:r>
        <w:t xml:space="preserve"> </w:t>
      </w:r>
      <m:oMath>
        <m:r>
          <m:t>p</m:t>
        </m:r>
        <m:r>
          <m:rPr>
            <m:sty m:val="p"/>
          </m:rPr>
          <m:t>=</m:t>
        </m:r>
        <m:r>
          <m:t>.218</m:t>
        </m:r>
      </m:oMath>
      <w:r>
        <w:t xml:space="preserve">).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properties that contributed to search asymmetries. In Exp. 5, we further explore sensitivity to three such features that produce robust asymmetries in visual search behavior: orientation, open edges, and addition of line strokes.</w:t>
      </w:r>
    </w:p>
    <w:p>
      <w:pPr>
        <w:pStyle w:val="CaptionedFigure"/>
      </w:pPr>
      <w:r>
        <w:drawing>
          <wp:inline>
            <wp:extent cx="4587290" cy="3669832"/>
            <wp:effectExtent b="0" l="0" r="0" t="0"/>
            <wp:docPr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title="" id="55" name="Picture"/>
            <a:graphic>
              <a:graphicData uri="http://schemas.openxmlformats.org/drawingml/2006/picture">
                <pic:pic>
                  <pic:nvPicPr>
                    <pic:cNvPr descr="MVS_files/figure-docx/MVS-exp4-fig-1.png" id="56"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bookmarkEnd w:id="57"/>
    <w:bookmarkEnd w:id="58"/>
    <w:bookmarkEnd w:id="59"/>
    <w:bookmarkStart w:id="73" w:name="experiment-5-three-search-asymmetries"/>
    <w:p>
      <w:pPr>
        <w:pStyle w:val="berschrift1"/>
      </w:pPr>
      <w:r>
        <w:t xml:space="preserve">Experiment 5: three search asymmetries</w:t>
      </w:r>
    </w:p>
    <w:p>
      <w:pPr>
        <w:pStyle w:val="FirstParagraph"/>
      </w:pPr>
      <w:r>
        <w:t xml:space="preserve">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visual search.</w:t>
      </w:r>
    </w:p>
    <w:bookmarkStart w:id="60" w:name="participants-2"/>
    <w:p>
      <w:pPr>
        <w:pStyle w:val="berschrift2"/>
      </w:pPr>
      <w:r>
        <w:t xml:space="preserve">Participants</w:t>
      </w:r>
    </w:p>
    <w:p>
      <w:pPr>
        <w:pStyle w:val="FirstParagraph"/>
      </w:pPr>
      <w:r>
        <w:t xml:space="preserve">For Exp. 5, 203 participants were recruited from the Prolific crowdsourcing web-service. The experiment took about 10</w:t>
      </w:r>
      <w:r>
        <w:t xml:space="preserve"> </w:t>
      </w:r>
      <w:r>
        <w:t xml:space="preserve">minutes to complete. Participants were paid $1.59. The highest performing 30% of participants received an additional bonus of $1.59.</w:t>
      </w:r>
    </w:p>
    <w:bookmarkEnd w:id="60"/>
    <w:bookmarkStart w:id="61" w:name="procedure-2"/>
    <w:p>
      <w:pPr>
        <w:pStyle w:val="berschrift2"/>
      </w:pPr>
      <w:r>
        <w:t xml:space="preserve">Procedure</w:t>
      </w:r>
    </w:p>
    <w:p>
      <w:pPr>
        <w:pStyle w:val="FirstParagraph"/>
      </w:pPr>
      <w:r>
        <w:t xml:space="preserve">The procedure for Experiments 5 was similar to that of Exp. 1 with several changes.</w:t>
      </w:r>
    </w:p>
    <w:p>
      <w:pPr>
        <w:pStyle w:val="Textkrper"/>
      </w:pPr>
      <w:r>
        <w:t xml:space="preserve">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w:t>
      </w:r>
      <w:r>
        <w:t xml:space="preserve"> </w:t>
      </w:r>
      <w:r>
        <w:t xml:space="preserve">7</w:t>
      </w:r>
      <w:r>
        <w:t xml:space="preserve">, left panel). For brevity, we refer to these last stimuli as O, Q, and C. All three stimulus pairs have been shown to produce asymmetries in visual search time, such that the assignment of stimuli to target or distractor roles affects search time</w:t>
      </w:r>
      <w:r>
        <w:t xml:space="preserve"> </w:t>
      </w:r>
      <w:r>
        <w:t xml:space="preserve">(Treisman &amp; Gormican, 1988; Treisman &amp; Souther, 1985)</w:t>
      </w:r>
      <w:r>
        <w:t xml:space="preserve">.</w:t>
      </w:r>
    </w:p>
    <w:p>
      <w:pPr>
        <w:pStyle w:val="Textkrper"/>
      </w:pPr>
      <w:r>
        <w:t xml:space="preserve">The estimation scale ranged from 0 to 2 seconds. In Exp. 5, we adapted the estimate-to-points conversion rule to be</w:t>
      </w:r>
      <w:r>
        <w:t xml:space="preserve"> </w:t>
      </w:r>
      <m:oMath>
        <m:r>
          <m:t>10</m:t>
        </m:r>
        <m:r>
          <m:rPr>
            <m:sty m:val="p"/>
          </m:rPr>
          <m:t>/</m:t>
        </m:r>
        <m:r>
          <m:t>e</m:t>
        </m:r>
        <m:r>
          <m:t>s</m:t>
        </m:r>
        <m:r>
          <m:t>t</m:t>
        </m:r>
        <m:r>
          <m:t>i</m:t>
        </m:r>
        <m:r>
          <m:t>m</m:t>
        </m:r>
        <m:r>
          <m:t>a</m:t>
        </m:r>
        <m:r>
          <m:t>t</m:t>
        </m:r>
        <m:sSup>
          <m:e>
            <m:r>
              <m:t>e</m:t>
            </m:r>
          </m:e>
          <m:sup>
            <m:r>
              <m:t>3</m:t>
            </m:r>
            <m:r>
              <m:rPr>
                <m:sty m:val="p"/>
              </m:rPr>
              <m:t>/</m:t>
            </m:r>
            <m:r>
              <m:t>4</m:t>
            </m:r>
          </m:sup>
        </m:sSup>
      </m:oMath>
      <w:r>
        <w:t xml:space="preserve"> </w:t>
      </w:r>
      <w:r>
        <w:t xml:space="preserve">rather than</w:t>
      </w:r>
      <w:r>
        <w:t xml:space="preserve"> </w:t>
      </w:r>
      <m:oMath>
        <m:r>
          <m:t>10</m:t>
        </m:r>
        <m:r>
          <m:rPr>
            <m:sty m:val="p"/>
          </m:rPr>
          <m:t>/</m:t>
        </m:r>
        <m:r>
          <m:t>e</m:t>
        </m:r>
        <m:r>
          <m:t>s</m:t>
        </m:r>
        <m:r>
          <m:t>t</m:t>
        </m:r>
        <m:r>
          <m:t>i</m:t>
        </m:r>
        <m:r>
          <m:t>m</m:t>
        </m:r>
        <m:r>
          <m:t>a</m:t>
        </m:r>
        <m:r>
          <m:t>t</m:t>
        </m:r>
        <m:sSup>
          <m:e>
            <m:r>
              <m:t>e</m:t>
            </m:r>
          </m:e>
          <m:sup>
            <m:r>
              <m:t>1</m:t>
            </m:r>
            <m:r>
              <m:rPr>
                <m:sty m:val="p"/>
              </m:rPr>
              <m:t>/</m:t>
            </m:r>
            <m:r>
              <m:t>2</m:t>
            </m:r>
          </m:sup>
        </m:sSup>
      </m:oMath>
      <w:r>
        <w:t xml:space="preserve">. Making the number of offered points decline faster ensured that the optimal strategy is to report the median of the posterior distribution over reaction times, making it possible to directly compare median search times and prospective estimates.</w:t>
      </w:r>
    </w:p>
    <w:p>
      <w:pPr>
        <w:pStyle w:val="Textkrper"/>
      </w:pPr>
      <w:r>
        <w:t xml:space="preserve">In the visual search part, participants performed five consecutive instances of each search. In order to prevent subjects from relying on their iconic memory to identify the position of the target after making an initial response, stimuli were masked by a random black and white image for a duration of 50 milliseconds following spacebar responses.</w:t>
      </w:r>
    </w:p>
    <w:bookmarkEnd w:id="61"/>
    <w:bookmarkStart w:id="67" w:name="results-2"/>
    <w:p>
      <w:pPr>
        <w:pStyle w:val="berschrift2"/>
      </w:pPr>
      <w:r>
        <w:t xml:space="preserve">Results</w:t>
      </w:r>
    </w:p>
    <w:p>
      <w:pPr>
        <w:pStyle w:val="FirstParagraph"/>
      </w:pPr>
      <w:r>
        <w:t xml:space="preserve">Accuracy in the visual search task was high (</w:t>
      </w:r>
      <m:oMath>
        <m:r>
          <m:t>M</m:t>
        </m:r>
        <m:r>
          <m:rPr>
            <m:sty m:val="p"/>
          </m:rPr>
          <m:t>=</m:t>
        </m:r>
        <m:r>
          <m:t>0.96</m:t>
        </m:r>
      </m:oMath>
      <w:r>
        <w:t xml:space="preserve">, 95% CI</w:t>
      </w:r>
      <w:r>
        <w:t xml:space="preserve"> </w:t>
      </w:r>
      <m:oMath>
        <m:d>
          <m:dPr>
            <m:begChr m:val="["/>
            <m:endChr m:val="]"/>
            <m:sepChr m:val=""/>
            <m:grow/>
          </m:dPr>
          <m:e>
            <m:r>
              <m:t>0.95</m:t>
            </m:r>
            <m:r>
              <m:rPr>
                <m:sty m:val="p"/>
              </m:rPr>
              <m:t>,</m:t>
            </m:r>
            <m:r>
              <m:t>0.97</m:t>
            </m:r>
          </m:e>
        </m:d>
      </m:oMath>
      <w:r>
        <w:t xml:space="preserve">).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bookmarkStart w:id="62" w:name="visual-search-asymmetries"/>
    <w:p>
      <w:pPr>
        <w:pStyle w:val="berschrift3"/>
      </w:pPr>
      <w:r>
        <w:t xml:space="preserve">Visual search asymmetries.</w:t>
      </w:r>
    </w:p>
    <w:p>
      <w:pPr>
        <w:pStyle w:val="FirstParagraph"/>
      </w:pPr>
      <w:r>
        <w:t xml:space="preserve">Search slopes were significantly different for the six searches (</w:t>
      </w:r>
      <m:oMath>
        <m:r>
          <m:t>F</m:t>
        </m:r>
        <m:d>
          <m:dPr>
            <m:begChr m:val="("/>
            <m:endChr m:val=")"/>
            <m:sepChr m:val=""/>
            <m:grow/>
          </m:dPr>
          <m:e>
            <m:r>
              <m:t>3.57</m:t>
            </m:r>
            <m:r>
              <m:rPr>
                <m:sty m:val="p"/>
              </m:rPr>
              <m:t>,</m:t>
            </m:r>
            <m:r>
              <m:t>704.01</m:t>
            </m:r>
          </m:e>
        </m:d>
        <m:r>
          <m:rPr>
            <m:sty m:val="p"/>
          </m:rPr>
          <m:t>=</m:t>
        </m:r>
        <m:r>
          <m:t>152.88</m:t>
        </m:r>
      </m:oMath>
      <w:r>
        <w:t xml:space="preserve">,</w:t>
      </w:r>
      <w:r>
        <w:t xml:space="preserve"> </w:t>
      </w:r>
      <m:oMath>
        <m:r>
          <m:rPr>
            <m:sty m:val="i"/>
          </m:rPr>
          <m:t>M</m:t>
        </m:r>
        <m:r>
          <m:rPr>
            <m:sty m:val="i"/>
          </m:rPr>
          <m:t>S</m:t>
        </m:r>
        <m:r>
          <m:rPr>
            <m:sty m:val="i"/>
          </m:rPr>
          <m:t>E</m:t>
        </m:r>
        <m:r>
          <m:rPr>
            <m:sty m:val="p"/>
          </m:rPr>
          <m:t>=</m:t>
        </m:r>
        <m:r>
          <m:t>1</m:t>
        </m:r>
        <m:r>
          <m:rPr>
            <m:sty m:val="p"/>
          </m:rPr>
          <m:t>,</m:t>
        </m:r>
        <m:r>
          <m:t>167.92</m:t>
        </m:r>
      </m:oMath>
      <w:r>
        <w:t xml:space="preserve">,</w:t>
      </w:r>
      <w:r>
        <w:t xml:space="preserve"> </w:t>
      </w:r>
      <m:oMath>
        <m:r>
          <m:t>p</m:t>
        </m:r>
        <m:r>
          <m:rPr>
            <m:sty m:val="p"/>
          </m:rPr>
          <m:t>&lt;</m:t>
        </m:r>
        <m:r>
          <m:t>.001</m:t>
        </m:r>
      </m:oMath>
      <w:r>
        <w:t xml:space="preserve">,</w:t>
      </w:r>
      <w:r>
        <w:t xml:space="preserve"> </w:t>
      </w:r>
      <m:oMath>
        <m:sSubSup>
          <m:e>
            <m:acc>
              <m:accPr>
                <m:chr m:val="̂"/>
              </m:accPr>
              <m:e>
                <m:r>
                  <m:t>η</m:t>
                </m:r>
              </m:e>
            </m:acc>
          </m:e>
          <m:sub>
            <m:r>
              <m:t>G</m:t>
            </m:r>
          </m:sub>
          <m:sup>
            <m:r>
              <m:t>2</m:t>
            </m:r>
          </m:sup>
        </m:sSubSup>
        <m:r>
          <m:rPr>
            <m:sty m:val="p"/>
          </m:rPr>
          <m:t>=</m:t>
        </m:r>
        <m:r>
          <m:t>.376</m:t>
        </m:r>
      </m:oMath>
      <w:r>
        <w:t xml:space="preserve">), with orientation search slopes shallower on average than the other two searches (</w:t>
      </w:r>
      <m:oMath>
        <m:r>
          <m:t>M</m:t>
        </m:r>
        <m:r>
          <m:rPr>
            <m:sty m:val="p"/>
          </m:rPr>
          <m:t>=</m:t>
        </m:r>
        <m:r>
          <m:rPr>
            <m:sty m:val="p"/>
          </m:rPr>
          <m:t>−</m:t>
        </m:r>
        <m:r>
          <m:t>139.41</m:t>
        </m:r>
      </m:oMath>
      <w:r>
        <w:t xml:space="preserve">, 95% CI</w:t>
      </w:r>
      <w:r>
        <w:t xml:space="preserve"> </w:t>
      </w:r>
      <m:oMath>
        <m:d>
          <m:dPr>
            <m:begChr m:val="["/>
            <m:endChr m:val="]"/>
            <m:sepChr m:val=""/>
            <m:grow/>
          </m:dPr>
          <m:e>
            <m:r>
              <m:rPr>
                <m:sty m:val="p"/>
              </m:rPr>
              <m:t>−</m:t>
            </m:r>
            <m:r>
              <m:t>149.80</m:t>
            </m:r>
            <m:r>
              <m:rPr>
                <m:sty m:val="p"/>
              </m:rPr>
              <m:t>,</m:t>
            </m:r>
            <m:r>
              <m:rPr>
                <m:sty m:val="p"/>
              </m:rPr>
              <m:t>−</m:t>
            </m:r>
            <m:r>
              <m:t>129.01</m:t>
            </m:r>
          </m:e>
        </m:d>
      </m:oMath>
      <w:r>
        <w:t xml:space="preserve">,</w:t>
      </w:r>
      <w:r>
        <w:t xml:space="preserve"> </w:t>
      </w:r>
      <m:oMath>
        <m:r>
          <m:t>t</m:t>
        </m:r>
        <m:d>
          <m:dPr>
            <m:begChr m:val="("/>
            <m:endChr m:val=")"/>
            <m:sepChr m:val=""/>
            <m:grow/>
          </m:dPr>
          <m:e>
            <m:r>
              <m:t>197</m:t>
            </m:r>
          </m:e>
        </m:d>
        <m:r>
          <m:rPr>
            <m:sty m:val="p"/>
          </m:rPr>
          <m:t>=</m:t>
        </m:r>
        <m:r>
          <m:rPr>
            <m:sty m:val="p"/>
          </m:rPr>
          <m:t>−</m:t>
        </m:r>
        <m:r>
          <m:t>26.44</m:t>
        </m:r>
      </m:oMath>
      <w:r>
        <w:t xml:space="preserve">,</w:t>
      </w:r>
      <w:r>
        <w:t xml:space="preserve"> </w:t>
      </w:r>
      <m:oMath>
        <m:r>
          <m:t>p</m:t>
        </m:r>
        <m:r>
          <m:rPr>
            <m:sty m:val="p"/>
          </m:rPr>
          <m:t>&lt;</m:t>
        </m:r>
        <m:r>
          <m:t>.001</m:t>
        </m:r>
      </m:oMath>
      <w:r>
        <w:t xml:space="preserve">).</w:t>
      </w:r>
    </w:p>
    <w:p>
      <w:pPr>
        <w:pStyle w:val="Textkrper"/>
      </w:pPr>
      <w:r>
        <w:t xml:space="preserve">Within the three stimulus pairs, we observed the expected search asymmetries. The mean search slope for finding one vertical target among multiple tilted distractors (18.12 ms/item) was significantly steeper than the slope for the inverse search (5.16 ms/item;</w:t>
      </w:r>
      <w:r>
        <w:t xml:space="preserve"> </w:t>
      </w:r>
      <m:oMath>
        <m:r>
          <m:t>M</m:t>
        </m:r>
        <m:r>
          <m:rPr>
            <m:sty m:val="p"/>
          </m:rPr>
          <m:t>=</m:t>
        </m:r>
        <m:r>
          <m:t>12.97</m:t>
        </m:r>
      </m:oMath>
      <w:r>
        <w:t xml:space="preserve">, 95% CI</w:t>
      </w:r>
      <w:r>
        <w:t xml:space="preserve"> </w:t>
      </w:r>
      <m:oMath>
        <m:d>
          <m:dPr>
            <m:begChr m:val="["/>
            <m:endChr m:val="]"/>
            <m:sepChr m:val=""/>
            <m:grow/>
          </m:dPr>
          <m:e>
            <m:r>
              <m:t>8.27</m:t>
            </m:r>
            <m:r>
              <m:rPr>
                <m:sty m:val="p"/>
              </m:rPr>
              <m:t>,</m:t>
            </m:r>
            <m:r>
              <m:t>17.68</m:t>
            </m:r>
          </m:e>
        </m:d>
      </m:oMath>
      <w:r>
        <w:t xml:space="preserve">,</w:t>
      </w:r>
      <w:r>
        <w:t xml:space="preserve"> </w:t>
      </w:r>
      <m:oMath>
        <m:r>
          <m:t>t</m:t>
        </m:r>
        <m:d>
          <m:dPr>
            <m:begChr m:val="("/>
            <m:endChr m:val=")"/>
            <m:sepChr m:val=""/>
            <m:grow/>
          </m:dPr>
          <m:e>
            <m:r>
              <m:t>197</m:t>
            </m:r>
          </m:e>
        </m:d>
        <m:r>
          <m:rPr>
            <m:sty m:val="p"/>
          </m:rPr>
          <m:t>=</m:t>
        </m:r>
        <m:r>
          <m:t>5.43</m:t>
        </m:r>
      </m:oMath>
      <w:r>
        <w:t xml:space="preserve">,</w:t>
      </w:r>
      <w:r>
        <w:t xml:space="preserve"> </w:t>
      </w:r>
      <m:oMath>
        <m:r>
          <m:t>p</m:t>
        </m:r>
        <m:r>
          <m:rPr>
            <m:sty m:val="p"/>
          </m:rPr>
          <m:t>&lt;</m:t>
        </m:r>
        <m:r>
          <m:t>.001</m:t>
        </m:r>
      </m:oMath>
      <w:r>
        <w:t xml:space="preserve">). Similarly, the mean search slope for finding one O target among multiple distractor Qs (61.78 ms/item) was significantly steeper than the slope for the inverse search (8.33 ms/item;</w:t>
      </w:r>
      <w:r>
        <w:t xml:space="preserve"> </w:t>
      </w:r>
      <m:oMath>
        <m:r>
          <m:t>M</m:t>
        </m:r>
        <m:r>
          <m:rPr>
            <m:sty m:val="p"/>
          </m:rPr>
          <m:t>=</m:t>
        </m:r>
        <m:r>
          <m:t>53.44</m:t>
        </m:r>
      </m:oMath>
      <w:r>
        <w:t xml:space="preserve">, 95% CI</w:t>
      </w:r>
      <w:r>
        <w:t xml:space="preserve"> </w:t>
      </w:r>
      <m:oMath>
        <m:d>
          <m:dPr>
            <m:begChr m:val="["/>
            <m:endChr m:val="]"/>
            <m:sepChr m:val=""/>
            <m:grow/>
          </m:dPr>
          <m:e>
            <m:r>
              <m:t>47.66</m:t>
            </m:r>
            <m:r>
              <m:rPr>
                <m:sty m:val="p"/>
              </m:rPr>
              <m:t>,</m:t>
            </m:r>
            <m:r>
              <m:t>59.23</m:t>
            </m:r>
          </m:e>
        </m:d>
      </m:oMath>
      <w:r>
        <w:t xml:space="preserve">,</w:t>
      </w:r>
      <w:r>
        <w:t xml:space="preserve"> </w:t>
      </w:r>
      <m:oMath>
        <m:r>
          <m:t>t</m:t>
        </m:r>
        <m:d>
          <m:dPr>
            <m:begChr m:val="("/>
            <m:endChr m:val=")"/>
            <m:sepChr m:val=""/>
            <m:grow/>
          </m:dPr>
          <m:e>
            <m:r>
              <m:t>199</m:t>
            </m:r>
          </m:e>
        </m:d>
        <m:r>
          <m:rPr>
            <m:sty m:val="p"/>
          </m:rPr>
          <m:t>=</m:t>
        </m:r>
        <m:r>
          <m:t>18.22</m:t>
        </m:r>
      </m:oMath>
      <w:r>
        <w:t xml:space="preserve">,</w:t>
      </w:r>
      <w:r>
        <w:t xml:space="preserve"> </w:t>
      </w:r>
      <m:oMath>
        <m:r>
          <m:t>p</m:t>
        </m:r>
        <m:r>
          <m:rPr>
            <m:sty m:val="p"/>
          </m:rPr>
          <m:t>&lt;</m:t>
        </m:r>
        <m:r>
          <m:t>.001</m:t>
        </m:r>
      </m:oMath>
      <w:r>
        <w:t xml:space="preserve">). Finally, the mean search slope for finding one O target among multiple distractor Cs (59.88 ms/item) was significantly steeper than the slope for the inverse search (20.55 ms/item;</w:t>
      </w:r>
      <w:r>
        <w:t xml:space="preserve"> </w:t>
      </w:r>
      <m:oMath>
        <m:r>
          <m:t>M</m:t>
        </m:r>
        <m:r>
          <m:rPr>
            <m:sty m:val="p"/>
          </m:rPr>
          <m:t>=</m:t>
        </m:r>
        <m:r>
          <m:t>39.80</m:t>
        </m:r>
      </m:oMath>
      <w:r>
        <w:t xml:space="preserve">, 95% CI</w:t>
      </w:r>
      <w:r>
        <w:t xml:space="preserve"> </w:t>
      </w:r>
      <m:oMath>
        <m:d>
          <m:dPr>
            <m:begChr m:val="["/>
            <m:endChr m:val="]"/>
            <m:sepChr m:val=""/>
            <m:grow/>
          </m:dPr>
          <m:e>
            <m:r>
              <m:t>33.30</m:t>
            </m:r>
            <m:r>
              <m:rPr>
                <m:sty m:val="p"/>
              </m:rPr>
              <m:t>,</m:t>
            </m:r>
            <m:r>
              <m:t>46.31</m:t>
            </m:r>
          </m:e>
        </m:d>
      </m:oMath>
      <w:r>
        <w:t xml:space="preserve">,</w:t>
      </w:r>
      <w:r>
        <w:t xml:space="preserve"> </w:t>
      </w:r>
      <m:oMath>
        <m:r>
          <m:t>t</m:t>
        </m:r>
        <m:d>
          <m:dPr>
            <m:begChr m:val="("/>
            <m:endChr m:val=")"/>
            <m:sepChr m:val=""/>
            <m:grow/>
          </m:dPr>
          <m:e>
            <m:r>
              <m:t>198</m:t>
            </m:r>
          </m:e>
        </m:d>
        <m:r>
          <m:rPr>
            <m:sty m:val="p"/>
          </m:rPr>
          <m:t>=</m:t>
        </m:r>
        <m:r>
          <m:t>12.06</m:t>
        </m:r>
      </m:oMath>
      <w:r>
        <w:t xml:space="preserve">,</w:t>
      </w:r>
      <w:r>
        <w:t xml:space="preserve"> </w:t>
      </w:r>
      <m:oMath>
        <m:r>
          <m:t>p</m:t>
        </m:r>
        <m:r>
          <m:rPr>
            <m:sty m:val="p"/>
          </m:rPr>
          <m:t>&lt;</m:t>
        </m:r>
        <m:r>
          <m:t>.001</m:t>
        </m:r>
      </m:oMath>
      <w:r>
        <w:t xml:space="preserve">).</w:t>
      </w:r>
    </w:p>
    <w:bookmarkEnd w:id="62"/>
    <w:bookmarkStart w:id="66" w:name="estimation-accuracy-2"/>
    <w:p>
      <w:pPr>
        <w:pStyle w:val="berschrift3"/>
      </w:pPr>
      <w:r>
        <w:t xml:space="preserve">Estimation accuracy.</w:t>
      </w:r>
    </w:p>
    <w:p>
      <w:pPr>
        <w:pStyle w:val="FirstParagraph"/>
      </w:pPr>
      <w:r>
        <w:t xml:space="preserve">The mean Spearman correlation between search slopes and their estimates was 0.32 and significantly different from zero (</w:t>
      </w:r>
      <m:oMath>
        <m:r>
          <m:t>M</m:t>
        </m:r>
        <m:r>
          <m:rPr>
            <m:sty m:val="p"/>
          </m:rPr>
          <m:t>=</m:t>
        </m:r>
        <m:r>
          <m:t>0.32</m:t>
        </m:r>
      </m:oMath>
      <w:r>
        <w:t xml:space="preserve">, 95% CI</w:t>
      </w:r>
      <w:r>
        <w:t xml:space="preserve"> </w:t>
      </w:r>
      <m:oMath>
        <m:d>
          <m:dPr>
            <m:begChr m:val="["/>
            <m:endChr m:val="]"/>
            <m:sepChr m:val=""/>
            <m:grow/>
          </m:dPr>
          <m:e>
            <m:r>
              <m:t>0.28</m:t>
            </m:r>
            <m:r>
              <m:rPr>
                <m:sty m:val="p"/>
              </m:rPr>
              <m:t>,</m:t>
            </m:r>
            <m:r>
              <m:t>0.36</m:t>
            </m:r>
          </m:e>
        </m:d>
      </m:oMath>
      <w:r>
        <w:t xml:space="preserve">,</w:t>
      </w:r>
      <w:r>
        <w:t xml:space="preserve"> </w:t>
      </w:r>
      <m:oMath>
        <m:r>
          <m:t>t</m:t>
        </m:r>
        <m:d>
          <m:dPr>
            <m:begChr m:val="("/>
            <m:endChr m:val=")"/>
            <m:sepChr m:val=""/>
            <m:grow/>
          </m:dPr>
          <m:e>
            <m:r>
              <m:t>197</m:t>
            </m:r>
          </m:e>
        </m:d>
        <m:r>
          <m:rPr>
            <m:sty m:val="p"/>
          </m:rPr>
          <m:t>=</m:t>
        </m:r>
        <m:r>
          <m:t>15.76</m:t>
        </m:r>
      </m:oMath>
      <w:r>
        <w:t xml:space="preserve">,</w:t>
      </w:r>
      <w:r>
        <w:t xml:space="preserve"> </w:t>
      </w:r>
      <m:oMath>
        <m:r>
          <m:t>p</m:t>
        </m:r>
        <m:r>
          <m:rPr>
            <m:sty m:val="p"/>
          </m:rPr>
          <m:t>&lt;</m:t>
        </m:r>
        <m:r>
          <m:t>.001</m:t>
        </m:r>
      </m:oMath>
      <w:r>
        <w:t xml:space="preserve">).</w:t>
      </w:r>
      <w:r>
        <w:t xml:space="preserve"> </w:t>
      </w:r>
      <w:r>
        <w:t xml:space="preserve">Contrary to our findings from Exp. 1-4, the average search estimate slope (17.48 ms/item) was significantly</w:t>
      </w:r>
      <w:r>
        <w:t xml:space="preserve"> </w:t>
      </w:r>
      <w:r>
        <w:rPr>
          <w:iCs/>
          <w:i/>
        </w:rPr>
        <w:t xml:space="preserve">shallower</w:t>
      </w:r>
      <w:r>
        <w:t xml:space="preserve"> </w:t>
      </w:r>
      <w:r>
        <w:t xml:space="preserve">than the average search slopes (29.00 ms/item;</w:t>
      </w:r>
      <w:r>
        <w:t xml:space="preserve"> </w:t>
      </w:r>
      <m:oMath>
        <m:sSub>
          <m:e>
            <m:r>
              <m:t>M</m:t>
            </m:r>
          </m:e>
          <m:sub>
            <m:r>
              <m:t>D</m:t>
            </m:r>
          </m:sub>
        </m:sSub>
        <m:r>
          <m:rPr>
            <m:sty m:val="p"/>
          </m:rPr>
          <m:t>=</m:t>
        </m:r>
        <m:r>
          <m:rPr>
            <m:sty m:val="p"/>
          </m:rPr>
          <m:t>−</m:t>
        </m:r>
        <m:r>
          <m:t>11.39</m:t>
        </m:r>
      </m:oMath>
      <w:r>
        <w:t xml:space="preserve">, 95% CI</w:t>
      </w:r>
      <w:r>
        <w:t xml:space="preserve"> </w:t>
      </w:r>
      <m:oMath>
        <m:d>
          <m:dPr>
            <m:begChr m:val="["/>
            <m:endChr m:val="]"/>
            <m:sepChr m:val=""/>
            <m:grow/>
          </m:dPr>
          <m:e>
            <m:r>
              <m:rPr>
                <m:sty m:val="p"/>
              </m:rPr>
              <m:t>−</m:t>
            </m:r>
            <m:r>
              <m:t>14.76</m:t>
            </m:r>
            <m:r>
              <m:rPr>
                <m:sty m:val="p"/>
              </m:rPr>
              <m:t>,</m:t>
            </m:r>
            <m:r>
              <m:rPr>
                <m:sty m:val="p"/>
              </m:rPr>
              <m:t>−</m:t>
            </m:r>
            <m:r>
              <m:t>8.02</m:t>
            </m:r>
          </m:e>
        </m:d>
      </m:oMath>
      <w:r>
        <w:t xml:space="preserve">,</w:t>
      </w:r>
      <w:r>
        <w:t xml:space="preserve"> </w:t>
      </w:r>
      <m:oMath>
        <m:r>
          <m:t>t</m:t>
        </m:r>
        <m:d>
          <m:dPr>
            <m:begChr m:val="("/>
            <m:endChr m:val=")"/>
            <m:sepChr m:val=""/>
            <m:grow/>
          </m:dPr>
          <m:e>
            <m:r>
              <m:t>197</m:t>
            </m:r>
          </m:e>
        </m:d>
        <m:r>
          <m:rPr>
            <m:sty m:val="p"/>
          </m:rPr>
          <m:t>=</m:t>
        </m:r>
        <m:r>
          <m:rPr>
            <m:sty m:val="p"/>
          </m:rPr>
          <m:t>−</m:t>
        </m:r>
        <m:r>
          <m:t>6.66</m:t>
        </m:r>
      </m:oMath>
      <w:r>
        <w:t xml:space="preserve">,</w:t>
      </w:r>
      <w:r>
        <w:t xml:space="preserve"> </w:t>
      </w:r>
      <m:oMath>
        <m:r>
          <m:t>p</m:t>
        </m:r>
        <m:r>
          <m:rPr>
            <m:sty m:val="p"/>
          </m:rPr>
          <m:t>&lt;</m:t>
        </m:r>
        <m:r>
          <m:t>.001</m:t>
        </m:r>
      </m:oMath>
      <w:r>
        <w:t xml:space="preserve">). This difference may be driven by the change to our estimate-to-points conversion rule, which now incentivized more risky estimates.</w:t>
      </w:r>
    </w:p>
    <w:p>
      <w:pPr>
        <w:pStyle w:val="Textkrper"/>
      </w:pPr>
      <w:r>
        <w:t xml:space="preserve">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m:t>M</m:t>
        </m:r>
        <m:r>
          <m:rPr>
            <m:sty m:val="p"/>
          </m:rPr>
          <m:t>=</m:t>
        </m:r>
        <m:r>
          <m:t>0.10</m:t>
        </m:r>
      </m:oMath>
      <w:r>
        <w:t xml:space="preserve">, 95% CI</w:t>
      </w:r>
      <w:r>
        <w:t xml:space="preserve"> </w:t>
      </w:r>
      <m:oMath>
        <m:d>
          <m:dPr>
            <m:begChr m:val="["/>
            <m:endChr m:val="]"/>
            <m:sepChr m:val=""/>
            <m:grow/>
          </m:dPr>
          <m:e>
            <m:r>
              <m:t>0.05</m:t>
            </m:r>
            <m:r>
              <m:rPr>
                <m:sty m:val="p"/>
              </m:rPr>
              <m:t>,</m:t>
            </m:r>
            <m:r>
              <m:t>0.15</m:t>
            </m:r>
          </m:e>
        </m:d>
      </m:oMath>
      <w:r>
        <w:t xml:space="preserve">,</w:t>
      </w:r>
      <w:r>
        <w:t xml:space="preserve"> </w:t>
      </w:r>
      <m:oMath>
        <m:r>
          <m:t>t</m:t>
        </m:r>
        <m:d>
          <m:dPr>
            <m:begChr m:val="("/>
            <m:endChr m:val=")"/>
            <m:sepChr m:val=""/>
            <m:grow/>
          </m:dPr>
          <m:e>
            <m:r>
              <m:t>197</m:t>
            </m:r>
          </m:e>
        </m:d>
        <m:r>
          <m:rPr>
            <m:sty m:val="p"/>
          </m:rPr>
          <m:t>=</m:t>
        </m:r>
        <m:r>
          <m:t>4.14</m:t>
        </m:r>
      </m:oMath>
      <w:r>
        <w:t xml:space="preserve">,</w:t>
      </w:r>
      <w:r>
        <w:t xml:space="preserve"> </w:t>
      </w:r>
      <m:oMath>
        <m:r>
          <m:t>p</m:t>
        </m:r>
        <m:r>
          <m:rPr>
            <m:sty m:val="p"/>
          </m:rPr>
          <m:t>&lt;</m:t>
        </m:r>
        <m:r>
          <m:t>.001</m:t>
        </m:r>
      </m:oMath>
      <w:r>
        <w:t xml:space="preserve">).</w:t>
      </w:r>
    </w:p>
    <w:p>
      <w:pPr>
        <w:pStyle w:val="Textkrper"/>
      </w:pPr>
      <w:r>
        <w:t xml:space="preserve">However, when examining the effect on search slope within specific stimulus pairs, we found little to no support for asymmetries in prospective search time estimates. Estimation slopes were not sensitive to the search asymmetry for line orientation (</w:t>
      </w:r>
      <m:oMath>
        <m:r>
          <m:t>M</m:t>
        </m:r>
        <m:r>
          <m:rPr>
            <m:sty m:val="p"/>
          </m:rPr>
          <m:t>=</m:t>
        </m:r>
        <m:r>
          <m:rPr>
            <m:sty m:val="p"/>
          </m:rPr>
          <m:t>−</m:t>
        </m:r>
        <m:r>
          <m:t>0.68</m:t>
        </m:r>
      </m:oMath>
      <w:r>
        <w:t xml:space="preserve">, 95% CI</w:t>
      </w:r>
      <w:r>
        <w:t xml:space="preserve"> </w:t>
      </w:r>
      <m:oMath>
        <m:d>
          <m:dPr>
            <m:begChr m:val="["/>
            <m:endChr m:val="]"/>
            <m:sepChr m:val=""/>
            <m:grow/>
          </m:dPr>
          <m:e>
            <m:r>
              <m:rPr>
                <m:sty m:val="p"/>
              </m:rPr>
              <m:t>−</m:t>
            </m:r>
            <m:r>
              <m:t>4.31</m:t>
            </m:r>
            <m:r>
              <m:rPr>
                <m:sty m:val="p"/>
              </m:rPr>
              <m:t>,</m:t>
            </m:r>
            <m:r>
              <m:t>2.96</m:t>
            </m:r>
          </m:e>
        </m:d>
      </m:oMath>
      <w:r>
        <w:t xml:space="preserve">,</w:t>
      </w:r>
      <w:r>
        <w:t xml:space="preserve"> </w:t>
      </w:r>
      <m:oMath>
        <m:r>
          <m:t>t</m:t>
        </m:r>
        <m:d>
          <m:dPr>
            <m:begChr m:val="("/>
            <m:endChr m:val=")"/>
            <m:sepChr m:val=""/>
            <m:grow/>
          </m:dPr>
          <m:e>
            <m:r>
              <m:t>197</m:t>
            </m:r>
          </m:e>
        </m:d>
        <m:r>
          <m:rPr>
            <m:sty m:val="p"/>
          </m:rPr>
          <m:t>=</m:t>
        </m:r>
        <m:r>
          <m:rPr>
            <m:sty m:val="p"/>
          </m:rPr>
          <m:t>−</m:t>
        </m:r>
        <m:r>
          <m:t>0.37</m:t>
        </m:r>
      </m:oMath>
      <w:r>
        <w:t xml:space="preserve">,</w:t>
      </w:r>
      <w:r>
        <w:t xml:space="preserve"> </w:t>
      </w:r>
      <m:oMath>
        <m:r>
          <m:t>p</m:t>
        </m:r>
        <m:r>
          <m:rPr>
            <m:sty m:val="p"/>
          </m:rPr>
          <m:t>=</m:t>
        </m:r>
        <m:r>
          <m:t>.714</m:t>
        </m:r>
      </m:oMath>
      <w:r>
        <w:t xml:space="preserve">;</w:t>
      </w:r>
      <w:r>
        <w:t xml:space="preserve"> </w:t>
      </w:r>
      <m:oMath>
        <m:sSub>
          <m:e>
            <m:r>
              <m:rPr>
                <m:sty m:val="p"/>
              </m:rPr>
              <m:t>B</m:t>
            </m:r>
            <m:r>
              <m:rPr>
                <m:sty m:val="p"/>
              </m:rPr>
              <m:t>F</m:t>
            </m:r>
          </m:e>
          <m:sub>
            <m:r>
              <m:rPr>
                <m:nor/>
                <m:sty m:val="p"/>
              </m:rPr>
              <m:t>01</m:t>
            </m:r>
          </m:sub>
        </m:sSub>
        <m:r>
          <m:rPr>
            <m:sty m:val="p"/>
          </m:rPr>
          <m:t>=</m:t>
        </m:r>
        <m:r>
          <m:t>11.78</m:t>
        </m:r>
      </m:oMath>
      <w:r>
        <w:t xml:space="preserve">), and they were similarly insensitive to the search asymmetry for Cs and Os (</w:t>
      </w:r>
      <m:oMath>
        <m:r>
          <m:t>M</m:t>
        </m:r>
        <m:r>
          <m:rPr>
            <m:sty m:val="p"/>
          </m:rPr>
          <m:t>=</m:t>
        </m:r>
        <m:r>
          <m:t>1.48</m:t>
        </m:r>
      </m:oMath>
      <w:r>
        <w:t xml:space="preserve">, 95% CI</w:t>
      </w:r>
      <w:r>
        <w:t xml:space="preserve"> </w:t>
      </w:r>
      <m:oMath>
        <m:d>
          <m:dPr>
            <m:begChr m:val="["/>
            <m:endChr m:val="]"/>
            <m:sepChr m:val=""/>
            <m:grow/>
          </m:dPr>
          <m:e>
            <m:r>
              <m:rPr>
                <m:sty m:val="p"/>
              </m:rPr>
              <m:t>−</m:t>
            </m:r>
            <m:r>
              <m:t>2.87</m:t>
            </m:r>
            <m:r>
              <m:rPr>
                <m:sty m:val="p"/>
              </m:rPr>
              <m:t>,</m:t>
            </m:r>
            <m:r>
              <m:t>5.82</m:t>
            </m:r>
          </m:e>
        </m:d>
      </m:oMath>
      <w:r>
        <w:t xml:space="preserve">,</w:t>
      </w:r>
      <w:r>
        <w:t xml:space="preserve"> </w:t>
      </w:r>
      <m:oMath>
        <m:r>
          <m:t>t</m:t>
        </m:r>
        <m:d>
          <m:dPr>
            <m:begChr m:val="("/>
            <m:endChr m:val=")"/>
            <m:sepChr m:val=""/>
            <m:grow/>
          </m:dPr>
          <m:e>
            <m:r>
              <m:t>198</m:t>
            </m:r>
          </m:e>
        </m:d>
        <m:r>
          <m:rPr>
            <m:sty m:val="p"/>
          </m:rPr>
          <m:t>=</m:t>
        </m:r>
        <m:r>
          <m:t>0.67</m:t>
        </m:r>
      </m:oMath>
      <w:r>
        <w:t xml:space="preserve">,</w:t>
      </w:r>
      <w:r>
        <w:t xml:space="preserve"> </w:t>
      </w:r>
      <m:oMath>
        <m:r>
          <m:t>p</m:t>
        </m:r>
        <m:r>
          <m:rPr>
            <m:sty m:val="p"/>
          </m:rPr>
          <m:t>=</m:t>
        </m:r>
        <m:r>
          <m:t>.503</m:t>
        </m:r>
      </m:oMath>
      <w:r>
        <w:t xml:space="preserve">;</w:t>
      </w:r>
      <w:r>
        <w:t xml:space="preserve"> </w:t>
      </w:r>
      <m:oMath>
        <m:sSub>
          <m:e>
            <m:r>
              <m:rPr>
                <m:sty m:val="p"/>
              </m:rPr>
              <m:t>B</m:t>
            </m:r>
            <m:r>
              <m:rPr>
                <m:sty m:val="p"/>
              </m:rPr>
              <m:t>F</m:t>
            </m:r>
          </m:e>
          <m:sub>
            <m:r>
              <m:rPr>
                <m:nor/>
                <m:sty m:val="p"/>
              </m:rPr>
              <m:t>01</m:t>
            </m:r>
          </m:sub>
        </m:sSub>
        <m:r>
          <m:rPr>
            <m:sty m:val="p"/>
          </m:rPr>
          <m:t>=</m:t>
        </m:r>
        <m:r>
          <m:t>10.12</m:t>
        </m:r>
      </m:oMath>
      <w:r>
        <w:t xml:space="preserve">). The results with respect to Q and Os were more nuanced, with a marginally significant difference of 4.05 ms/item between O-in-Q and Q-in-O estimate slopes (</w:t>
      </w:r>
      <m:oMath>
        <m:r>
          <m:t>M</m:t>
        </m:r>
        <m:r>
          <m:rPr>
            <m:sty m:val="p"/>
          </m:rPr>
          <m:t>=</m:t>
        </m:r>
        <m:r>
          <m:t>4.05</m:t>
        </m:r>
      </m:oMath>
      <w:r>
        <w:t xml:space="preserve">, 95% CI</w:t>
      </w:r>
      <w:r>
        <w:t xml:space="preserve"> </w:t>
      </w:r>
      <m:oMath>
        <m:d>
          <m:dPr>
            <m:begChr m:val="["/>
            <m:endChr m:val="]"/>
            <m:sepChr m:val=""/>
            <m:grow/>
          </m:dPr>
          <m:e>
            <m:r>
              <m:rPr>
                <m:sty m:val="p"/>
              </m:rPr>
              <m:t>−</m:t>
            </m:r>
            <m:r>
              <m:t>0.11</m:t>
            </m:r>
            <m:r>
              <m:rPr>
                <m:sty m:val="p"/>
              </m:rPr>
              <m:t>,</m:t>
            </m:r>
            <m:r>
              <m:t>8.21</m:t>
            </m:r>
          </m:e>
        </m:d>
      </m:oMath>
      <w:r>
        <w:t xml:space="preserve">,</w:t>
      </w:r>
      <w:r>
        <w:t xml:space="preserve"> </w:t>
      </w:r>
      <m:oMath>
        <m:r>
          <m:t>t</m:t>
        </m:r>
        <m:d>
          <m:dPr>
            <m:begChr m:val="("/>
            <m:endChr m:val=")"/>
            <m:sepChr m:val=""/>
            <m:grow/>
          </m:dPr>
          <m:e>
            <m:r>
              <m:t>199</m:t>
            </m:r>
          </m:e>
        </m:d>
        <m:r>
          <m:rPr>
            <m:sty m:val="p"/>
          </m:rPr>
          <m:t>=</m:t>
        </m:r>
        <m:r>
          <m:t>1.92</m:t>
        </m:r>
      </m:oMath>
      <w:r>
        <w:t xml:space="preserve">,</w:t>
      </w:r>
      <w:r>
        <w:t xml:space="preserve"> </w:t>
      </w:r>
      <m:oMath>
        <m:r>
          <m:t>p</m:t>
        </m:r>
        <m:r>
          <m:rPr>
            <m:sty m:val="p"/>
          </m:rPr>
          <m:t>=</m:t>
        </m:r>
        <m:r>
          <m:t>.056</m:t>
        </m:r>
      </m:oMath>
      <w:r>
        <w:t xml:space="preserve">;</w:t>
      </w:r>
      <w:r>
        <w:t xml:space="preserve"> </w:t>
      </w:r>
      <m:oMath>
        <m:sSub>
          <m:e>
            <m:r>
              <m:rPr>
                <m:sty m:val="p"/>
              </m:rPr>
              <m:t>B</m:t>
            </m:r>
            <m:r>
              <m:rPr>
                <m:sty m:val="p"/>
              </m:rPr>
              <m:t>F</m:t>
            </m:r>
          </m:e>
          <m:sub>
            <m:r>
              <m:rPr>
                <m:nor/>
                <m:sty m:val="p"/>
              </m:rPr>
              <m:t>01</m:t>
            </m:r>
          </m:sub>
        </m:sSub>
        <m:r>
          <m:rPr>
            <m:sty m:val="p"/>
          </m:rPr>
          <m:t>=</m:t>
        </m:r>
        <m:r>
          <m:t>2.09</m:t>
        </m:r>
      </m:oMath>
      <w:r>
        <w:t xml:space="preserve">). However, even here, a difference of 4 ms/item in search time estimates is more than 10 times smaller than the true difference of 53.44 ms/item in slopes obtained from actual searches. Interestingly, asymmetries in the mean estimated search time (rather than the expected change per addition of one distractor) were somewhat stronger (orientation: mean difference of 21 ms,</w:t>
      </w:r>
      <w:r>
        <w:t xml:space="preserve"> </w:t>
      </w:r>
      <m:oMath>
        <m:r>
          <m:t>t</m:t>
        </m:r>
        <m:d>
          <m:dPr>
            <m:begChr m:val="("/>
            <m:endChr m:val=")"/>
            <m:sepChr m:val=""/>
            <m:grow/>
          </m:dPr>
          <m:e>
            <m:r>
              <m:t>197</m:t>
            </m:r>
          </m:e>
        </m:d>
        <m:r>
          <m:rPr>
            <m:sty m:val="p"/>
          </m:rPr>
          <m:t>=</m:t>
        </m:r>
        <m:r>
          <m:t>1.79</m:t>
        </m:r>
      </m:oMath>
      <w:r>
        <w:t xml:space="preserve">,</w:t>
      </w:r>
      <w:r>
        <w:t xml:space="preserve"> </w:t>
      </w:r>
      <m:oMath>
        <m:r>
          <m:t>p</m:t>
        </m:r>
        <m:r>
          <m:rPr>
            <m:sty m:val="p"/>
          </m:rPr>
          <m:t>=</m:t>
        </m:r>
        <m:r>
          <m:t>.074</m:t>
        </m:r>
      </m:oMath>
      <w:r>
        <w:t xml:space="preserve">; open edges: mean difference of 21 ms,</w:t>
      </w:r>
      <w:r>
        <w:t xml:space="preserve"> </w:t>
      </w:r>
      <m:oMath>
        <m:r>
          <m:t>t</m:t>
        </m:r>
        <m:d>
          <m:dPr>
            <m:begChr m:val="("/>
            <m:endChr m:val=")"/>
            <m:sepChr m:val=""/>
            <m:grow/>
          </m:dPr>
          <m:e>
            <m:r>
              <m:t>198</m:t>
            </m:r>
          </m:e>
        </m:d>
        <m:r>
          <m:rPr>
            <m:sty m:val="p"/>
          </m:rPr>
          <m:t>=</m:t>
        </m:r>
        <m:r>
          <m:t>1.74</m:t>
        </m:r>
      </m:oMath>
      <w:r>
        <w:t xml:space="preserve">,</w:t>
      </w:r>
      <w:r>
        <w:t xml:space="preserve"> </w:t>
      </w:r>
      <m:oMath>
        <m:r>
          <m:t>p</m:t>
        </m:r>
        <m:r>
          <m:rPr>
            <m:sty m:val="p"/>
          </m:rPr>
          <m:t>=</m:t>
        </m:r>
        <m:r>
          <m:t>.084</m:t>
        </m:r>
      </m:oMath>
      <w:r>
        <w:t xml:space="preserve">; line addition: mean difference of 40 ms,</w:t>
      </w:r>
      <w:r>
        <w:t xml:space="preserve"> </w:t>
      </w:r>
      <m:oMath>
        <m:r>
          <m:t>t</m:t>
        </m:r>
        <m:d>
          <m:dPr>
            <m:begChr m:val="("/>
            <m:endChr m:val=")"/>
            <m:sepChr m:val=""/>
            <m:grow/>
          </m:dPr>
          <m:e>
            <m:r>
              <m:t>199</m:t>
            </m:r>
          </m:e>
        </m:d>
        <m:r>
          <m:rPr>
            <m:sty m:val="p"/>
          </m:rPr>
          <m:t>=</m:t>
        </m:r>
        <m:r>
          <m:t>3.66</m:t>
        </m:r>
      </m:oMath>
      <w:r>
        <w:t xml:space="preserve">,</w:t>
      </w:r>
      <w:r>
        <w:t xml:space="preserve"> </w:t>
      </w:r>
      <m:oMath>
        <m:r>
          <m:t>p</m:t>
        </m:r>
        <m:r>
          <m:rPr>
            <m:sty m:val="p"/>
          </m:rPr>
          <m:t>&lt;</m:t>
        </m:r>
        <m:r>
          <m:t>.001</m:t>
        </m:r>
      </m:oMath>
      <w:r>
        <w:t xml:space="preserve">). However, here too, these effects are much smaller than the true effects in actual search behavior (mean differences of 250, 387, and 556 milliseconds for the three stimulus pairs, respectively).</w:t>
      </w:r>
    </w:p>
    <w:p>
      <w:pPr>
        <w:pStyle w:val="CaptionedFigure"/>
      </w:pPr>
      <w:r>
        <w:drawing>
          <wp:inline>
            <wp:extent cx="4587290" cy="3669832"/>
            <wp:effectExtent b="0" l="0" r="0" t="0"/>
            <wp:docPr descr="Figure 7.  Results from Exp. 5. True and estimated median search times for the six different searches. Within each pair, the easier search (finding a tilted target among vertical distractors, a Q among Os, and a C among Os) appears in blue, and the reciprocal, harder, search in red." title="" id="64" name="Picture"/>
            <a:graphic>
              <a:graphicData uri="http://schemas.openxmlformats.org/drawingml/2006/picture">
                <pic:pic>
                  <pic:nvPicPr>
                    <pic:cNvPr descr="MVS_files/figure-docx/MVS-e5-slopes-1.png" id="65"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Results from Exp. 5. True and estimated median search times for the six different searches. Within each pair, the easier search (finding a tilted target among vertical distractors, a Q among Os, and a C among Os) appears in blue, and the reciprocal, harder, search in red.</w:t>
      </w:r>
    </w:p>
    <w:bookmarkEnd w:id="66"/>
    <w:bookmarkEnd w:id="67"/>
    <w:bookmarkStart w:id="72" w:name="discussion"/>
    <w:p>
      <w:pPr>
        <w:pStyle w:val="berschrift2"/>
      </w:pPr>
      <w:r>
        <w:t xml:space="preserve">Discussion</w:t>
      </w:r>
    </w:p>
    <w:p>
      <w:pPr>
        <w:pStyle w:val="FirstParagraph"/>
      </w:pPr>
      <w:r>
        <w:t xml:space="preserve">Over more than four decades of research on spatial attention, experiments where participants report the presence or absence of a target in a display revealed basic principles such as the set-size effect</w:t>
      </w:r>
      <w:r>
        <w:t xml:space="preserve"> </w:t>
      </w:r>
      <w:r>
        <w:t xml:space="preserve">(Treisman, 1986; Treisman &amp; Sato, 1990; Wolfe, 1998)</w:t>
      </w:r>
      <w:r>
        <w:t xml:space="preserve">, the advantage for feature search over more complicated conjunction and spatial configuration searches</w:t>
      </w:r>
      <w:r>
        <w:t xml:space="preserve"> </w:t>
      </w:r>
      <w:r>
        <w:t xml:space="preserve">(Treisman, 1986; Treisman &amp; Sato, 1990)</w:t>
      </w:r>
      <w:r>
        <w:t xml:space="preserve">, and asymmetries in the representations of visual features</w:t>
      </w:r>
      <w:r>
        <w:t xml:space="preserve"> </w:t>
      </w:r>
      <w:r>
        <w:t xml:space="preserve">(Malinowski &amp; Hübner, 2001; Shen &amp; Reingold, 2001; Treisman &amp; Gormican, 1988; Treisman &amp; Souther, 1985)</w:t>
      </w:r>
      <w:r>
        <w:t xml:space="preserve">. Some of these findings are intuitive, but others are more surprising; even without training in psychology, people have a set of expectations and beliefs about their own perception and attention, and about visual search more specifically.</w:t>
      </w:r>
    </w:p>
    <w:p>
      <w:pPr>
        <w:pStyle w:val="Textkrper"/>
      </w:pPr>
      <w:r>
        <w:t xml:space="preserve">Here we measured these expectations and their alignment with actual visual search behavior. In five experiments, we show that naive participants provide reasonably accurate prospective estimates for their search times. In line with previous reports, prospective search time estimates reflected accurate knowledge of the set size effect and differences in efficiency between feature and conjunction searches</w:t>
      </w:r>
      <w:r>
        <w:t xml:space="preserve"> </w:t>
      </w:r>
      <w:r>
        <w:t xml:space="preserve">(Levin &amp; Angelone, 2008; Miller &amp; Bigi, 1977)</w:t>
      </w:r>
      <w:r>
        <w:t xml:space="preserve">. We asked whether participants categorically distinguish</w:t>
      </w:r>
      <w:r>
        <w:t xml:space="preserve"> </w:t>
      </w:r>
      <w:r>
        <w:t xml:space="preserve">‘</w:t>
      </w:r>
      <w:r>
        <w:t xml:space="preserve">easy</w:t>
      </w:r>
      <w:r>
        <w:t xml:space="preserve">’</w:t>
      </w:r>
      <w:r>
        <w:t xml:space="preserve"> </w:t>
      </w:r>
      <w:r>
        <w:t xml:space="preserve">from</w:t>
      </w:r>
      <w:r>
        <w:t xml:space="preserve"> </w:t>
      </w:r>
      <w:r>
        <w:t xml:space="preserve">‘</w:t>
      </w:r>
      <w:r>
        <w:t xml:space="preserve">hard</w:t>
      </w:r>
      <w:r>
        <w:t xml:space="preserve">’</w:t>
      </w:r>
      <w:r>
        <w:t xml:space="preserve"> </w:t>
      </w:r>
      <w:r>
        <w:t xml:space="preserve">searches, or alternatively represent search efficiency along a continuum. The estimates of single participants revealed a graded representation of search efficiency, indicating metacognitive knowledge that is compatible with contemporary theories of visual search such as Guided Search models. Furthermore, participants were able to provide accurate search time estimates for complex stimuli and displays with which they had no prior experience, and their estimates were sensitive to the assignment of stimuli to target and distractor roles. At the same time, subjects showed little to no insight into visual search asymmetries, and as a group their estimates revealed no awareness of the pop-out effect for color search. In the following paragraphs, we unpack our central findings in more detail, and ask what structure of internal models of visual search best accounts for the entirety of our findings.</w:t>
      </w:r>
    </w:p>
    <w:bookmarkStart w:id="68" w:name="do-subjects-know-that-color-pops-out"/>
    <w:p>
      <w:pPr>
        <w:pStyle w:val="berschrift3"/>
      </w:pPr>
      <w:r>
        <w:t xml:space="preserve">Do subjects know that color pops out?.</w:t>
      </w:r>
    </w:p>
    <w:p>
      <w:pPr>
        <w:pStyle w:val="FirstParagraph"/>
      </w:pPr>
      <w:r>
        <w:t xml:space="preserve">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w:t>
      </w:r>
      <w:r>
        <w:t xml:space="preserve"> </w:t>
      </w:r>
      <w:r>
        <w:t xml:space="preserve">(Levin &amp; Angelone, 2008)</w:t>
      </w:r>
      <w:r>
        <w:t xml:space="preserve">.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w:t>
      </w:r>
      <w:r>
        <w:t xml:space="preserve"> </w:t>
      </w:r>
      <w:r>
        <w:t xml:space="preserve">(Miller &amp; Bigi, 1977)</w:t>
      </w:r>
      <w:r>
        <w:t xml:space="preserve">. Knowledge about the special status of color is also evident in the way we communicate with others about what we see. People consistently prefer object descriptions that include information about color, even when color information is fully redundant</w:t>
      </w:r>
      <w:r>
        <w:t xml:space="preserve"> </w:t>
      </w:r>
      <w:r>
        <w:t xml:space="preserve">(Jara-Ettinger &amp; Rubio-Fernandez, 2021)</w:t>
      </w:r>
      <w:r>
        <w:t xml:space="preserve">. To account for this fact,</w:t>
      </w:r>
      <w:r>
        <w:t xml:space="preserve"> </w:t>
      </w:r>
      <w:r>
        <w:t xml:space="preserve">Jara-Ettinger and Rubio-Fernandez (2021)</w:t>
      </w:r>
      <w:r>
        <w:t xml:space="preserve"> </w:t>
      </w:r>
      <w:r>
        <w:t xml:space="preserve">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pPr>
        <w:pStyle w:val="Textkrper"/>
      </w:pPr>
      <w:r>
        <w:t xml:space="preserve">In Experiments 1 and 2, we similarly found evidence for metacognitive knowledge that color search is easy. Estimation slopes for color search were consistently shallower than for 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the fact that this proportion should equal 0.5 among subjects who believe that set size has no effect on color search but their estimates are affected by random noise, we can extract a lower bound for the proportion of subjects who believed color search had a positive slope</w:t>
      </w:r>
      <w:r>
        <w:t xml:space="preserve"> </w:t>
      </w:r>
      <m:oMath>
        <m:r>
          <m:t>p</m:t>
        </m:r>
      </m:oMath>
      <w:r>
        <w:t xml:space="preserve"> </w:t>
      </w:r>
      <w:r>
        <w:t xml:space="preserve">by solving the equation</w:t>
      </w:r>
      <w:r>
        <w:t xml:space="preserve"> </w:t>
      </w:r>
      <m:oMath>
        <m:r>
          <m:t>p</m:t>
        </m:r>
        <m:r>
          <m:rPr>
            <m:sty m:val="p"/>
          </m:rPr>
          <m:t>+</m:t>
        </m:r>
        <m:r>
          <m:t>0.5</m:t>
        </m:r>
        <m:d>
          <m:dPr>
            <m:begChr m:val="("/>
            <m:endChr m:val=")"/>
            <m:sepChr m:val=""/>
            <m:grow/>
          </m:dPr>
          <m:e>
            <m:r>
              <m:t>1</m:t>
            </m:r>
            <m:r>
              <m:rPr>
                <m:sty m:val="p"/>
              </m:rPr>
              <m:t>−</m:t>
            </m:r>
            <m:r>
              <m:t>p</m:t>
            </m:r>
          </m:e>
        </m:d>
        <m:r>
          <m:rPr>
            <m:sty m:val="p"/>
          </m:rPr>
          <m:t>=</m:t>
        </m:r>
        <m:r>
          <m:t>0.71</m:t>
        </m:r>
      </m:oMath>
      <w:r>
        <w:t xml:space="preserve">, resulting in an estimate of</w:t>
      </w:r>
      <w:r>
        <w:t xml:space="preserve"> </w:t>
      </w:r>
      <m:oMath>
        <m:r>
          <m:t>p</m:t>
        </m:r>
        <m:r>
          <m:rPr>
            <m:sty m:val="p"/>
          </m:rPr>
          <m:t>=</m:t>
        </m:r>
        <m:r>
          <m:t>0.42</m:t>
        </m:r>
      </m:oMath>
      <w:r>
        <w:t xml:space="preserve">.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pPr>
        <w:pStyle w:val="Textkrper"/>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from an array if the target color does not immediately pop out to their attention. In contrast, 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w:t>
      </w:r>
      <w:r>
        <w:t xml:space="preserve"> </w:t>
      </w:r>
      <w:r>
        <w:t xml:space="preserve">Mazor and Fleming (2022)</w:t>
      </w:r>
      <w:r>
        <w:t xml:space="preserve"> </w:t>
      </w:r>
      <w:r>
        <w:t xml:space="preserve">found that subjects immediately terminate a search when the target color is absent from the search array. This provides indirect evidence that the implicit metacognitive knowledge that is involved in guiding search termination is dissociable from the kind of explicit metacognitive knowledge that we measure here. For example, our numeric report scheme may have encouraged participants to adopt an analytical disposition to the problem, rather than relying fully on their intuitions. In support of this dissociation between search termination behavior and explicit metacognitive ratings of search difficulty, Mazor and Fleming found that search termination slopes were shallower for feature searches than for conjunction searches even among participants whose explicit metacognitive ratings reflected a belief that feature searches are harder.</w:t>
      </w:r>
    </w:p>
    <w:bookmarkEnd w:id="68"/>
    <w:bookmarkStart w:id="69" w:name="Xb867379c75f0412a863cb265df8ebc114aa779b"/>
    <w:p>
      <w:pPr>
        <w:pStyle w:val="berschrift3"/>
      </w:pPr>
      <w:r>
        <w:t xml:space="preserve">What is person-specific about internal models of visual search?.</w:t>
      </w:r>
    </w:p>
    <w:p>
      <w:pPr>
        <w:pStyle w:val="FirstParagraph"/>
      </w:pPr>
      <w:r>
        <w:t xml:space="preserve">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w:t>
      </w:r>
      <w:r>
        <w:t xml:space="preserve"> </w:t>
      </w:r>
      <w:r>
        <w:t xml:space="preserve">5</w:t>
      </w:r>
      <w:r>
        <w:t xml:space="preserve">).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idiosyncratic beliefs about visual search: judgments about similarity or complexity of visual objects, and person-specific knowledge about attention.</w:t>
      </w:r>
    </w:p>
    <w:p>
      <w:pPr>
        <w:pStyle w:val="Textkrper"/>
      </w:pPr>
      <w:r>
        <w:t xml:space="preserve">First, subjects may vary in how they perceive different visual objects to be simple or complex, similar or different. If perceptions of complexity and similarity contribute to search 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any person-invariant specification of how similarity contributes to search time would need to be sensitive to asymmetries in the perception of similarity</w:t>
      </w:r>
      <w:r>
        <w:t xml:space="preserve"> </w:t>
      </w:r>
      <w:r>
        <w:t xml:space="preserve">(Tversky, 1977)</w:t>
      </w:r>
      <w:r>
        <w:t xml:space="preserve"> </w:t>
      </w:r>
      <w:r>
        <w:t xml:space="preserve">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 Even if not person-specific themselves, our findings show that to the very least internal models of visual search interface with person-specific knowledge in nontrivial ways.</w:t>
      </w:r>
    </w:p>
    <w:p>
      <w:pPr>
        <w:pStyle w:val="Textkrper"/>
      </w:pPr>
      <w:r>
        <w:t xml:space="preserve">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w:t>
      </w:r>
      <w:r>
        <w:t xml:space="preserve"> </w:t>
      </w:r>
      <w:r>
        <w:t xml:space="preserve">(Adams &amp; Gaspelin, 2021)</w:t>
      </w:r>
      <w:r>
        <w:t xml:space="preserve"> </w:t>
      </w:r>
      <w:r>
        <w:t xml:space="preserve">even in the absence of an overt eye movement</w:t>
      </w:r>
      <w:r>
        <w:t xml:space="preserve"> </w:t>
      </w:r>
      <w:r>
        <w:t xml:space="preserve">(Adams &amp; Gaspelin, 2020)</w:t>
      </w:r>
      <w:r>
        <w:t xml:space="preserve">. These observations can then be integrated into an internal model or an intuitive theory: which items are more or less likely to capture attention, under what circumstances, etc. Future research into the development of this simplified model and its expansion based on new evidence [for example, by measuring intuitions before and after exposure to some evidence;</w:t>
      </w:r>
      <w:r>
        <w:t xml:space="preserve"> </w:t>
      </w:r>
      <w:r>
        <w:t xml:space="preserve">Bonawitz, Ullman, Bridgers, Gopnik, and Tenenbaum (2019)</w:t>
      </w:r>
      <w:r>
        <w:t xml:space="preserve">] is needed to understand the relation between metacognitive monitoring of attention and metacognitive knowledge of attentional processes.</w:t>
      </w:r>
    </w:p>
    <w:p>
      <w:pPr>
        <w:pStyle w:val="Textkrper"/>
      </w:pPr>
      <w:r>
        <w:t xml:space="preserve">This relates to recent theoretical and empirical advances underscoring the utility of keeping a</w:t>
      </w:r>
      <w:r>
        <w:t xml:space="preserve"> </w:t>
      </w:r>
      <w:r>
        <w:rPr>
          <w:iCs/>
          <w:i/>
        </w:rPr>
        <w:t xml:space="preserve">mental self-model</w:t>
      </w:r>
      <w:r>
        <w:t xml:space="preserve">, or a</w:t>
      </w:r>
      <w:r>
        <w:t xml:space="preserve"> </w:t>
      </w:r>
      <w:r>
        <w:rPr>
          <w:iCs/>
          <w:i/>
        </w:rPr>
        <w:t xml:space="preserve">self-schema</w:t>
      </w:r>
      <w:r>
        <w:t xml:space="preserve"> </w:t>
      </w:r>
      <w:r>
        <w:t xml:space="preserve">for attention control</w:t>
      </w:r>
      <w:r>
        <w:t xml:space="preserve"> </w:t>
      </w:r>
      <w:r>
        <w:t xml:space="preserve">(Wilterson et al., 2020)</w:t>
      </w:r>
      <w:r>
        <w:t xml:space="preserve">, social cognition</w:t>
      </w:r>
      <w:r>
        <w:t xml:space="preserve"> </w:t>
      </w:r>
      <w:r>
        <w:t xml:space="preserve">(Graziano, 2013)</w:t>
      </w:r>
      <w:r>
        <w:t xml:space="preserve"> </w:t>
      </w:r>
      <w:r>
        <w:t xml:space="preserve">, phenomenal experience</w:t>
      </w:r>
      <w:r>
        <w:t xml:space="preserve"> </w:t>
      </w:r>
      <w:r>
        <w:t xml:space="preserve">(Metzinger, 2003)</w:t>
      </w:r>
      <w:r>
        <w:t xml:space="preserve">, and inference about absence</w:t>
      </w:r>
      <w:r>
        <w:t xml:space="preserve"> </w:t>
      </w:r>
      <w:r>
        <w:t xml:space="preserve">(Mazor, 2021; Mazor &amp; Fleming, 2022)</w:t>
      </w:r>
      <w:r>
        <w:t xml:space="preserve">.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Experiments 3 and 4 show that this knowledge is more than a set of heuristics or rules, but reflects an intricate internal model of spatial attention that can be applied to unseen stimuli in novel displays, and is at least partly tailored to one’s own perceptual and cognitive machinery.</w:t>
      </w:r>
    </w:p>
    <w:bookmarkEnd w:id="69"/>
    <w:bookmarkStart w:id="70" w:name="Xee1004b65e704ae4a9ec78efb075eed8be26f81"/>
    <w:p>
      <w:pPr>
        <w:pStyle w:val="berschrift3"/>
      </w:pPr>
      <w:r>
        <w:t xml:space="preserve">What is the structure of internal models of visual search?.</w:t>
      </w:r>
    </w:p>
    <w:p>
      <w:pPr>
        <w:pStyle w:val="FirstParagraph"/>
      </w:pPr>
      <w:r>
        <w:t xml:space="preserve">Across five experiments, we observed the following patterns in prospective search time estimates: First, estimates correlated with search times (Exp. 1-5). Second, estimates reflected knowledge of the set-size effect (Exp. 1, 2, 5), and were biased to assume a set-size effect even in searches that are in fact parallel (Exp. 1, 2). Third, estimates were sensitive to the relative efficiency of different searches (Exp. 1-5), even for complex, unfamiliar stimuli (Exp. 3, 4). Lastly, estimates were sensitive to the assignment of stimuli to target and distractor roles (Exp. 4, 5), but did not show reliable search asymmetries for basic visual features (Exp. 5). In this last section, we speculate about one possible specification of internal models of visual search that can account for these patterns. Importantly, the following is not meant to account for visual search behaviour, but for people’s intuitions about visual search.</w:t>
      </w:r>
    </w:p>
    <w:p>
      <w:pPr>
        <w:pStyle w:val="Textkrper"/>
      </w:pPr>
      <w:r>
        <w:t xml:space="preserve">According to this speculative model, subjects represent visual search as a serial search among items, where the dwelling time on each item before moving to the next one is a function of the perceived similarity between the distractor set and the target. As a result, set size will always have an effect on search time (that is, all searches are serial), but the effect of set size will be modulated by the similarity to the target, with steeper set size effects for more similar distractors. This model accounts for the set-size effect and its over-generalization to color search, for the ability to represent a graded notion of search efficiency, and, when considering that similarity is not always symmetric (such that the similarity between items A and B may be higher than the similarity between B and A), it also accounts for the sensitivity of estimates to the assignment of stimuli to target and distractor roles.</w:t>
      </w:r>
    </w:p>
    <w:p>
      <w:pPr>
        <w:pStyle w:val="Textkrper"/>
      </w:pPr>
      <w:r>
        <w:t xml:space="preserve">This hypothetical model of people’s intuitions about visual search is different from both Feature Integration Theory and Guided Search models in that it has no pre-attentive components. Items are randomly selected in no particular order, and the only thing that changes between easier and harder searches is the dwelling time on individual items, before abandoning them and selecting the next items to be scanned. Without a bottom-up activation of</w:t>
      </w:r>
      <w:r>
        <w:t xml:space="preserve"> </w:t>
      </w:r>
      <w:r>
        <w:t xml:space="preserve">‘</w:t>
      </w:r>
      <w:r>
        <w:t xml:space="preserve">feature maps</w:t>
      </w:r>
      <w:r>
        <w:t xml:space="preserve">’</w:t>
      </w:r>
      <w:r>
        <w:t xml:space="preserve">, or effortless processing of guiding signals, this model echos early theories of vision as a sense that operates more like touch than like hearing, by sending out sensors to explore the environment</w:t>
      </w:r>
      <w:r>
        <w:t xml:space="preserve"> </w:t>
      </w:r>
      <w:r>
        <w:t xml:space="preserve">(for a review, see Dedes, 2005)</w:t>
      </w:r>
      <w:r>
        <w:t xml:space="preserve">. The immediate pop-out of color cannot take place in a model that requires subjects to voluntarily attend to individual items in order to perceive them.</w:t>
      </w:r>
    </w:p>
    <w:p>
      <w:pPr>
        <w:pStyle w:val="Textkrper"/>
      </w:pPr>
      <w:r>
        <w:t xml:space="preserve">In its item-based, basic form, our speculative dwelling-based model predicts that search slopes are a function of the similarity between individual distractors and the target. As such, mixing different types of distractors within the same search array should result in intermediate search slopes, a weighted average of the slopes obtained for individual distractor classes. For example, if participants in Exp. 1 believed that the search slope for color is 18 ms/item, and for shape it is 26 ms/item, the estimated search slope for shape-color conjunction search must, according to this model, be somewhere between 18 and 26 ms/item, and by no means higher than both. Instead, in both Experiments 1 and 2 conjunction search slopes were numerically higher than search slopes for their constituent features, indicating that internal models of visual search are sensitive to global properties of the display, and not only to properties of individual objects. One mechanism by which subjects may believe that global properties of the search array affect search time is via sequential interactions, such that processing an item is faster after the processing of similar, or identical, distractors. More work is needed to directly test this idea, and to test whether this proposed model captures subjects’ intuitions about visual search more generally.</w:t>
      </w:r>
    </w:p>
    <w:p>
      <w:pPr>
        <w:pStyle w:val="Textkrper"/>
      </w:pPr>
      <w:r>
        <w:t xml:space="preserve">Finally, it remains an open question whether people’s internal models of visual search are represented as an approximate probabilistic model or alternatively as a list of rules. For example, an alternative description of the above model is captured by three simple rules: people believe that searches are harder when 1) there are many distractors, 2) the distractors are similar to the target, and 3) the distractors are different from each other. A list of rules may be easier for subjects to represent than a probabilistic model, but this comes at the expense of being less flexible in predicting search times in unfamiliar settings. We leave it for future work to answer this important question.</w:t>
      </w:r>
    </w:p>
    <w:bookmarkEnd w:id="70"/>
    <w:bookmarkStart w:id="71" w:name="conclusion"/>
    <w:p>
      <w:pPr>
        <w:pStyle w:val="berschrift3"/>
      </w:pPr>
      <w:r>
        <w:t xml:space="preserve">Conclusion.</w:t>
      </w:r>
    </w:p>
    <w:p>
      <w:pPr>
        <w:pStyle w:val="FirstParagraph"/>
      </w:pPr>
      <w:r>
        <w:t xml:space="preserve">Together, our results reveal an alignment between prospective search time estimates and search times. We find that search difficulty is represented along a gradient, and is not person-invariant. Our results also reveal important limitations on subject’s ability to predict their visual search behaviour; most notably, we find that subjects have no metacognitive access to pre-attentive stages of visual search. Our findings place a lower bound on the richness and complexity of subjects’ internal model of visual search and attention more generally, opening a promising avenue for studying humans’ intuitive understanding of their own mental processes.</w:t>
      </w:r>
    </w:p>
    <w:p>
      <w:r>
        <w:br w:type="page"/>
      </w:r>
    </w:p>
    <w:bookmarkEnd w:id="71"/>
    <w:bookmarkEnd w:id="72"/>
    <w:bookmarkEnd w:id="73"/>
    <w:bookmarkStart w:id="116" w:name="references"/>
    <w:p>
      <w:pPr>
        <w:pStyle w:val="berschrift1"/>
      </w:pPr>
      <w:r>
        <w:t xml:space="preserve">References</w:t>
      </w:r>
    </w:p>
    <w:bookmarkStart w:id="115" w:name="refs"/>
    <w:bookmarkStart w:id="74" w:name="ref-adams2020assessing"/>
    <w:p>
      <w:pPr>
        <w:pStyle w:val="Literaturverzeichnis"/>
      </w:pPr>
      <w:r>
        <w:t xml:space="preserve">Adams, O. J., &amp; Gaspelin, N. (2020). Assessing introspective awareness of attention capture.</w:t>
      </w:r>
      <w:r>
        <w:t xml:space="preserve"> </w:t>
      </w:r>
      <w:r>
        <w:rPr>
          <w:iCs/>
          <w:i/>
        </w:rPr>
        <w:t xml:space="preserve">Attention, Perception, &amp; Psychophysics</w:t>
      </w:r>
      <w:r>
        <w:t xml:space="preserve">, 1–13.</w:t>
      </w:r>
    </w:p>
    <w:bookmarkEnd w:id="74"/>
    <w:bookmarkStart w:id="75" w:name="ref-adams2021introspective"/>
    <w:p>
      <w:pPr>
        <w:pStyle w:val="Literaturverzeichnis"/>
      </w:pPr>
      <w:r>
        <w:t xml:space="preserve">Adams, O. J., &amp; Gaspelin, N. (2021). Introspective awareness of oculomotor attentional capture.</w:t>
      </w:r>
      <w:r>
        <w:t xml:space="preserve"> </w:t>
      </w:r>
      <w:r>
        <w:rPr>
          <w:iCs/>
          <w:i/>
        </w:rPr>
        <w:t xml:space="preserve">Journal of Experimental Psychology: Human Perception and Performance</w:t>
      </w:r>
      <w:r>
        <w:t xml:space="preserve">.</w:t>
      </w:r>
    </w:p>
    <w:bookmarkEnd w:id="75"/>
    <w:bookmarkStart w:id="76" w:name="ref-baker2011bayesian"/>
    <w:p>
      <w:pPr>
        <w:pStyle w:val="Literaturverzeichnis"/>
      </w:pPr>
      <w:r>
        <w:t xml:space="preserve">Baker, C., Saxe, R., &amp; Tenenbaum, J. (2011). Bayesian theory of mind: Modeling joint belief-desire attribution.</w:t>
      </w:r>
      <w:r>
        <w:t xml:space="preserve"> </w:t>
      </w:r>
      <w:r>
        <w:rPr>
          <w:iCs/>
          <w:i/>
        </w:rPr>
        <w:t xml:space="preserve">Proceedings of the Annual Meeting of the Cognitive Science Society</w:t>
      </w:r>
      <w:r>
        <w:t xml:space="preserve">,</w:t>
      </w:r>
      <w:r>
        <w:t xml:space="preserve"> </w:t>
      </w:r>
      <w:r>
        <w:rPr>
          <w:iCs/>
          <w:i/>
        </w:rPr>
        <w:t xml:space="preserve">33</w:t>
      </w:r>
      <w:r>
        <w:t xml:space="preserve">.</w:t>
      </w:r>
    </w:p>
    <w:bookmarkEnd w:id="76"/>
    <w:bookmarkStart w:id="77" w:name="ref-battaglia2013simulation"/>
    <w:p>
      <w:pPr>
        <w:pStyle w:val="Literaturverzeichnis"/>
      </w:pPr>
      <w:r>
        <w:t xml:space="preserve">Battaglia, P. W., Hamrick, J. B., &amp; Tenenbaum, J. B. (2013). Simulation as an engine of physical scene understanding.</w:t>
      </w:r>
      <w:r>
        <w:t xml:space="preserve"> </w:t>
      </w:r>
      <w:r>
        <w:rPr>
          <w:iCs/>
          <w:i/>
        </w:rPr>
        <w:t xml:space="preserve">Proceedings of the National Academy of Sciences</w:t>
      </w:r>
      <w:r>
        <w:t xml:space="preserve">,</w:t>
      </w:r>
      <w:r>
        <w:t xml:space="preserve"> </w:t>
      </w:r>
      <w:r>
        <w:rPr>
          <w:iCs/>
          <w:i/>
        </w:rPr>
        <w:t xml:space="preserve">110</w:t>
      </w:r>
      <w:r>
        <w:t xml:space="preserve">(45), 18327–18332.</w:t>
      </w:r>
    </w:p>
    <w:bookmarkEnd w:id="77"/>
    <w:bookmarkStart w:id="78" w:name="ref-blakemore1998central"/>
    <w:p>
      <w:pPr>
        <w:pStyle w:val="Literaturverzeichnis"/>
      </w:pPr>
      <w:r>
        <w:t xml:space="preserve">Blakemore, S.-J., Wolpert, D. M., &amp; Frith, C. D. (1998). Central cancellation of self-produced tickle sensation.</w:t>
      </w:r>
      <w:r>
        <w:t xml:space="preserve"> </w:t>
      </w:r>
      <w:r>
        <w:rPr>
          <w:iCs/>
          <w:i/>
        </w:rPr>
        <w:t xml:space="preserve">Nature Neuroscience</w:t>
      </w:r>
      <w:r>
        <w:t xml:space="preserve">,</w:t>
      </w:r>
      <w:r>
        <w:t xml:space="preserve"> </w:t>
      </w:r>
      <w:r>
        <w:rPr>
          <w:iCs/>
          <w:i/>
        </w:rPr>
        <w:t xml:space="preserve">1</w:t>
      </w:r>
      <w:r>
        <w:t xml:space="preserve">(7), 635–640.</w:t>
      </w:r>
    </w:p>
    <w:bookmarkEnd w:id="78"/>
    <w:bookmarkStart w:id="79" w:name="ref-bonawitz2019sticking"/>
    <w:p>
      <w:pPr>
        <w:pStyle w:val="Literaturverzeichnis"/>
      </w:pPr>
      <w:r>
        <w:t xml:space="preserve">Bonawitz, E., Ullman, T. D., Bridgers, S., Gopnik, A., &amp; Tenenbaum, J. B. (2019). Sticking to the evidence? A behavioral and computational case study of micro-theory change in the domain of magnetism.</w:t>
      </w:r>
      <w:r>
        <w:t xml:space="preserve"> </w:t>
      </w:r>
      <w:r>
        <w:rPr>
          <w:iCs/>
          <w:i/>
        </w:rPr>
        <w:t xml:space="preserve">Cognitive Science</w:t>
      </w:r>
      <w:r>
        <w:t xml:space="preserve">,</w:t>
      </w:r>
      <w:r>
        <w:t xml:space="preserve"> </w:t>
      </w:r>
      <w:r>
        <w:rPr>
          <w:iCs/>
          <w:i/>
        </w:rPr>
        <w:t xml:space="preserve">43</w:t>
      </w:r>
      <w:r>
        <w:t xml:space="preserve">(8), e12765.</w:t>
      </w:r>
    </w:p>
    <w:bookmarkEnd w:id="79"/>
    <w:bookmarkStart w:id="80" w:name="ref-brown1977memorability"/>
    <w:p>
      <w:pPr>
        <w:pStyle w:val="Literaturverzeichnis"/>
      </w:pPr>
      <w:r>
        <w:t xml:space="preserve">Brown, J., Lewis, V., &amp; Monk, A. (1977). Memorability, word frequency and negative recognition.</w:t>
      </w:r>
      <w:r>
        <w:t xml:space="preserve"> </w:t>
      </w:r>
      <w:r>
        <w:rPr>
          <w:iCs/>
          <w:i/>
        </w:rPr>
        <w:t xml:space="preserve">The Quarterly Journal of Experimental Psychology</w:t>
      </w:r>
      <w:r>
        <w:t xml:space="preserve">,</w:t>
      </w:r>
      <w:r>
        <w:t xml:space="preserve"> </w:t>
      </w:r>
      <w:r>
        <w:rPr>
          <w:iCs/>
          <w:i/>
        </w:rPr>
        <w:t xml:space="preserve">29</w:t>
      </w:r>
      <w:r>
        <w:t xml:space="preserve">(3), 461–473.</w:t>
      </w:r>
    </w:p>
    <w:bookmarkEnd w:id="80"/>
    <w:bookmarkStart w:id="81" w:name="ref-dedes2005mechanism"/>
    <w:p>
      <w:pPr>
        <w:pStyle w:val="Literaturverzeichnis"/>
      </w:pPr>
      <w:r>
        <w:t xml:space="preserve">Dedes, C. (2005). The mechanism of vision: Conceptual similarities between historical models and children’s representations.</w:t>
      </w:r>
      <w:r>
        <w:t xml:space="preserve"> </w:t>
      </w:r>
      <w:r>
        <w:rPr>
          <w:iCs/>
          <w:i/>
        </w:rPr>
        <w:t xml:space="preserve">Science &amp; Education</w:t>
      </w:r>
      <w:r>
        <w:t xml:space="preserve">,</w:t>
      </w:r>
      <w:r>
        <w:t xml:space="preserve"> </w:t>
      </w:r>
      <w:r>
        <w:rPr>
          <w:iCs/>
          <w:i/>
        </w:rPr>
        <w:t xml:space="preserve">14</w:t>
      </w:r>
      <w:r>
        <w:t xml:space="preserve">(7), 699–712.</w:t>
      </w:r>
    </w:p>
    <w:bookmarkEnd w:id="81"/>
    <w:bookmarkStart w:id="82" w:name="ref-forrester1971counterintuitive"/>
    <w:p>
      <w:pPr>
        <w:pStyle w:val="Literaturverzeichnis"/>
      </w:pPr>
      <w:r>
        <w:t xml:space="preserve">Forrester, J. W. (1971). Counterintuitive behavior of social systems.</w:t>
      </w:r>
      <w:r>
        <w:t xml:space="preserve"> </w:t>
      </w:r>
      <w:r>
        <w:rPr>
          <w:iCs/>
          <w:i/>
        </w:rPr>
        <w:t xml:space="preserve">Theory and Decision</w:t>
      </w:r>
      <w:r>
        <w:t xml:space="preserve">,</w:t>
      </w:r>
      <w:r>
        <w:t xml:space="preserve"> </w:t>
      </w:r>
      <w:r>
        <w:rPr>
          <w:iCs/>
          <w:i/>
        </w:rPr>
        <w:t xml:space="preserve">2</w:t>
      </w:r>
      <w:r>
        <w:t xml:space="preserve">(2), 109–140.</w:t>
      </w:r>
    </w:p>
    <w:bookmarkEnd w:id="82"/>
    <w:bookmarkStart w:id="83" w:name="ref-friston2010free"/>
    <w:p>
      <w:pPr>
        <w:pStyle w:val="Literaturverzeichnis"/>
      </w:pPr>
      <w:r>
        <w:t xml:space="preserve">Friston, K. (2010). The free-energy principle: A unified brain theory?</w:t>
      </w:r>
      <w:r>
        <w:t xml:space="preserve"> </w:t>
      </w:r>
      <w:r>
        <w:rPr>
          <w:iCs/>
          <w:i/>
        </w:rPr>
        <w:t xml:space="preserve">Nature Reviews Neuroscience</w:t>
      </w:r>
      <w:r>
        <w:t xml:space="preserve">,</w:t>
      </w:r>
      <w:r>
        <w:t xml:space="preserve"> </w:t>
      </w:r>
      <w:r>
        <w:rPr>
          <w:iCs/>
          <w:i/>
        </w:rPr>
        <w:t xml:space="preserve">11</w:t>
      </w:r>
      <w:r>
        <w:t xml:space="preserve">(2), 127–138.</w:t>
      </w:r>
    </w:p>
    <w:bookmarkEnd w:id="83"/>
    <w:bookmarkStart w:id="84" w:name="ref-gerstenberg2017intuitive"/>
    <w:p>
      <w:pPr>
        <w:pStyle w:val="Literaturverzeichnis"/>
      </w:pPr>
      <w:r>
        <w:t xml:space="preserve">Gerstenberg, T., &amp; Tenenbaum, J. B. (2017). Intuitive theories.</w:t>
      </w:r>
      <w:r>
        <w:t xml:space="preserve"> </w:t>
      </w:r>
      <w:r>
        <w:rPr>
          <w:iCs/>
          <w:i/>
        </w:rPr>
        <w:t xml:space="preserve">Oxford Handbook of Causal Reasoning</w:t>
      </w:r>
      <w:r>
        <w:t xml:space="preserve">, 515–548.</w:t>
      </w:r>
    </w:p>
    <w:bookmarkEnd w:id="84"/>
    <w:bookmarkStart w:id="85" w:name="ref-gopnik1997words"/>
    <w:p>
      <w:pPr>
        <w:pStyle w:val="Literaturverzeichnis"/>
      </w:pPr>
      <w:r>
        <w:t xml:space="preserve">Gopnik, A., &amp; Meltzoff, A. N. (1997).</w:t>
      </w:r>
      <w:r>
        <w:t xml:space="preserve"> </w:t>
      </w:r>
      <w:r>
        <w:rPr>
          <w:iCs/>
          <w:i/>
        </w:rPr>
        <w:t xml:space="preserve">Words, thoughts, and theories</w:t>
      </w:r>
      <w:r>
        <w:t xml:space="preserve">. Mit Press.</w:t>
      </w:r>
    </w:p>
    <w:bookmarkEnd w:id="85"/>
    <w:bookmarkStart w:id="86" w:name="ref-graziano2013consciousness"/>
    <w:p>
      <w:pPr>
        <w:pStyle w:val="Literaturverzeichnis"/>
      </w:pPr>
      <w:r>
        <w:t xml:space="preserve">Graziano, M. S. (2013).</w:t>
      </w:r>
      <w:r>
        <w:t xml:space="preserve"> </w:t>
      </w:r>
      <w:r>
        <w:rPr>
          <w:iCs/>
          <w:i/>
        </w:rPr>
        <w:t xml:space="preserve">Consciousness and the social brain</w:t>
      </w:r>
      <w:r>
        <w:t xml:space="preserve">. Oxford University Press.</w:t>
      </w:r>
    </w:p>
    <w:bookmarkEnd w:id="86"/>
    <w:bookmarkStart w:id="87" w:name="ref-graziano2015attention"/>
    <w:p>
      <w:pPr>
        <w:pStyle w:val="Literaturverzeichnis"/>
      </w:pPr>
      <w:r>
        <w:t xml:space="preserve">Graziano, M. S., &amp; Webb, T. W. (2015). The attention schema theory: A mechanistic account of subjective awareness.</w:t>
      </w:r>
      <w:r>
        <w:t xml:space="preserve"> </w:t>
      </w:r>
      <w:r>
        <w:rPr>
          <w:iCs/>
          <w:i/>
        </w:rPr>
        <w:t xml:space="preserve">Frontiers in Psychology</w:t>
      </w:r>
      <w:r>
        <w:t xml:space="preserve">,</w:t>
      </w:r>
      <w:r>
        <w:t xml:space="preserve"> </w:t>
      </w:r>
      <w:r>
        <w:rPr>
          <w:iCs/>
          <w:i/>
        </w:rPr>
        <w:t xml:space="preserve">6</w:t>
      </w:r>
      <w:r>
        <w:t xml:space="preserve">, 500.</w:t>
      </w:r>
    </w:p>
    <w:bookmarkEnd w:id="87"/>
    <w:bookmarkStart w:id="88" w:name="ref-henninger2019lab"/>
    <w:p>
      <w:pPr>
        <w:pStyle w:val="Literaturverzeichnis"/>
      </w:pPr>
      <w:r>
        <w:t xml:space="preserve">Henninger, F., Shevchenko, Y., Mertens, U., Kieslich, P. J., &amp; Hilbig, B. E. (2019).</w:t>
      </w:r>
      <w:r>
        <w:t xml:space="preserve"> </w:t>
      </w:r>
      <w:r>
        <w:rPr>
          <w:iCs/>
          <w:i/>
        </w:rPr>
        <w:t xml:space="preserve">Lab. Js: A free, open, online study builder</w:t>
      </w:r>
      <w:r>
        <w:t xml:space="preserve">.</w:t>
      </w:r>
    </w:p>
    <w:bookmarkEnd w:id="88"/>
    <w:bookmarkStart w:id="89" w:name="ref-jara2021social"/>
    <w:p>
      <w:pPr>
        <w:pStyle w:val="Literaturverzeichnis"/>
      </w:pPr>
      <w:r>
        <w:t xml:space="preserve">Jara-Ettinger, J., &amp; Rubio-Fernandez, P. (2021). The social basis of referential communication: Speakers construct physical reference based on listeners’ expected visual search.</w:t>
      </w:r>
      <w:r>
        <w:t xml:space="preserve"> </w:t>
      </w:r>
      <w:r>
        <w:rPr>
          <w:iCs/>
          <w:i/>
        </w:rPr>
        <w:t xml:space="preserve">Psychological Review</w:t>
      </w:r>
      <w:r>
        <w:t xml:space="preserve">.</w:t>
      </w:r>
    </w:p>
    <w:bookmarkEnd w:id="89"/>
    <w:bookmarkStart w:id="90" w:name="ref-lake2011one"/>
    <w:p>
      <w:pPr>
        <w:pStyle w:val="Literaturverzeichnis"/>
      </w:pPr>
      <w:r>
        <w:t xml:space="preserve">Lake, B., Salakhutdinov, R., Gross, J., &amp; Tenenbaum, J. (2011). One shot learning of simple visual concepts.</w:t>
      </w:r>
      <w:r>
        <w:t xml:space="preserve"> </w:t>
      </w:r>
      <w:r>
        <w:rPr>
          <w:iCs/>
          <w:i/>
        </w:rPr>
        <w:t xml:space="preserve">Proceedings of the Annual Meeting of the Cognitive Science Society</w:t>
      </w:r>
      <w:r>
        <w:t xml:space="preserve">,</w:t>
      </w:r>
      <w:r>
        <w:t xml:space="preserve"> </w:t>
      </w:r>
      <w:r>
        <w:rPr>
          <w:iCs/>
          <w:i/>
        </w:rPr>
        <w:t xml:space="preserve">33</w:t>
      </w:r>
      <w:r>
        <w:t xml:space="preserve">.</w:t>
      </w:r>
    </w:p>
    <w:bookmarkEnd w:id="90"/>
    <w:bookmarkStart w:id="91" w:name="ref-lange2015just"/>
    <w:p>
      <w:pPr>
        <w:pStyle w:val="Literaturverzeichnis"/>
      </w:pPr>
      <w:r>
        <w:t xml:space="preserve">Lange, K., Kühn, S., &amp; Filevich, E. (2015). " just another tool for online studies”(JATOS):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w:t>
      </w:r>
    </w:p>
    <w:bookmarkEnd w:id="91"/>
    <w:bookmarkStart w:id="92" w:name="ref-levin2008visual"/>
    <w:p>
      <w:pPr>
        <w:pStyle w:val="Literaturverzeichnis"/>
      </w:pPr>
      <w:r>
        <w:t xml:space="preserve">Levin, D. T., &amp; Angelone, B. L. (2008). The visual metacognition questionnaire: A measure of intuitions about vision.</w:t>
      </w:r>
      <w:r>
        <w:t xml:space="preserve"> </w:t>
      </w:r>
      <w:r>
        <w:rPr>
          <w:iCs/>
          <w:i/>
        </w:rPr>
        <w:t xml:space="preserve">The American Journal of Psychology</w:t>
      </w:r>
      <w:r>
        <w:t xml:space="preserve">, 451–472.</w:t>
      </w:r>
    </w:p>
    <w:bookmarkEnd w:id="92"/>
    <w:bookmarkStart w:id="93" w:name="ref-malinowski2001effect"/>
    <w:p>
      <w:pPr>
        <w:pStyle w:val="Literaturverzeichnis"/>
      </w:pPr>
      <w:r>
        <w:t xml:space="preserve">Malinowski, P., &amp; Hübner, R. (2001). The effect of familiarity on visual-search performance: Evidence for learned basic features.</w:t>
      </w:r>
      <w:r>
        <w:t xml:space="preserve"> </w:t>
      </w:r>
      <w:r>
        <w:rPr>
          <w:iCs/>
          <w:i/>
        </w:rPr>
        <w:t xml:space="preserve">Perception &amp; Psychophysics</w:t>
      </w:r>
      <w:r>
        <w:t xml:space="preserve">,</w:t>
      </w:r>
      <w:r>
        <w:t xml:space="preserve"> </w:t>
      </w:r>
      <w:r>
        <w:rPr>
          <w:iCs/>
          <w:i/>
        </w:rPr>
        <w:t xml:space="preserve">63</w:t>
      </w:r>
      <w:r>
        <w:t xml:space="preserve">(3), 458–463.</w:t>
      </w:r>
    </w:p>
    <w:bookmarkEnd w:id="93"/>
    <w:bookmarkStart w:id="94" w:name="ref-mazorinference"/>
    <w:p>
      <w:pPr>
        <w:pStyle w:val="Literaturverzeichnis"/>
      </w:pPr>
      <w:r>
        <w:t xml:space="preserve">Mazor, M. (2021).</w:t>
      </w:r>
      <w:r>
        <w:t xml:space="preserve"> </w:t>
      </w:r>
      <w:r>
        <w:rPr>
          <w:iCs/>
          <w:i/>
        </w:rPr>
        <w:t xml:space="preserve">Inference about absence as a window into the mental self-model</w:t>
      </w:r>
      <w:r>
        <w:t xml:space="preserve">.</w:t>
      </w:r>
    </w:p>
    <w:bookmarkEnd w:id="94"/>
    <w:bookmarkStart w:id="95" w:name="ref-mazor2022efficient"/>
    <w:p>
      <w:pPr>
        <w:pStyle w:val="Literaturverzeichnis"/>
      </w:pPr>
      <w:r>
        <w:t xml:space="preserve">Mazor, M., &amp; Fleming, S. M. (2022). Efficient search termination without task experience.</w:t>
      </w:r>
      <w:r>
        <w:t xml:space="preserve"> </w:t>
      </w:r>
      <w:r>
        <w:rPr>
          <w:iCs/>
          <w:i/>
        </w:rPr>
        <w:t xml:space="preserve">Journal of Experimental Psychology: General</w:t>
      </w:r>
      <w:r>
        <w:t xml:space="preserve">.</w:t>
      </w:r>
    </w:p>
    <w:bookmarkEnd w:id="95"/>
    <w:bookmarkStart w:id="96" w:name="ref-metzinger2003phenomenal"/>
    <w:p>
      <w:pPr>
        <w:pStyle w:val="Literaturverzeichnis"/>
      </w:pPr>
      <w:r>
        <w:t xml:space="preserve">Metzinger, T. (2003). Phenomenal transparency and cognitive self-reference.</w:t>
      </w:r>
      <w:r>
        <w:t xml:space="preserve"> </w:t>
      </w:r>
      <w:r>
        <w:rPr>
          <w:iCs/>
          <w:i/>
        </w:rPr>
        <w:t xml:space="preserve">Phenomenology and the Cognitive Sciences</w:t>
      </w:r>
      <w:r>
        <w:t xml:space="preserve">,</w:t>
      </w:r>
      <w:r>
        <w:t xml:space="preserve"> </w:t>
      </w:r>
      <w:r>
        <w:rPr>
          <w:iCs/>
          <w:i/>
        </w:rPr>
        <w:t xml:space="preserve">2</w:t>
      </w:r>
      <w:r>
        <w:t xml:space="preserve">(4), 353–393.</w:t>
      </w:r>
    </w:p>
    <w:bookmarkEnd w:id="96"/>
    <w:bookmarkStart w:id="97" w:name="ref-miller1977children"/>
    <w:p>
      <w:pPr>
        <w:pStyle w:val="Literaturverzeichnis"/>
      </w:pPr>
      <w:r>
        <w:t xml:space="preserve">Miller, P. H., &amp; Bigi, L. (1977). Children’s understanding of how stimulus dimensions affect performance.</w:t>
      </w:r>
      <w:r>
        <w:t xml:space="preserve"> </w:t>
      </w:r>
      <w:r>
        <w:rPr>
          <w:iCs/>
          <w:i/>
        </w:rPr>
        <w:t xml:space="preserve">Child Development</w:t>
      </w:r>
      <w:r>
        <w:t xml:space="preserve">, 1712–1715.</w:t>
      </w:r>
    </w:p>
    <w:bookmarkEnd w:id="97"/>
    <w:bookmarkStart w:id="98" w:name="ref-shen2001visual"/>
    <w:p>
      <w:pPr>
        <w:pStyle w:val="Literaturverzeichnis"/>
      </w:pPr>
      <w:r>
        <w:t xml:space="preserve">Shen, J., &amp; Reingold, E. M. (2001). Visual search asymmetry: The influence of stimulus familiarity and low-level features.</w:t>
      </w:r>
      <w:r>
        <w:t xml:space="preserve"> </w:t>
      </w:r>
      <w:r>
        <w:rPr>
          <w:iCs/>
          <w:i/>
        </w:rPr>
        <w:t xml:space="preserve">Perception &amp; Psychophysics</w:t>
      </w:r>
      <w:r>
        <w:t xml:space="preserve">,</w:t>
      </w:r>
      <w:r>
        <w:t xml:space="preserve"> </w:t>
      </w:r>
      <w:r>
        <w:rPr>
          <w:iCs/>
          <w:i/>
        </w:rPr>
        <w:t xml:space="preserve">63</w:t>
      </w:r>
      <w:r>
        <w:t xml:space="preserve">(3), 464–475.</w:t>
      </w:r>
    </w:p>
    <w:bookmarkEnd w:id="98"/>
    <w:bookmarkStart w:id="99" w:name="ref-shepard1971mental"/>
    <w:p>
      <w:pPr>
        <w:pStyle w:val="Literaturverzeichnis"/>
      </w:pPr>
      <w:r>
        <w:t xml:space="preserve">Shepard, R. N., &amp; Metzler, J. (1971). Mental rotation of three-dimensional objects.</w:t>
      </w:r>
      <w:r>
        <w:t xml:space="preserve"> </w:t>
      </w:r>
      <w:r>
        <w:rPr>
          <w:iCs/>
          <w:i/>
        </w:rPr>
        <w:t xml:space="preserve">Science</w:t>
      </w:r>
      <w:r>
        <w:t xml:space="preserve">,</w:t>
      </w:r>
      <w:r>
        <w:t xml:space="preserve"> </w:t>
      </w:r>
      <w:r>
        <w:rPr>
          <w:iCs/>
          <w:i/>
        </w:rPr>
        <w:t xml:space="preserve">171</w:t>
      </w:r>
      <w:r>
        <w:t xml:space="preserve">(3972), 701–703.</w:t>
      </w:r>
    </w:p>
    <w:bookmarkEnd w:id="99"/>
    <w:bookmarkStart w:id="100" w:name="ref-siegel2021children"/>
    <w:p>
      <w:pPr>
        <w:pStyle w:val="Literaturverzeichnis"/>
      </w:pPr>
      <w:r>
        <w:t xml:space="preserve">Siegel, M. H., Magid, R. W., Pelz, M., Tenenbaum, J. B., &amp; Schulz, L. E. (2021). Children’s exploratory play tracks the discriminability of hypotheses.</w:t>
      </w:r>
      <w:r>
        <w:t xml:space="preserve"> </w:t>
      </w:r>
      <w:r>
        <w:rPr>
          <w:iCs/>
          <w:i/>
        </w:rPr>
        <w:t xml:space="preserve">Nature Communications</w:t>
      </w:r>
      <w:r>
        <w:t xml:space="preserve">,</w:t>
      </w:r>
      <w:r>
        <w:t xml:space="preserve"> </w:t>
      </w:r>
      <w:r>
        <w:rPr>
          <w:iCs/>
          <w:i/>
        </w:rPr>
        <w:t xml:space="preserve">12</w:t>
      </w:r>
      <w:r>
        <w:t xml:space="preserve">(1), 1–9.</w:t>
      </w:r>
    </w:p>
    <w:bookmarkEnd w:id="100"/>
    <w:bookmarkStart w:id="101" w:name="ref-smith2013sources"/>
    <w:p>
      <w:pPr>
        <w:pStyle w:val="Literaturverzeichnis"/>
      </w:pPr>
      <w:r>
        <w:t xml:space="preserve">Smith, K. A., &amp; Vul, E. (2013). Sources of uncertainty in intuitive physics.</w:t>
      </w:r>
      <w:r>
        <w:t xml:space="preserve"> </w:t>
      </w:r>
      <w:r>
        <w:rPr>
          <w:iCs/>
          <w:i/>
        </w:rPr>
        <w:t xml:space="preserve">Topics in Cognitive Science</w:t>
      </w:r>
      <w:r>
        <w:t xml:space="preserve">,</w:t>
      </w:r>
      <w:r>
        <w:t xml:space="preserve"> </w:t>
      </w:r>
      <w:r>
        <w:rPr>
          <w:iCs/>
          <w:i/>
        </w:rPr>
        <w:t xml:space="preserve">5</w:t>
      </w:r>
      <w:r>
        <w:t xml:space="preserve">(1), 185–199.</w:t>
      </w:r>
    </w:p>
    <w:bookmarkEnd w:id="101"/>
    <w:bookmarkStart w:id="102" w:name="ref-tenenbaum2011grow"/>
    <w:p>
      <w:pPr>
        <w:pStyle w:val="Literaturverzeichnis"/>
      </w:pPr>
      <w:r>
        <w:t xml:space="preserve">Tenenbaum, J. B., Kemp, C., Griffiths, T. L., &amp; Goodman, N. D. (2011). How to grow a mind: Statistics, structure, and abstraction.</w:t>
      </w:r>
      <w:r>
        <w:t xml:space="preserve"> </w:t>
      </w:r>
      <w:r>
        <w:rPr>
          <w:iCs/>
          <w:i/>
        </w:rPr>
        <w:t xml:space="preserve">Science</w:t>
      </w:r>
      <w:r>
        <w:t xml:space="preserve">,</w:t>
      </w:r>
      <w:r>
        <w:t xml:space="preserve"> </w:t>
      </w:r>
      <w:r>
        <w:rPr>
          <w:iCs/>
          <w:i/>
        </w:rPr>
        <w:t xml:space="preserve">331</w:t>
      </w:r>
      <w:r>
        <w:t xml:space="preserve">(6022), 1279–1285.</w:t>
      </w:r>
    </w:p>
    <w:bookmarkEnd w:id="102"/>
    <w:bookmarkStart w:id="103" w:name="ref-treisman1986features"/>
    <w:p>
      <w:pPr>
        <w:pStyle w:val="Literaturverzeichnis"/>
      </w:pPr>
      <w:r>
        <w:t xml:space="preserve">Treisman, A. (1986). Features and objects in visual processing.</w:t>
      </w:r>
      <w:r>
        <w:t xml:space="preserve"> </w:t>
      </w:r>
      <w:r>
        <w:rPr>
          <w:iCs/>
          <w:i/>
        </w:rPr>
        <w:t xml:space="preserve">Scientific American</w:t>
      </w:r>
      <w:r>
        <w:t xml:space="preserve">,</w:t>
      </w:r>
      <w:r>
        <w:t xml:space="preserve"> </w:t>
      </w:r>
      <w:r>
        <w:rPr>
          <w:iCs/>
          <w:i/>
        </w:rPr>
        <w:t xml:space="preserve">255</w:t>
      </w:r>
      <w:r>
        <w:t xml:space="preserve">(5), 114B–125.</w:t>
      </w:r>
    </w:p>
    <w:bookmarkEnd w:id="103"/>
    <w:bookmarkStart w:id="104" w:name="ref-treisman1988feature"/>
    <w:p>
      <w:pPr>
        <w:pStyle w:val="Literaturverzeichnis"/>
      </w:pPr>
      <w:r>
        <w:t xml:space="preserve">Treisman, A., &amp; Gormican, S. (1988). Feature analysis in early vision: Evidence from search asymmetries.</w:t>
      </w:r>
      <w:r>
        <w:t xml:space="preserve"> </w:t>
      </w:r>
      <w:r>
        <w:rPr>
          <w:iCs/>
          <w:i/>
        </w:rPr>
        <w:t xml:space="preserve">Psychological Review</w:t>
      </w:r>
      <w:r>
        <w:t xml:space="preserve">,</w:t>
      </w:r>
      <w:r>
        <w:t xml:space="preserve"> </w:t>
      </w:r>
      <w:r>
        <w:rPr>
          <w:iCs/>
          <w:i/>
        </w:rPr>
        <w:t xml:space="preserve">95</w:t>
      </w:r>
      <w:r>
        <w:t xml:space="preserve">(1), 15.</w:t>
      </w:r>
    </w:p>
    <w:bookmarkEnd w:id="104"/>
    <w:bookmarkStart w:id="105" w:name="ref-treisman1990conjunction"/>
    <w:p>
      <w:pPr>
        <w:pStyle w:val="Literaturverzeichnis"/>
      </w:pPr>
      <w:r>
        <w:t xml:space="preserve">Treisman, A., &amp; Sato, S. (1990). Conjunction search revisited.</w:t>
      </w:r>
      <w:r>
        <w:t xml:space="preserve"> </w:t>
      </w:r>
      <w:r>
        <w:rPr>
          <w:iCs/>
          <w:i/>
        </w:rPr>
        <w:t xml:space="preserve">Journal of Experimental Psychology: Human Perception and Performance</w:t>
      </w:r>
      <w:r>
        <w:t xml:space="preserve">,</w:t>
      </w:r>
      <w:r>
        <w:t xml:space="preserve"> </w:t>
      </w:r>
      <w:r>
        <w:rPr>
          <w:iCs/>
          <w:i/>
        </w:rPr>
        <w:t xml:space="preserve">16</w:t>
      </w:r>
      <w:r>
        <w:t xml:space="preserve">(3), 459.</w:t>
      </w:r>
    </w:p>
    <w:bookmarkEnd w:id="105"/>
    <w:bookmarkStart w:id="106" w:name="ref-treisman1985search"/>
    <w:p>
      <w:pPr>
        <w:pStyle w:val="Literaturverzeichnis"/>
      </w:pPr>
      <w:r>
        <w:t xml:space="preserve">Treisman, A., &amp; Souther, J. (1985). Search asymmetry: A diagnostic for preattentive processing of separable features.</w:t>
      </w:r>
      <w:r>
        <w:t xml:space="preserve"> </w:t>
      </w:r>
      <w:r>
        <w:rPr>
          <w:iCs/>
          <w:i/>
        </w:rPr>
        <w:t xml:space="preserve">Journal of Experimental Psychology: General</w:t>
      </w:r>
      <w:r>
        <w:t xml:space="preserve">,</w:t>
      </w:r>
      <w:r>
        <w:t xml:space="preserve"> </w:t>
      </w:r>
      <w:r>
        <w:rPr>
          <w:iCs/>
          <w:i/>
        </w:rPr>
        <w:t xml:space="preserve">114</w:t>
      </w:r>
      <w:r>
        <w:t xml:space="preserve">(3), 285.</w:t>
      </w:r>
    </w:p>
    <w:bookmarkEnd w:id="106"/>
    <w:bookmarkStart w:id="107" w:name="ref-tversky1977features"/>
    <w:p>
      <w:pPr>
        <w:pStyle w:val="Literaturverzeichnis"/>
      </w:pPr>
      <w:r>
        <w:t xml:space="preserve">Tversky, A. (1977). Features of similarity.</w:t>
      </w:r>
      <w:r>
        <w:t xml:space="preserve"> </w:t>
      </w:r>
      <w:r>
        <w:rPr>
          <w:iCs/>
          <w:i/>
        </w:rPr>
        <w:t xml:space="preserve">Psychological Review</w:t>
      </w:r>
      <w:r>
        <w:t xml:space="preserve">,</w:t>
      </w:r>
      <w:r>
        <w:t xml:space="preserve"> </w:t>
      </w:r>
      <w:r>
        <w:rPr>
          <w:iCs/>
          <w:i/>
        </w:rPr>
        <w:t xml:space="preserve">84</w:t>
      </w:r>
      <w:r>
        <w:t xml:space="preserve">(4), 327.</w:t>
      </w:r>
    </w:p>
    <w:bookmarkEnd w:id="107"/>
    <w:bookmarkStart w:id="108" w:name="ref-wilterson2020attention"/>
    <w:p>
      <w:pPr>
        <w:pStyle w:val="Literaturverzeichnis"/>
      </w:pPr>
      <w:r>
        <w:t xml:space="preserve">Wilterson, A. I., Kemper, C. M., Kim, N., Webb, T. W., Reblando, A. M., &amp; Graziano, M. S. (2020). Attention control and the attention schema theory of consciousness.</w:t>
      </w:r>
      <w:r>
        <w:t xml:space="preserve"> </w:t>
      </w:r>
      <w:r>
        <w:rPr>
          <w:iCs/>
          <w:i/>
        </w:rPr>
        <w:t xml:space="preserve">Progress in Neurobiology</w:t>
      </w:r>
      <w:r>
        <w:t xml:space="preserve">,</w:t>
      </w:r>
      <w:r>
        <w:t xml:space="preserve"> </w:t>
      </w:r>
      <w:r>
        <w:rPr>
          <w:iCs/>
          <w:i/>
        </w:rPr>
        <w:t xml:space="preserve">195</w:t>
      </w:r>
      <w:r>
        <w:t xml:space="preserve">, 101844.</w:t>
      </w:r>
    </w:p>
    <w:bookmarkEnd w:id="108"/>
    <w:bookmarkStart w:id="109" w:name="ref-wolfe1994guided"/>
    <w:p>
      <w:pPr>
        <w:pStyle w:val="Literaturverzeichnis"/>
      </w:pPr>
      <w:r>
        <w:t xml:space="preserve">Wolfe, J. M. (1994). Guided search 2.0 a revised model of visual search.</w:t>
      </w:r>
      <w:r>
        <w:t xml:space="preserve"> </w:t>
      </w:r>
      <w:r>
        <w:rPr>
          <w:iCs/>
          <w:i/>
        </w:rPr>
        <w:t xml:space="preserve">Psychonomic Bulletin &amp; Review</w:t>
      </w:r>
      <w:r>
        <w:t xml:space="preserve">,</w:t>
      </w:r>
      <w:r>
        <w:t xml:space="preserve"> </w:t>
      </w:r>
      <w:r>
        <w:rPr>
          <w:iCs/>
          <w:i/>
        </w:rPr>
        <w:t xml:space="preserve">1</w:t>
      </w:r>
      <w:r>
        <w:t xml:space="preserve">(2), 202–238.</w:t>
      </w:r>
    </w:p>
    <w:bookmarkEnd w:id="109"/>
    <w:bookmarkStart w:id="110" w:name="ref-wolfe1998can"/>
    <w:p>
      <w:pPr>
        <w:pStyle w:val="Literaturverzeichnis"/>
      </w:pPr>
      <w:r>
        <w:t xml:space="preserve">Wolfe, J. M. (1998). What can 1 million trials tell us about visual search?</w:t>
      </w:r>
      <w:r>
        <w:t xml:space="preserve"> </w:t>
      </w:r>
      <w:r>
        <w:rPr>
          <w:iCs/>
          <w:i/>
        </w:rPr>
        <w:t xml:space="preserve">Psychological Science</w:t>
      </w:r>
      <w:r>
        <w:t xml:space="preserve">,</w:t>
      </w:r>
      <w:r>
        <w:t xml:space="preserve"> </w:t>
      </w:r>
      <w:r>
        <w:rPr>
          <w:iCs/>
          <w:i/>
        </w:rPr>
        <w:t xml:space="preserve">9</w:t>
      </w:r>
      <w:r>
        <w:t xml:space="preserve">(1), 33–39.</w:t>
      </w:r>
    </w:p>
    <w:bookmarkEnd w:id="110"/>
    <w:bookmarkStart w:id="111" w:name="ref-wolfe2021guided"/>
    <w:p>
      <w:pPr>
        <w:pStyle w:val="Literaturverzeichnis"/>
      </w:pPr>
      <w:r>
        <w:t xml:space="preserve">Wolfe, J. M. (2021). Guided search 6.0: An updated model of visual search.</w:t>
      </w:r>
      <w:r>
        <w:t xml:space="preserve"> </w:t>
      </w:r>
      <w:r>
        <w:rPr>
          <w:iCs/>
          <w:i/>
        </w:rPr>
        <w:t xml:space="preserve">Psychonomic Bulletin &amp; Review</w:t>
      </w:r>
      <w:r>
        <w:t xml:space="preserve">, 1–33.</w:t>
      </w:r>
    </w:p>
    <w:bookmarkEnd w:id="111"/>
    <w:bookmarkStart w:id="112" w:name="ref-wolfe1989guided"/>
    <w:p>
      <w:pPr>
        <w:pStyle w:val="Literaturverzeichnis"/>
      </w:pPr>
      <w:r>
        <w:t xml:space="preserve">Wolfe, J. M., Cave, K. R., &amp; Franzel, S. L. (1989). Guided search: An alternative to the feature integration model for visual search.</w:t>
      </w:r>
      <w:r>
        <w:t xml:space="preserve"> </w:t>
      </w:r>
      <w:r>
        <w:rPr>
          <w:iCs/>
          <w:i/>
        </w:rPr>
        <w:t xml:space="preserve">Journal of Experimental Psychology: Human Perception and Performance</w:t>
      </w:r>
      <w:r>
        <w:t xml:space="preserve">,</w:t>
      </w:r>
      <w:r>
        <w:t xml:space="preserve"> </w:t>
      </w:r>
      <w:r>
        <w:rPr>
          <w:iCs/>
          <w:i/>
        </w:rPr>
        <w:t xml:space="preserve">15</w:t>
      </w:r>
      <w:r>
        <w:t xml:space="preserve">(3), 419.</w:t>
      </w:r>
    </w:p>
    <w:bookmarkEnd w:id="112"/>
    <w:bookmarkStart w:id="113" w:name="ref-wolpert1995internal"/>
    <w:p>
      <w:pPr>
        <w:pStyle w:val="Literaturverzeichnis"/>
      </w:pPr>
      <w:r>
        <w:t xml:space="preserve">Wolpert, D. M., Ghahramani, Z., &amp; Jordan, M. I. (1995). An internal model for sensorimotor integration.</w:t>
      </w:r>
      <w:r>
        <w:t xml:space="preserve"> </w:t>
      </w:r>
      <w:r>
        <w:rPr>
          <w:iCs/>
          <w:i/>
        </w:rPr>
        <w:t xml:space="preserve">Science</w:t>
      </w:r>
      <w:r>
        <w:t xml:space="preserve">,</w:t>
      </w:r>
      <w:r>
        <w:t xml:space="preserve"> </w:t>
      </w:r>
      <w:r>
        <w:rPr>
          <w:iCs/>
          <w:i/>
        </w:rPr>
        <w:t xml:space="preserve">269</w:t>
      </w:r>
      <w:r>
        <w:t xml:space="preserve">(5232), 1880–1882.</w:t>
      </w:r>
    </w:p>
    <w:bookmarkEnd w:id="113"/>
    <w:bookmarkStart w:id="114" w:name="ref-zhang2020visual"/>
    <w:p>
      <w:pPr>
        <w:pStyle w:val="Literaturverzeichnis"/>
      </w:pPr>
      <w:r>
        <w:t xml:space="preserve">Zhang, Y. R., &amp; Onyper, S. (2020). Visual search asymmetry depends on target-distractor feature similarity: Is the asymmetry simply a result of distractor rejection speed?</w:t>
      </w:r>
      <w:r>
        <w:t xml:space="preserve"> </w:t>
      </w:r>
      <w:r>
        <w:rPr>
          <w:iCs/>
          <w:i/>
        </w:rPr>
        <w:t xml:space="preserve">Attention, Perception, &amp; Psychophysics</w:t>
      </w:r>
      <w:r>
        <w:t xml:space="preserve">,</w:t>
      </w:r>
      <w:r>
        <w:t xml:space="preserve"> </w:t>
      </w:r>
      <w:r>
        <w:rPr>
          <w:iCs/>
          <w:i/>
        </w:rPr>
        <w:t xml:space="preserve">82</w:t>
      </w:r>
      <w:r>
        <w:t xml:space="preserve">(1), 80–97.</w:t>
      </w:r>
    </w:p>
    <w:bookmarkEnd w:id="114"/>
    <w:bookmarkEnd w:id="115"/>
    <w:p>
      <w:r>
        <w:br w:type="page"/>
      </w:r>
    </w:p>
    <w:bookmarkEnd w:id="116"/>
    <w:bookmarkStart w:id="117" w:name="appendix"/>
    <w:p>
      <w:pPr>
        <w:pStyle w:val="berschrift1"/>
      </w:pPr>
      <w:r>
        <w:t xml:space="preserve">Appendix</w:t>
      </w:r>
    </w:p>
    <w:bookmarkEnd w:id="117"/>
    <w:bookmarkStart w:id="121" w:name="App:bonus"/>
    <w:p>
      <w:pPr>
        <w:pStyle w:val="berschrift1"/>
      </w:pPr>
      <w:r>
        <w:t xml:space="preserve">Incentive structure</w:t>
      </w:r>
    </w:p>
    <w:p>
      <w:pPr>
        <w:pStyle w:val="FirstParagraph"/>
      </w:pPr>
      <w:r>
        <w:t xml:space="preserve">We assume that participants represent the distribution of response times conditional on a specific search array as a right-skewed, positive distribution. Here, we assume that internal distributions of response times abide by the rule that</w:t>
      </w:r>
    </w:p>
    <w:p>
      <w:pPr>
        <w:pStyle w:val="Textkrper"/>
      </w:pPr>
      <m:oMathPara>
        <m:oMathParaPr>
          <m:jc m:val="center"/>
        </m:oMathParaPr>
        <m:oMath>
          <m:m>
            <m:mPr>
              <m:baseJc m:val="center"/>
              <m:plcHide m:val="1"/>
              <m:mcs>
                <m:mc>
                  <m:mcPr>
                    <m:mcJc m:val="right"/>
                    <m:count m:val="1"/>
                  </m:mcPr>
                </m:mc>
              </m:mcs>
            </m:mPr>
            <m:mr>
              <m:e>
                <m:r>
                  <m:t>l</m:t>
                </m:r>
                <m:r>
                  <m:t>o</m:t>
                </m:r>
                <m:r>
                  <m:t>g</m:t>
                </m:r>
                <m:d>
                  <m:dPr>
                    <m:begChr m:val="("/>
                    <m:endChr m:val=")"/>
                    <m:sepChr m:val=""/>
                    <m:grow/>
                  </m:dPr>
                  <m:e>
                    <m:r>
                      <m:t>R</m:t>
                    </m:r>
                    <m:r>
                      <m:t>T</m:t>
                    </m:r>
                  </m:e>
                </m:d>
                <m:r>
                  <m:rPr>
                    <m:sty m:val="p"/>
                  </m:rPr>
                  <m:t>∼</m:t>
                </m:r>
                <m:r>
                  <m:t>N</m:t>
                </m:r>
                <m:d>
                  <m:dPr>
                    <m:begChr m:val="("/>
                    <m:endChr m:val=")"/>
                    <m:sepChr m:val=""/>
                    <m:grow/>
                  </m:dPr>
                  <m:e>
                    <m:r>
                      <m:t>μ</m:t>
                    </m:r>
                    <m:r>
                      <m:rPr>
                        <m:sty m:val="p"/>
                      </m:rPr>
                      <m:t>,</m:t>
                    </m:r>
                    <m:r>
                      <m:t>σ</m:t>
                    </m:r>
                  </m:e>
                </m:d>
              </m:e>
            </m:mr>
          </m:m>
        </m:oMath>
      </m:oMathPara>
    </w:p>
    <w:p>
      <w:pPr>
        <w:pStyle w:val="FirstParagraph"/>
      </w:pPr>
      <w:r>
        <w:t xml:space="preserve">where</w:t>
      </w:r>
      <w:r>
        <w:t xml:space="preserve"> </w:t>
      </w:r>
      <m:oMath>
        <m:r>
          <m:t>σ</m:t>
        </m:r>
      </m:oMath>
      <w:r>
        <w:t xml:space="preserve"> </w:t>
      </w:r>
      <w:r>
        <w:t xml:space="preserve">is fixed per participant, and</w:t>
      </w:r>
      <w:r>
        <w:t xml:space="preserve"> </w:t>
      </w:r>
      <m:oMath>
        <m:r>
          <m:t>μ</m:t>
        </m:r>
      </m:oMath>
      <w:r>
        <w:t xml:space="preserve"> </w:t>
      </w:r>
      <w:r>
        <w:t xml:space="preserve">varies as a function of search difficulty.</w:t>
      </w:r>
    </w:p>
    <w:p>
      <w:pPr>
        <w:pStyle w:val="Textkrper"/>
      </w:pPr>
      <w:r>
        <w:t xml:space="preserve">In the estimation part, participants produces an estimate</w:t>
      </w:r>
      <w:r>
        <w:t xml:space="preserve"> </w:t>
      </w:r>
      <m:oMath>
        <m:r>
          <m:t>x</m:t>
        </m:r>
      </m:oMath>
      <w:r>
        <w:t xml:space="preserve">. In case they responds as fast, or faster, than their original estimate, they get a bonus of</w:t>
      </w:r>
      <w:r>
        <w:t xml:space="preserve"> </w:t>
      </w:r>
      <m:oMath>
        <m:f>
          <m:fPr>
            <m:type m:val="bar"/>
          </m:fPr>
          <m:num>
            <m:r>
              <m:t>10</m:t>
            </m:r>
          </m:num>
          <m:den>
            <m:rad>
              <m:radPr>
                <m:degHide m:val="1"/>
              </m:radPr>
              <m:deg/>
              <m:e>
                <m:r>
                  <m:t>x</m:t>
                </m:r>
              </m:e>
            </m:rad>
          </m:den>
        </m:f>
        <m:r>
          <m:rPr>
            <m:sty m:val="p"/>
          </m:rPr>
          <m:t>=</m:t>
        </m:r>
        <m:r>
          <m:t>10</m:t>
        </m:r>
        <m:r>
          <m:rPr>
            <m:sty m:val="p"/>
          </m:rPr>
          <m:t>⋅</m:t>
        </m:r>
        <m:sSup>
          <m:e>
            <m:r>
              <m:t>x</m:t>
            </m:r>
          </m:e>
          <m:sup>
            <m:r>
              <m:t>1</m:t>
            </m:r>
            <m:r>
              <m:rPr>
                <m:sty m:val="p"/>
              </m:rPr>
              <m:t>/</m:t>
            </m:r>
            <m:r>
              <m:t>2</m:t>
            </m:r>
          </m:sup>
        </m:sSup>
      </m:oMath>
      <w:r>
        <w:t xml:space="preserve">. Since 10 is a constant, we ignore it in the following derivations. The expected bonus given for a trial is now:</w:t>
      </w:r>
    </w:p>
    <w:p>
      <w:pPr>
        <w:pStyle w:val="Textkrper"/>
      </w:pPr>
      <m:oMathPara>
        <m:oMathParaPr>
          <m:jc m:val="center"/>
        </m:oMathParaPr>
        <m:oMath>
          <m:m>
            <m:mPr>
              <m:baseJc m:val="center"/>
              <m:plcHide m:val="1"/>
              <m:mcs>
                <m:mc>
                  <m:mcPr>
                    <m:mcJc m:val="right"/>
                    <m:count m:val="1"/>
                  </m:mcPr>
                </m:mc>
              </m:mcs>
            </m:mPr>
            <m:mr>
              <m:e>
                <m:r>
                  <m:t>E</m:t>
                </m:r>
                <m:d>
                  <m:dPr>
                    <m:begChr m:val="["/>
                    <m:endChr m:val="]"/>
                    <m:sepChr m:val=""/>
                    <m:grow/>
                  </m:dPr>
                  <m:e>
                    <m:r>
                      <m:t>b</m:t>
                    </m:r>
                    <m:r>
                      <m:t>o</m:t>
                    </m:r>
                    <m:r>
                      <m:t>n</m:t>
                    </m:r>
                    <m:r>
                      <m:t>u</m:t>
                    </m:r>
                    <m:r>
                      <m:t>s</m:t>
                    </m:r>
                    <m:r>
                      <m:rPr>
                        <m:sty m:val="p"/>
                      </m:rPr>
                      <m:t>|</m:t>
                    </m:r>
                    <m:r>
                      <m:t>x</m:t>
                    </m:r>
                  </m:e>
                </m:d>
                <m:r>
                  <m:rPr>
                    <m:sty m:val="p"/>
                  </m:rPr>
                  <m:t>=</m:t>
                </m:r>
                <m:r>
                  <m:t>P</m:t>
                </m:r>
                <m:sSub>
                  <m:e>
                    <m:r>
                      <m:t>r</m:t>
                    </m:r>
                  </m:e>
                  <m:sub>
                    <m:r>
                      <m:t>l</m:t>
                    </m:r>
                    <m:r>
                      <m:t>o</m:t>
                    </m:r>
                    <m:r>
                      <m:t>g</m:t>
                    </m:r>
                    <m:r>
                      <m:t>R</m:t>
                    </m:r>
                    <m:r>
                      <m:t>T</m:t>
                    </m:r>
                    <m:r>
                      <m:rPr>
                        <m:sty m:val="p"/>
                      </m:rPr>
                      <m:t>∼</m:t>
                    </m:r>
                    <m:r>
                      <m:t>N</m:t>
                    </m:r>
                    <m:d>
                      <m:dPr>
                        <m:begChr m:val="("/>
                        <m:endChr m:val=")"/>
                        <m:sepChr m:val=""/>
                        <m:grow/>
                      </m:dPr>
                      <m:e>
                        <m:r>
                          <m:t>μ</m:t>
                        </m:r>
                        <m:r>
                          <m:rPr>
                            <m:sty m:val="p"/>
                          </m:rPr>
                          <m:t>,</m:t>
                        </m:r>
                        <m:r>
                          <m:t>σ</m:t>
                        </m:r>
                      </m:e>
                    </m:d>
                  </m:sub>
                </m:sSub>
                <m:d>
                  <m:dPr>
                    <m:begChr m:val="["/>
                    <m:endChr m:val="]"/>
                    <m:sepChr m:val=""/>
                    <m:grow/>
                  </m:dPr>
                  <m:e>
                    <m:r>
                      <m:rPr>
                        <m:sty m:val="p"/>
                      </m:rPr>
                      <m:t>log</m:t>
                    </m:r>
                    <m:d>
                      <m:dPr>
                        <m:begChr m:val="("/>
                        <m:endChr m:val=")"/>
                        <m:sepChr m:val=""/>
                        <m:grow/>
                      </m:dPr>
                      <m:e>
                        <m:r>
                          <m:t>x</m:t>
                        </m:r>
                      </m:e>
                    </m:d>
                    <m:r>
                      <m:rPr>
                        <m:sty m:val="p"/>
                      </m:rPr>
                      <m:t>≥</m:t>
                    </m:r>
                    <m:r>
                      <m:t>l</m:t>
                    </m:r>
                    <m:r>
                      <m:t>o</m:t>
                    </m:r>
                    <m:r>
                      <m:t>g</m:t>
                    </m:r>
                    <m:r>
                      <m:t>R</m:t>
                    </m:r>
                    <m:r>
                      <m:t>T</m:t>
                    </m:r>
                  </m:e>
                </m:d>
                <m:r>
                  <m:rPr>
                    <m:sty m:val="p"/>
                  </m:rPr>
                  <m:t>⋅</m:t>
                </m:r>
                <m:sSup>
                  <m:e>
                    <m:r>
                      <m:t>x</m:t>
                    </m:r>
                  </m:e>
                  <m:sup>
                    <m:r>
                      <m:rPr>
                        <m:sty m:val="p"/>
                      </m:rPr>
                      <m:t>−</m:t>
                    </m:r>
                    <m:r>
                      <m:t>1</m:t>
                    </m:r>
                    <m:r>
                      <m:rPr>
                        <m:sty m:val="p"/>
                      </m:rPr>
                      <m:t>/</m:t>
                    </m:r>
                    <m:r>
                      <m:t>2</m:t>
                    </m:r>
                  </m:sup>
                </m:sSup>
                <m:r>
                  <m:rPr>
                    <m:sty m:val="p"/>
                  </m:rPr>
                  <m:t>.</m:t>
                </m:r>
              </m:e>
            </m:mr>
          </m:m>
        </m:oMath>
      </m:oMathPara>
    </w:p>
    <w:p>
      <w:pPr>
        <w:pStyle w:val="FirstParagraph"/>
      </w:pPr>
      <w:r>
        <w:t xml:space="preserve">Which can be re-written for</w:t>
      </w:r>
      <w:r>
        <w:t xml:space="preserve"> </w:t>
      </w:r>
      <m:oMath>
        <m:r>
          <m:t>l</m:t>
        </m:r>
        <m:r>
          <m:t>o</m:t>
        </m:r>
        <m:r>
          <m:t>g</m:t>
        </m:r>
        <m:d>
          <m:dPr>
            <m:begChr m:val="("/>
            <m:endChr m:val=")"/>
            <m:sepChr m:val=""/>
            <m:grow/>
          </m:dPr>
          <m:e>
            <m:r>
              <m:t>x</m:t>
            </m:r>
          </m:e>
        </m:d>
      </m:oMath>
      <w:r>
        <w:t xml:space="preserve"> </w:t>
      </w:r>
      <w:r>
        <w:t xml:space="preserve">as:</w:t>
      </w:r>
    </w:p>
    <w:p>
      <w:pPr>
        <w:pStyle w:val="Textkrper"/>
      </w:pPr>
      <m:oMathPara>
        <m:oMathParaPr>
          <m:jc m:val="center"/>
        </m:oMathParaPr>
        <m:oMath>
          <m:m>
            <m:mPr>
              <m:baseJc m:val="center"/>
              <m:plcHide m:val="1"/>
              <m:mcs>
                <m:mc>
                  <m:mcPr>
                    <m:mcJc m:val="right"/>
                    <m:count m:val="1"/>
                  </m:mcPr>
                </m:mc>
              </m:mcs>
            </m:mPr>
            <m:mr>
              <m:e>
                <m:r>
                  <m:t>E</m:t>
                </m:r>
                <m:d>
                  <m:dPr>
                    <m:begChr m:val="["/>
                    <m:endChr m:val="]"/>
                    <m:sepChr m:val=""/>
                    <m:grow/>
                  </m:dPr>
                  <m:e>
                    <m:r>
                      <m:t>b</m:t>
                    </m:r>
                    <m:r>
                      <m:t>o</m:t>
                    </m:r>
                    <m:r>
                      <m:t>n</m:t>
                    </m:r>
                    <m:r>
                      <m:t>u</m:t>
                    </m:r>
                    <m:r>
                      <m:t>s</m:t>
                    </m:r>
                    <m:r>
                      <m:rPr>
                        <m:sty m:val="p"/>
                      </m:rPr>
                      <m:t>|</m:t>
                    </m:r>
                    <m:r>
                      <m:rPr>
                        <m:sty m:val="p"/>
                      </m:rPr>
                      <m:t>log</m:t>
                    </m:r>
                    <m:d>
                      <m:dPr>
                        <m:begChr m:val="("/>
                        <m:endChr m:val=")"/>
                        <m:sepChr m:val=""/>
                        <m:grow/>
                      </m:dPr>
                      <m:e>
                        <m:r>
                          <m:t>x</m:t>
                        </m:r>
                      </m:e>
                    </m:d>
                  </m:e>
                </m:d>
                <m:r>
                  <m:rPr>
                    <m:sty m:val="p"/>
                  </m:rPr>
                  <m:t>=</m:t>
                </m:r>
                <m:r>
                  <m:t>P</m:t>
                </m:r>
                <m:sSub>
                  <m:e>
                    <m:r>
                      <m:t>r</m:t>
                    </m:r>
                  </m:e>
                  <m:sub>
                    <m:r>
                      <m:t>l</m:t>
                    </m:r>
                    <m:r>
                      <m:t>o</m:t>
                    </m:r>
                    <m:r>
                      <m:t>g</m:t>
                    </m:r>
                    <m:r>
                      <m:t>R</m:t>
                    </m:r>
                    <m:r>
                      <m:t>T</m:t>
                    </m:r>
                    <m:r>
                      <m:rPr>
                        <m:sty m:val="p"/>
                      </m:rPr>
                      <m:t>∼</m:t>
                    </m:r>
                    <m:r>
                      <m:t>N</m:t>
                    </m:r>
                    <m:d>
                      <m:dPr>
                        <m:begChr m:val="("/>
                        <m:endChr m:val=")"/>
                        <m:sepChr m:val=""/>
                        <m:grow/>
                      </m:dPr>
                      <m:e>
                        <m:r>
                          <m:t>μ</m:t>
                        </m:r>
                        <m:r>
                          <m:rPr>
                            <m:sty m:val="p"/>
                          </m:rPr>
                          <m:t>,</m:t>
                        </m:r>
                        <m:r>
                          <m:t>σ</m:t>
                        </m:r>
                      </m:e>
                    </m:d>
                  </m:sub>
                </m:sSub>
                <m:d>
                  <m:dPr>
                    <m:begChr m:val="["/>
                    <m:endChr m:val="]"/>
                    <m:sepChr m:val=""/>
                    <m:grow/>
                  </m:dPr>
                  <m:e>
                    <m:r>
                      <m:rPr>
                        <m:sty m:val="p"/>
                      </m:rPr>
                      <m:t>log</m:t>
                    </m:r>
                    <m:d>
                      <m:dPr>
                        <m:begChr m:val="("/>
                        <m:endChr m:val=")"/>
                        <m:sepChr m:val=""/>
                        <m:grow/>
                      </m:dPr>
                      <m:e>
                        <m:r>
                          <m:t>x</m:t>
                        </m:r>
                      </m:e>
                    </m:d>
                    <m:r>
                      <m:rPr>
                        <m:sty m:val="p"/>
                      </m:rPr>
                      <m:t>≥</m:t>
                    </m:r>
                    <m:r>
                      <m:t>l</m:t>
                    </m:r>
                    <m:r>
                      <m:t>o</m:t>
                    </m:r>
                    <m:r>
                      <m:t>g</m:t>
                    </m:r>
                    <m:r>
                      <m:t>R</m:t>
                    </m:r>
                    <m:r>
                      <m:t>T</m:t>
                    </m:r>
                  </m:e>
                </m:d>
                <m:r>
                  <m:rPr>
                    <m:sty m:val="p"/>
                  </m:rPr>
                  <m:t>⋅</m:t>
                </m:r>
                <m:sSup>
                  <m:e>
                    <m:r>
                      <m:t>e</m:t>
                    </m:r>
                  </m:e>
                  <m:sup>
                    <m:r>
                      <m:rPr>
                        <m:sty m:val="p"/>
                      </m:rPr>
                      <m:t>−</m:t>
                    </m:r>
                    <m:r>
                      <m:rPr>
                        <m:sty m:val="p"/>
                      </m:rPr>
                      <m:t>log</m:t>
                    </m:r>
                    <m:d>
                      <m:dPr>
                        <m:begChr m:val="("/>
                        <m:endChr m:val=")"/>
                        <m:sepChr m:val=""/>
                        <m:grow/>
                      </m:dPr>
                      <m:e>
                        <m:r>
                          <m:t>x</m:t>
                        </m:r>
                      </m:e>
                    </m:d>
                    <m:r>
                      <m:rPr>
                        <m:sty m:val="p"/>
                      </m:rPr>
                      <m:t>/</m:t>
                    </m:r>
                    <m:r>
                      <m:t>2</m:t>
                    </m:r>
                  </m:sup>
                </m:sSup>
                <m:r>
                  <m:rPr>
                    <m:sty m:val="p"/>
                  </m:rPr>
                  <m:t>.</m:t>
                </m:r>
              </m:e>
            </m:mr>
          </m:m>
        </m:oMath>
      </m:oMathPara>
    </w:p>
    <w:p>
      <w:pPr>
        <w:pStyle w:val="FirstParagraph"/>
      </w:pPr>
      <w:r>
        <w:t xml:space="preserve">Since we assumed log RTs are distributed normally, we can express</w:t>
      </w:r>
      <w:r>
        <w:t xml:space="preserve"> </w:t>
      </w:r>
      <m:oMath>
        <m:r>
          <m:t>l</m:t>
        </m:r>
        <m:r>
          <m:t>o</m:t>
        </m:r>
        <m:r>
          <m:t>g</m:t>
        </m:r>
        <m:d>
          <m:dPr>
            <m:begChr m:val="("/>
            <m:endChr m:val=")"/>
            <m:sepChr m:val=""/>
            <m:grow/>
          </m:dPr>
          <m:e>
            <m:r>
              <m:t>x</m:t>
            </m:r>
          </m:e>
        </m:d>
      </m:oMath>
      <w:r>
        <w:t xml:space="preserve"> </w:t>
      </w:r>
      <w:r>
        <w:t xml:space="preserve">relative to the distribution of log RTs as</w:t>
      </w:r>
      <w:r>
        <w:t xml:space="preserve"> </w:t>
      </w:r>
      <m:oMath>
        <m:r>
          <m:t>l</m:t>
        </m:r>
        <m:r>
          <m:t>o</m:t>
        </m:r>
        <m:r>
          <m:t>g</m:t>
        </m:r>
        <m:d>
          <m:dPr>
            <m:begChr m:val="("/>
            <m:endChr m:val=")"/>
            <m:sepChr m:val=""/>
            <m:grow/>
          </m:dPr>
          <m:e>
            <m:r>
              <m:t>x</m:t>
            </m:r>
          </m:e>
        </m:d>
        <m:r>
          <m:rPr>
            <m:sty m:val="p"/>
          </m:rPr>
          <m:t>=</m:t>
        </m:r>
        <m:r>
          <m:t>μ</m:t>
        </m:r>
        <m:r>
          <m:rPr>
            <m:sty m:val="p"/>
          </m:rPr>
          <m:t>+</m:t>
        </m:r>
        <m:r>
          <m:t>α</m:t>
        </m:r>
        <m:r>
          <m:rPr>
            <m:sty m:val="p"/>
          </m:rPr>
          <m:t>⋅</m:t>
        </m:r>
        <m:r>
          <m:t>σ</m:t>
        </m:r>
      </m:oMath>
      <w:r>
        <w:t xml:space="preserve"> </w:t>
      </w:r>
      <w:r>
        <w:t xml:space="preserve">for some number</w:t>
      </w:r>
      <w:r>
        <w:t xml:space="preserve"> </w:t>
      </w:r>
      <m:oMath>
        <m:r>
          <m:t>α</m:t>
        </m:r>
      </m:oMath>
      <w:r>
        <w:t xml:space="preserve">. This number represents the position of the estimate relative to the distribution of response times, with lower values corresponding to more risky estimates, and higher values to more conservative ones. The expected bonus is then:</w:t>
      </w:r>
    </w:p>
    <w:p>
      <w:pPr>
        <w:pStyle w:val="Textkrper"/>
      </w:pPr>
      <m:oMathPara>
        <m:oMathParaPr>
          <m:jc m:val="center"/>
        </m:oMathParaPr>
        <m:oMath>
          <m:m>
            <m:mPr>
              <m:baseJc m:val="center"/>
              <m:plcHide m:val="1"/>
              <m:mcs>
                <m:mc>
                  <m:mcPr>
                    <m:mcJc m:val="right"/>
                    <m:count m:val="1"/>
                  </m:mcPr>
                </m:mc>
                <m:mc>
                  <m:mcPr>
                    <m:mcJc m:val="left"/>
                    <m:count m:val="1"/>
                  </m:mcPr>
                </m:mc>
              </m:mcs>
            </m:mPr>
            <m:mr>
              <m:e>
                <m:r>
                  <m:t>E</m:t>
                </m:r>
                <m:d>
                  <m:dPr>
                    <m:begChr m:val="["/>
                    <m:endChr m:val="]"/>
                    <m:sepChr m:val=""/>
                    <m:grow/>
                  </m:dPr>
                  <m:e>
                    <m:r>
                      <m:t>b</m:t>
                    </m:r>
                    <m:r>
                      <m:t>o</m:t>
                    </m:r>
                    <m:r>
                      <m:t>n</m:t>
                    </m:r>
                    <m:r>
                      <m:t>u</m:t>
                    </m:r>
                    <m:r>
                      <m:t>s</m:t>
                    </m:r>
                    <m:r>
                      <m:rPr>
                        <m:sty m:val="p"/>
                      </m:rPr>
                      <m:t>|</m:t>
                    </m:r>
                    <m:r>
                      <m:t>α</m:t>
                    </m:r>
                  </m:e>
                </m:d>
              </m:e>
              <m:e>
                <m:r>
                  <m:rPr>
                    <m:sty m:val="p"/>
                  </m:rPr>
                  <m:t>=</m:t>
                </m:r>
                <m:r>
                  <m:t>P</m:t>
                </m:r>
                <m:sSub>
                  <m:e>
                    <m:r>
                      <m:t>r</m:t>
                    </m:r>
                  </m:e>
                  <m:sub>
                    <m:r>
                      <m:t>z</m:t>
                    </m:r>
                    <m:r>
                      <m:rPr>
                        <m:sty m:val="p"/>
                      </m:rPr>
                      <m:t>∼</m:t>
                    </m:r>
                    <m:r>
                      <m:t>N</m:t>
                    </m:r>
                    <m:d>
                      <m:dPr>
                        <m:begChr m:val="("/>
                        <m:endChr m:val=")"/>
                        <m:sepChr m:val=""/>
                        <m:grow/>
                      </m:dPr>
                      <m:e>
                        <m:r>
                          <m:t>0</m:t>
                        </m:r>
                        <m:r>
                          <m:rPr>
                            <m:sty m:val="p"/>
                          </m:rPr>
                          <m:t>,</m:t>
                        </m:r>
                        <m:r>
                          <m:t>1</m:t>
                        </m:r>
                      </m:e>
                    </m:d>
                  </m:sub>
                </m:sSub>
                <m:d>
                  <m:dPr>
                    <m:begChr m:val="["/>
                    <m:endChr m:val="]"/>
                    <m:sepChr m:val=""/>
                    <m:grow/>
                  </m:dPr>
                  <m:e>
                    <m:r>
                      <m:t>α</m:t>
                    </m:r>
                    <m:r>
                      <m:rPr>
                        <m:sty m:val="p"/>
                      </m:rPr>
                      <m:t>&gt;</m:t>
                    </m:r>
                    <m:r>
                      <m:t>z</m:t>
                    </m:r>
                  </m:e>
                </m:d>
                <m:r>
                  <m:rPr>
                    <m:sty m:val="p"/>
                  </m:rPr>
                  <m:t>⋅</m:t>
                </m:r>
                <m:sSup>
                  <m:e>
                    <m:r>
                      <m:t>e</m:t>
                    </m:r>
                  </m:e>
                  <m:sup>
                    <m:r>
                      <m:rPr>
                        <m:sty m:val="p"/>
                      </m:rPr>
                      <m:t>−</m:t>
                    </m:r>
                    <m:d>
                      <m:dPr>
                        <m:begChr m:val="("/>
                        <m:endChr m:val=")"/>
                        <m:sepChr m:val=""/>
                        <m:grow/>
                      </m:dPr>
                      <m:e>
                        <m:r>
                          <m:t>μ</m:t>
                        </m:r>
                        <m:r>
                          <m:rPr>
                            <m:sty m:val="p"/>
                          </m:rPr>
                          <m:t>+</m:t>
                        </m:r>
                        <m:r>
                          <m:t>α</m:t>
                        </m:r>
                        <m:r>
                          <m:rPr>
                            <m:sty m:val="p"/>
                          </m:rPr>
                          <m:t>⋅</m:t>
                        </m:r>
                        <m:r>
                          <m:t>σ</m:t>
                        </m:r>
                      </m:e>
                    </m:d>
                    <m:r>
                      <m:rPr>
                        <m:sty m:val="p"/>
                      </m:rPr>
                      <m:t>/</m:t>
                    </m:r>
                    <m:r>
                      <m:t>2</m:t>
                    </m:r>
                  </m:sup>
                </m:sSup>
              </m:e>
            </m:mr>
            <m:mr>
              <m:e/>
              <m:e>
                <m:r>
                  <m:rPr>
                    <m:sty m:val="p"/>
                  </m:rPr>
                  <m:t>=</m:t>
                </m:r>
                <m:r>
                  <m:t>P</m:t>
                </m:r>
                <m:sSub>
                  <m:e>
                    <m:r>
                      <m:t>r</m:t>
                    </m:r>
                  </m:e>
                  <m:sub>
                    <m:r>
                      <m:t>z</m:t>
                    </m:r>
                    <m:r>
                      <m:rPr>
                        <m:sty m:val="p"/>
                      </m:rPr>
                      <m:t>∼</m:t>
                    </m:r>
                    <m:r>
                      <m:t>N</m:t>
                    </m:r>
                    <m:d>
                      <m:dPr>
                        <m:begChr m:val="("/>
                        <m:endChr m:val=")"/>
                        <m:sepChr m:val=""/>
                        <m:grow/>
                      </m:dPr>
                      <m:e>
                        <m:r>
                          <m:t>0</m:t>
                        </m:r>
                        <m:r>
                          <m:rPr>
                            <m:sty m:val="p"/>
                          </m:rPr>
                          <m:t>,</m:t>
                        </m:r>
                        <m:r>
                          <m:t>1</m:t>
                        </m:r>
                      </m:e>
                    </m:d>
                  </m:sub>
                </m:sSub>
                <m:d>
                  <m:dPr>
                    <m:begChr m:val="["/>
                    <m:endChr m:val="]"/>
                    <m:sepChr m:val=""/>
                    <m:grow/>
                  </m:dPr>
                  <m:e>
                    <m:r>
                      <m:t>α</m:t>
                    </m:r>
                    <m:r>
                      <m:rPr>
                        <m:sty m:val="p"/>
                      </m:rPr>
                      <m:t>&gt;</m:t>
                    </m:r>
                    <m:r>
                      <m:t>z</m:t>
                    </m:r>
                  </m:e>
                </m:d>
                <m:r>
                  <m:rPr>
                    <m:sty m:val="p"/>
                  </m:rPr>
                  <m:t>⋅</m:t>
                </m:r>
                <m:sSup>
                  <m:e>
                    <m:r>
                      <m:t>e</m:t>
                    </m:r>
                  </m:e>
                  <m:sup>
                    <m:r>
                      <m:rPr>
                        <m:sty m:val="p"/>
                      </m:rPr>
                      <m:t>−</m:t>
                    </m:r>
                    <m:d>
                      <m:dPr>
                        <m:begChr m:val="("/>
                        <m:endChr m:val=")"/>
                        <m:sepChr m:val=""/>
                        <m:grow/>
                      </m:dPr>
                      <m:e>
                        <m:r>
                          <m:t>α</m:t>
                        </m:r>
                        <m:r>
                          <m:rPr>
                            <m:sty m:val="p"/>
                          </m:rPr>
                          <m:t>⋅</m:t>
                        </m:r>
                        <m:r>
                          <m:t>σ</m:t>
                        </m:r>
                      </m:e>
                    </m:d>
                    <m:r>
                      <m:rPr>
                        <m:sty m:val="p"/>
                      </m:rPr>
                      <m:t>/</m:t>
                    </m:r>
                    <m:r>
                      <m:t>2</m:t>
                    </m:r>
                  </m:sup>
                </m:sSup>
                <m:r>
                  <m:rPr>
                    <m:sty m:val="p"/>
                  </m:rPr>
                  <m:t>⋅</m:t>
                </m:r>
                <m:sSup>
                  <m:e>
                    <m:r>
                      <m:t>e</m:t>
                    </m:r>
                  </m:e>
                  <m:sup>
                    <m:r>
                      <m:rPr>
                        <m:sty m:val="p"/>
                      </m:rPr>
                      <m:t>−</m:t>
                    </m:r>
                    <m:r>
                      <m:t>μ</m:t>
                    </m:r>
                    <m:r>
                      <m:rPr>
                        <m:sty m:val="p"/>
                      </m:rPr>
                      <m:t>/</m:t>
                    </m:r>
                    <m:r>
                      <m:t>2</m:t>
                    </m:r>
                  </m:sup>
                </m:sSup>
                <m:r>
                  <m:rPr>
                    <m:sty m:val="p"/>
                  </m:rPr>
                  <m:t>.</m:t>
                </m:r>
              </m:e>
            </m:mr>
          </m:m>
        </m:oMath>
      </m:oMathPara>
    </w:p>
    <w:p>
      <w:pPr>
        <w:pStyle w:val="FirstParagraph"/>
      </w:pPr>
      <w:r>
        <w:t xml:space="preserve">where</w:t>
      </w:r>
      <w:r>
        <w:t xml:space="preserve"> </w:t>
      </w:r>
      <m:oMath>
        <m:r>
          <m:t>z</m:t>
        </m:r>
      </m:oMath>
      <w:r>
        <w:t xml:space="preserve"> </w:t>
      </w:r>
      <w:r>
        <w:t xml:space="preserve">is the standardized</w:t>
      </w:r>
      <w:r>
        <w:t xml:space="preserve"> </w:t>
      </w:r>
      <m:oMath>
        <m:r>
          <m:t>l</m:t>
        </m:r>
        <m:r>
          <m:t>o</m:t>
        </m:r>
        <m:r>
          <m:t>g</m:t>
        </m:r>
        <m:d>
          <m:dPr>
            <m:begChr m:val="("/>
            <m:endChr m:val=")"/>
            <m:sepChr m:val=""/>
            <m:grow/>
          </m:dPr>
          <m:e>
            <m:r>
              <m:t>R</m:t>
            </m:r>
            <m:r>
              <m:t>T</m:t>
            </m:r>
          </m:e>
        </m:d>
      </m:oMath>
      <w:r>
        <w:t xml:space="preserve">, with mean 0 and standard deviation 1.</w:t>
      </w:r>
      <w:r>
        <w:t xml:space="preserve"> </w:t>
      </w:r>
      <m:oMath>
        <m:r>
          <m:t>μ</m:t>
        </m:r>
      </m:oMath>
      <w:r>
        <w:t xml:space="preserve"> </w:t>
      </w:r>
      <w:r>
        <w:t xml:space="preserve">only appears in the third term in the product, which functions as a constant multiplier that scales the expected bonus equally for all choices of</w:t>
      </w:r>
      <w:r>
        <w:t xml:space="preserve"> </w:t>
      </w:r>
      <m:oMath>
        <m:r>
          <m:t>α</m:t>
        </m:r>
      </m:oMath>
      <w:r>
        <w:t xml:space="preserve">. It then follows that the function relating the choice of</w:t>
      </w:r>
      <w:r>
        <w:t xml:space="preserve"> </w:t>
      </w:r>
      <m:oMath>
        <m:r>
          <m:t>α</m:t>
        </m:r>
      </m:oMath>
      <w:r>
        <w:t xml:space="preserve"> </w:t>
      </w:r>
      <w:r>
        <w:t xml:space="preserve">to the expected bonus preserves its shape for all possible values of</w:t>
      </w:r>
      <w:r>
        <w:t xml:space="preserve"> </w:t>
      </w:r>
      <m:oMath>
        <m:r>
          <m:t>μ</m:t>
        </m:r>
      </m:oMath>
      <w:r>
        <w:t xml:space="preserve">. This function reaches a maximum for</w:t>
      </w:r>
      <w:r>
        <w:t xml:space="preserve"> </w:t>
      </w:r>
      <m:oMath>
        <m:r>
          <m:t>α</m:t>
        </m:r>
        <m:r>
          <m:rPr>
            <m:sty m:val="p"/>
          </m:rPr>
          <m:t>=</m:t>
        </m:r>
        <m:r>
          <m:t>0.52</m:t>
        </m:r>
      </m:oMath>
      <w:r>
        <w:t xml:space="preserve"> </w:t>
      </w:r>
      <w:r>
        <w:t xml:space="preserve">(the 70th quantile) in Exp. 1-4, and for</w:t>
      </w:r>
      <w:r>
        <w:t xml:space="preserve"> </w:t>
      </w:r>
      <m:oMath>
        <m:r>
          <m:t>α</m:t>
        </m:r>
        <m:r>
          <m:rPr>
            <m:sty m:val="p"/>
          </m:rPr>
          <m:t>=</m:t>
        </m:r>
        <m:r>
          <m:t>0</m:t>
        </m:r>
      </m:oMath>
      <w:r>
        <w:t xml:space="preserve"> </w:t>
      </w:r>
      <w:r>
        <w:t xml:space="preserve">(the 50th quantile) in Exp. 5:</w:t>
      </w:r>
    </w:p>
    <w:p>
      <w:pPr>
        <w:pStyle w:val="CaptionedFigure"/>
      </w:pPr>
      <w:r>
        <w:drawing>
          <wp:inline>
            <wp:extent cx="4587290" cy="3669832"/>
            <wp:effectExtent b="0" l="0" r="0" t="0"/>
            <wp:docPr descr="Figure 8.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 title="" id="119" name="Picture"/>
            <a:graphic>
              <a:graphicData uri="http://schemas.openxmlformats.org/drawingml/2006/picture">
                <pic:pic>
                  <pic:nvPicPr>
                    <pic:cNvPr descr="MVS_files/figure-docx/bonus-scheme-1.png" id="120" name="Picture"/>
                    <pic:cNvPicPr>
                      <a:picLocks noChangeArrowheads="1" noChangeAspect="1"/>
                    </pic:cNvPicPr>
                  </pic:nvPicPr>
                  <pic:blipFill>
                    <a:blip r:embed="rId11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w:t>
      </w:r>
    </w:p>
    <w:bookmarkEnd w:id="12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INTERNAL MODELS OF VISUAL SEARCH</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INTERNAL MODELS OF VISUAL SEARCH</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hyperlink" Id="rId20" Target="https://github.com/matanmazor/metaVisualSearch" TargetMode="External" /><Relationship Type="http://schemas.openxmlformats.org/officeDocument/2006/relationships/hyperlink" Id="rId23" Target="https://osf.io/2dpq9" TargetMode="External" /><Relationship Type="http://schemas.openxmlformats.org/officeDocument/2006/relationships/hyperlink" Id="rId39" Target="https://osf.io/dprtk" TargetMode="External" /><Relationship Type="http://schemas.openxmlformats.org/officeDocument/2006/relationships/hyperlink" Id="rId21"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matanmazor/metaVisualSearch" TargetMode="External" /><Relationship Type="http://schemas.openxmlformats.org/officeDocument/2006/relationships/hyperlink" Id="rId23" Target="https://osf.io/2dpq9" TargetMode="External" /><Relationship Type="http://schemas.openxmlformats.org/officeDocument/2006/relationships/hyperlink" Id="rId39" Target="https://osf.io/dprtk" TargetMode="External" /><Relationship Type="http://schemas.openxmlformats.org/officeDocument/2006/relationships/hyperlink" Id="rId21"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
  <cp:keywords/>
  <dcterms:created xsi:type="dcterms:W3CDTF">2022-10-25T10:34:10Z</dcterms:created>
  <dcterms:modified xsi:type="dcterms:W3CDTF">2022-10-25T10:34:10Z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 mtnmzor@gmail.com.</vt:lpwstr>
  </property>
  <property fmtid="{D5CDD505-2E9C-101B-9397-08002B2CF9AE}" pid="15" name="output">
    <vt:lpwstr>papaja::apa6_doc</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8957</vt:lpwstr>
  </property>
</Properties>
</file>