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7C32" w14:textId="77777777" w:rsidR="006D466C" w:rsidRDefault="00000000">
      <w:pPr>
        <w:pStyle w:val="Title"/>
      </w:pPr>
      <w:r>
        <w:t>Prospective search time estimates reveal the strengths and limits of internal models of visual search</w:t>
      </w:r>
    </w:p>
    <w:p w14:paraId="103D53AC" w14:textId="77777777" w:rsidR="006D466C" w:rsidRDefault="00000000">
      <w:pPr>
        <w:pStyle w:val="Author"/>
      </w:pPr>
      <w:r>
        <w:t>Matan Mazor</w:t>
      </w:r>
      <w:r>
        <w:rPr>
          <w:vertAlign w:val="superscript"/>
        </w:rPr>
        <w:t>1,2</w:t>
      </w:r>
      <w:r>
        <w:t>, Max Siegel</w:t>
      </w:r>
      <w:r>
        <w:rPr>
          <w:vertAlign w:val="superscript"/>
        </w:rPr>
        <w:t>3</w:t>
      </w:r>
      <w:r>
        <w:t>, &amp; Joshua B. Tenenbaum</w:t>
      </w:r>
      <w:r>
        <w:rPr>
          <w:vertAlign w:val="superscript"/>
        </w:rPr>
        <w:t>3</w:t>
      </w:r>
    </w:p>
    <w:p w14:paraId="1BBFA83B" w14:textId="77777777" w:rsidR="006D466C" w:rsidRDefault="00000000">
      <w:pPr>
        <w:pStyle w:val="Author"/>
      </w:pPr>
      <w:r>
        <w:rPr>
          <w:vertAlign w:val="superscript"/>
        </w:rPr>
        <w:t>1</w:t>
      </w:r>
      <w:r>
        <w:t xml:space="preserve"> Wellcome Centre for Human Neuroimaging, University College London</w:t>
      </w:r>
    </w:p>
    <w:p w14:paraId="22A5A27F" w14:textId="77777777" w:rsidR="006D466C" w:rsidRDefault="00000000">
      <w:pPr>
        <w:pStyle w:val="Author"/>
      </w:pPr>
      <w:r>
        <w:rPr>
          <w:vertAlign w:val="superscript"/>
        </w:rPr>
        <w:t>2</w:t>
      </w:r>
      <w:r>
        <w:t xml:space="preserve"> Department of Psychological Sciences, Birkbeck, University of London</w:t>
      </w:r>
    </w:p>
    <w:p w14:paraId="4757AB6B" w14:textId="670ADF4E" w:rsidR="006D466C" w:rsidRDefault="00000000">
      <w:pPr>
        <w:pStyle w:val="Author"/>
      </w:pPr>
      <w:r>
        <w:rPr>
          <w:vertAlign w:val="superscript"/>
        </w:rPr>
        <w:t>3</w:t>
      </w:r>
      <w:r>
        <w:t xml:space="preserve"> Department of Brain and Cognitive Sciences, Massachusetts Institute of Technology</w:t>
      </w:r>
    </w:p>
    <w:p w14:paraId="2725A3F4" w14:textId="6A0FA1B4" w:rsidR="00274B7F" w:rsidRDefault="00274B7F" w:rsidP="00274B7F">
      <w:pPr>
        <w:pStyle w:val="BodyText"/>
      </w:pPr>
    </w:p>
    <w:p w14:paraId="74BB5CF7" w14:textId="2F9CEEB2" w:rsidR="00274B7F" w:rsidRPr="00274B7F" w:rsidRDefault="00274B7F" w:rsidP="00274B7F">
      <w:pPr>
        <w:pStyle w:val="BodyText"/>
        <w:ind w:left="2880" w:firstLine="0"/>
        <w:rPr>
          <w:i/>
          <w:iCs/>
        </w:rPr>
      </w:pPr>
      <w:r>
        <w:t xml:space="preserve">Accepted for publication (pending minor corrections) at </w:t>
      </w:r>
      <w:r>
        <w:br/>
      </w:r>
      <w:r w:rsidRPr="00274B7F">
        <w:rPr>
          <w:i/>
          <w:iCs/>
        </w:rPr>
        <w:t>Journal of Experimental Psychology: General</w:t>
      </w:r>
    </w:p>
    <w:p w14:paraId="0957F414" w14:textId="77777777" w:rsidR="006D466C" w:rsidRDefault="00000000">
      <w:pPr>
        <w:pStyle w:val="BodyText"/>
      </w:pPr>
      <w:r>
        <w:t>                                                                                                                                                    </w:t>
      </w:r>
    </w:p>
    <w:p w14:paraId="2BFED0A7" w14:textId="77777777" w:rsidR="00822988" w:rsidRDefault="00822988">
      <w:pPr>
        <w:pStyle w:val="Author"/>
      </w:pPr>
    </w:p>
    <w:p w14:paraId="70CCC805" w14:textId="77777777" w:rsidR="00822988" w:rsidRDefault="00822988">
      <w:pPr>
        <w:pStyle w:val="Author"/>
      </w:pPr>
    </w:p>
    <w:p w14:paraId="0E3B4C54" w14:textId="69976A10" w:rsidR="006D466C" w:rsidRDefault="00000000">
      <w:pPr>
        <w:pStyle w:val="Author"/>
      </w:pPr>
      <w:r>
        <w:t xml:space="preserve">Anonymized data, analysis scripts, and stimulus materials are available at </w:t>
      </w:r>
      <w:hyperlink r:id="rId7">
        <w:r>
          <w:rPr>
            <w:rStyle w:val="Hyperlink"/>
          </w:rPr>
          <w:t>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w:t>
      </w:r>
      <w:hyperlink r:id="rId8">
        <w:r>
          <w:rPr>
            <w:rStyle w:val="Hyperlink"/>
          </w:rPr>
          <w:t>mtnmzor@gmail.com</w:t>
        </w:r>
      </w:hyperlink>
      <w:r>
        <w:t>.</w:t>
      </w:r>
    </w:p>
    <w:p w14:paraId="13EBFAAD" w14:textId="77777777" w:rsidR="006D466C" w:rsidRDefault="006D466C">
      <w:pPr>
        <w:pStyle w:val="Author"/>
      </w:pPr>
    </w:p>
    <w:p w14:paraId="6A8A8B54" w14:textId="7B224A58" w:rsidR="006D466C" w:rsidRDefault="00000000" w:rsidP="00822988">
      <w:pPr>
        <w:pStyle w:val="BodyText"/>
      </w:pPr>
      <w:r>
        <w:t> </w:t>
      </w:r>
    </w:p>
    <w:p w14:paraId="601008AE" w14:textId="77777777" w:rsidR="006D466C" w:rsidRDefault="00000000">
      <w:pPr>
        <w:pStyle w:val="BodyText"/>
      </w:pPr>
      <w:r>
        <w:t> </w:t>
      </w:r>
    </w:p>
    <w:p w14:paraId="6229E77B" w14:textId="77777777" w:rsidR="006D466C" w:rsidRDefault="00000000">
      <w:pPr>
        <w:pStyle w:val="Author"/>
      </w:pPr>
      <w:r>
        <w:t>Author note</w:t>
      </w:r>
    </w:p>
    <w:p w14:paraId="7CA24594" w14:textId="77777777" w:rsidR="006D466C" w:rsidRDefault="00000000">
      <w:pPr>
        <w:pStyle w:val="BodyText"/>
      </w:pPr>
      <w:r>
        <w:t xml:space="preserve">Correspondence concerning this article should be addressed to Matan Mazor, WC1E 7HX, London UK. E-mail: </w:t>
      </w:r>
      <w:hyperlink r:id="rId9">
        <w:r>
          <w:rPr>
            <w:rStyle w:val="Hyperlink"/>
          </w:rPr>
          <w:t>mtnmzor@gmail.com</w:t>
        </w:r>
      </w:hyperlink>
    </w:p>
    <w:p w14:paraId="78542E2E" w14:textId="77777777" w:rsidR="006D466C" w:rsidRDefault="00000000">
      <w:pPr>
        <w:pStyle w:val="h1-pagebreak"/>
      </w:pPr>
      <w:r>
        <w:lastRenderedPageBreak/>
        <w:t>Abstract</w:t>
      </w:r>
    </w:p>
    <w:p w14:paraId="507C9ECF" w14:textId="77777777" w:rsidR="006D466C" w:rsidRDefault="0000000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14:paraId="57E54E07" w14:textId="77777777" w:rsidR="006D466C" w:rsidRDefault="00000000">
      <w:pPr>
        <w:pStyle w:val="BodyText"/>
      </w:pPr>
      <w:r>
        <w:rPr>
          <w:i/>
          <w:iCs/>
        </w:rPr>
        <w:t>Keywords:</w:t>
      </w:r>
      <w:r>
        <w:t xml:space="preserve"> metacognition, self-model, attention-schema, visual search</w:t>
      </w:r>
    </w:p>
    <w:p w14:paraId="12EF52CA" w14:textId="77777777" w:rsidR="006D466C" w:rsidRDefault="00000000">
      <w:pPr>
        <w:pStyle w:val="BodyText"/>
      </w:pPr>
      <w:r>
        <w:rPr>
          <w:i/>
          <w:iCs/>
        </w:rPr>
        <w:t>Word count:</w:t>
      </w:r>
      <w:r>
        <w:t xml:space="preserve"> 8957</w:t>
      </w:r>
    </w:p>
    <w:p w14:paraId="0247C69C" w14:textId="77777777" w:rsidR="006D466C" w:rsidRDefault="00000000">
      <w:pPr>
        <w:pStyle w:val="h1-pagebreak"/>
      </w:pPr>
      <w:r>
        <w:lastRenderedPageBreak/>
        <w:t>Prospective search time estimates reveal the strengths and limits of internal models of visual search</w:t>
      </w:r>
    </w:p>
    <w:p w14:paraId="169AFD21" w14:textId="77777777" w:rsidR="006D466C" w:rsidRDefault="00000000">
      <w:pPr>
        <w:pStyle w:val="Heading2"/>
      </w:pPr>
      <w:bookmarkStart w:id="0" w:name="introduction"/>
      <w:r>
        <w:t>Introduction</w:t>
      </w:r>
    </w:p>
    <w:p w14:paraId="52EDA625" w14:textId="77777777" w:rsidR="006D466C" w:rsidRDefault="0000000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020BAB0B" w14:textId="77777777" w:rsidR="006D466C" w:rsidRDefault="0000000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and Monk (1977)]. Similarly, children guided their decisions </w:t>
      </w:r>
      <w:r>
        <w:lastRenderedPageBreak/>
        <w:t>and evidence accumulation based on model-based expectations about the perception of hidden items (Siegel, Magid, Pelz, Tenenbaum, &amp; Schulz, 2021). In the context of perception and attention, Graziano and Webb (2015) argued that having a simplified Attention Schema — a simplified model of attention and its dynamics — is crucial for monitoring and controlling one’s attention, similar to how a body-schema supports motor control.</w:t>
      </w:r>
    </w:p>
    <w:p w14:paraId="14AD710F" w14:textId="77777777" w:rsidR="006D466C" w:rsidRDefault="0000000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5CD6F86F" w14:textId="77777777" w:rsidR="006D466C" w:rsidRDefault="0000000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p w14:paraId="3E059CB5" w14:textId="77777777" w:rsidR="006D466C" w:rsidRDefault="00000000">
      <w:pPr>
        <w:pStyle w:val="Heading1"/>
      </w:pPr>
      <w:bookmarkStart w:id="1" w:name="X4fb108abd3f767426b4c1d3916a8a00a5b76ee5"/>
      <w:bookmarkEnd w:id="0"/>
      <w:r>
        <w:t>Experiments 1 and 2: shape, orientation, and color</w:t>
      </w:r>
    </w:p>
    <w:p w14:paraId="7859922F" w14:textId="77777777" w:rsidR="006D466C" w:rsidRDefault="0000000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1F4A0B63" w14:textId="77777777" w:rsidR="006D466C" w:rsidRDefault="0000000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76A3A79C" w14:textId="77777777" w:rsidR="006D466C" w:rsidRDefault="0000000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7F61F2EB" w14:textId="77777777" w:rsidR="006D466C" w:rsidRDefault="00000000">
      <w:pPr>
        <w:pStyle w:val="Heading2"/>
      </w:pPr>
      <w:bookmarkStart w:id="2" w:name="participants"/>
      <w:r>
        <w:t>Participants</w:t>
      </w:r>
    </w:p>
    <w:p w14:paraId="6BB12D43" w14:textId="77777777" w:rsidR="006D466C" w:rsidRDefault="0000000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072241FA" w14:textId="77777777" w:rsidR="006D466C" w:rsidRDefault="00000000">
      <w:pPr>
        <w:pStyle w:val="Heading2"/>
      </w:pPr>
      <w:bookmarkStart w:id="3" w:name="procedure"/>
      <w:bookmarkEnd w:id="2"/>
      <w:r>
        <w:t>Procedure</w:t>
      </w:r>
    </w:p>
    <w:p w14:paraId="4849D72E" w14:textId="77777777" w:rsidR="006D466C" w:rsidRDefault="00000000">
      <w:pPr>
        <w:pStyle w:val="FirstParagraph"/>
      </w:pPr>
      <w:r>
        <w:t xml:space="preserve">The study was built using the Lab.js platform (Henninger, Shevchenko, Mertens, Kieslich, &amp; Hilbig, 2019) and hosted on a JATOS server (Lange, Kühn, &amp; Filevich, 2015). Static versions of all four experiments are available at </w:t>
      </w:r>
      <w:hyperlink r:id="rId12">
        <w:r>
          <w:rPr>
            <w:rStyle w:val="Hyperlink"/>
          </w:rPr>
          <w:t>github.com/matanmazor/metaVisualSearch</w:t>
        </w:r>
      </w:hyperlink>
      <w:r>
        <w:t>.</w:t>
      </w:r>
    </w:p>
    <w:p w14:paraId="53D0E4DD" w14:textId="77777777" w:rsidR="006D466C" w:rsidRDefault="00000000">
      <w:pPr>
        <w:pStyle w:val="Heading3"/>
        <w:framePr w:wrap="around"/>
      </w:pPr>
      <w:bookmarkStart w:id="4" w:name="familiarization"/>
      <w:r>
        <w:t>Familiarization.</w:t>
      </w:r>
    </w:p>
    <w:p w14:paraId="0FE8D45F" w14:textId="77777777" w:rsidR="006D466C" w:rsidRDefault="00000000">
      <w:pPr>
        <w:pStyle w:val="FirstParagraph"/>
      </w:pPr>
      <w:r>
        <w:t>First, participants were acquainted with the visual search task. The instructions for this part were as follows:</w:t>
      </w:r>
    </w:p>
    <w:p w14:paraId="7227EB11" w14:textId="77777777" w:rsidR="006D466C" w:rsidRDefault="0000000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0071F1FA" w14:textId="77777777" w:rsidR="006D466C" w:rsidRDefault="0000000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2E5CAE9B" w14:textId="77777777" w:rsidR="006D466C" w:rsidRDefault="00000000">
      <w:pPr>
        <w:pStyle w:val="Heading3"/>
        <w:framePr w:wrap="around"/>
      </w:pPr>
      <w:bookmarkStart w:id="5" w:name="estimation"/>
      <w:bookmarkEnd w:id="4"/>
      <w:r>
        <w:t>Estimation.</w:t>
      </w:r>
    </w:p>
    <w:p w14:paraId="34A33F49" w14:textId="77777777" w:rsidR="006D466C" w:rsidRDefault="0000000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75BFA3BA" w14:textId="77777777" w:rsidR="006D466C" w:rsidRDefault="0000000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53F914B6" w14:textId="77777777" w:rsidR="006D466C" w:rsidRDefault="00000000">
      <w:pPr>
        <w:pStyle w:val="CaptionedFigure"/>
      </w:pPr>
      <w:r>
        <w:rPr>
          <w:noProof/>
        </w:rPr>
        <w:lastRenderedPageBreak/>
        <w:drawing>
          <wp:inline distT="0" distB="0" distL="0" distR="0" wp14:anchorId="0C548415" wp14:editId="215BD978">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159C6F33"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1. </w:t>
      </w:r>
      <w:r w:rsidRPr="00822988">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2D62AC47" w14:textId="77777777" w:rsidR="006D466C" w:rsidRDefault="0000000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3D77F4D6" w14:textId="77777777" w:rsidR="006D466C" w:rsidRDefault="00000000">
      <w:pPr>
        <w:pStyle w:val="Heading3"/>
        <w:framePr w:wrap="around"/>
      </w:pPr>
      <w:bookmarkStart w:id="6" w:name="visual-search"/>
      <w:bookmarkEnd w:id="5"/>
      <w:r>
        <w:t>Visual Search.</w:t>
      </w:r>
    </w:p>
    <w:p w14:paraId="3DF895CD" w14:textId="77777777" w:rsidR="006D466C" w:rsidRDefault="0000000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0497AE12" w14:textId="77777777" w:rsidR="006D466C" w:rsidRDefault="00000000">
      <w:pPr>
        <w:pStyle w:val="Heading2"/>
      </w:pPr>
      <w:bookmarkStart w:id="7" w:name="results"/>
      <w:bookmarkEnd w:id="3"/>
      <w:bookmarkEnd w:id="6"/>
      <w:r>
        <w:t>Results</w:t>
      </w:r>
    </w:p>
    <w:p w14:paraId="49FD9EC9" w14:textId="77777777" w:rsidR="006D466C" w:rsidRDefault="0000000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21C17258" w14:textId="77777777" w:rsidR="006D466C" w:rsidRDefault="00000000">
      <w:pPr>
        <w:pStyle w:val="Heading3"/>
        <w:framePr w:wrap="around"/>
      </w:pPr>
      <w:bookmarkStart w:id="8" w:name="search-times"/>
      <w:r>
        <w:t>Search times.</w:t>
      </w:r>
    </w:p>
    <w:p w14:paraId="154C4DF9" w14:textId="77777777" w:rsidR="006D466C" w:rsidRDefault="0000000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2B57FF2F" w14:textId="77777777" w:rsidR="006D466C" w:rsidRDefault="00000000">
      <w:pPr>
        <w:pStyle w:val="Heading3"/>
        <w:framePr w:wrap="around"/>
      </w:pPr>
      <w:bookmarkStart w:id="9" w:name="estimation-accuracy"/>
      <w:bookmarkEnd w:id="8"/>
      <w:r>
        <w:t>Estimation accuracy.</w:t>
      </w:r>
    </w:p>
    <w:p w14:paraId="69E56A9D" w14:textId="77777777" w:rsidR="006D466C" w:rsidRDefault="0000000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note the difference in y axis between true and estimated search time plots).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21380040" w14:textId="77777777" w:rsidR="006D466C" w:rsidRDefault="0000000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7C6E4A59" w14:textId="77777777" w:rsidR="006D466C" w:rsidRDefault="00000000">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2E2733E4" w14:textId="77777777" w:rsidR="006D466C" w:rsidRDefault="00000000">
      <w:pPr>
        <w:pStyle w:val="CaptionedFigure"/>
      </w:pPr>
      <w:r>
        <w:rPr>
          <w:noProof/>
        </w:rPr>
        <w:drawing>
          <wp:inline distT="0" distB="0" distL="0" distR="0" wp14:anchorId="5BB2A124" wp14:editId="6EDCC608">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30FE7989"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2. </w:t>
      </w:r>
      <w:r w:rsidRPr="00822988">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2D895017" w14:textId="77777777" w:rsidR="006D466C" w:rsidRDefault="00000000">
      <w:pPr>
        <w:pStyle w:val="Heading1"/>
      </w:pPr>
      <w:bookmarkStart w:id="10" w:name="X7075b9e6a982942c280220fe6463cd707d53051"/>
      <w:bookmarkEnd w:id="1"/>
      <w:bookmarkEnd w:id="7"/>
      <w:bookmarkEnd w:id="9"/>
      <w:r>
        <w:lastRenderedPageBreak/>
        <w:t>Experiments 3 and 4: complex, unfamiliar stimuli</w:t>
      </w:r>
    </w:p>
    <w:p w14:paraId="07D25B99" w14:textId="77777777" w:rsidR="006D466C" w:rsidRDefault="0000000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2C10BCDF" w14:textId="77777777" w:rsidR="006D466C" w:rsidRDefault="0000000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5">
        <w:r>
          <w:rPr>
            <w:rStyle w:val="Hyperlink"/>
          </w:rPr>
          <w:t>osf.io/dprtk</w:t>
        </w:r>
      </w:hyperlink>
      <w:r>
        <w:t xml:space="preserve">). Raw data and full analysis scripts are available at </w:t>
      </w:r>
      <w:hyperlink r:id="rId16">
        <w:r>
          <w:rPr>
            <w:rStyle w:val="Hyperlink"/>
          </w:rPr>
          <w:t>github.com/matanmazor/metaVisualSearch</w:t>
        </w:r>
      </w:hyperlink>
      <w:r>
        <w:t>.</w:t>
      </w:r>
    </w:p>
    <w:p w14:paraId="192A8B02" w14:textId="77777777" w:rsidR="006D466C" w:rsidRDefault="00000000">
      <w:pPr>
        <w:pStyle w:val="Heading2"/>
      </w:pPr>
      <w:bookmarkStart w:id="11" w:name="participants-1"/>
      <w:r>
        <w:lastRenderedPageBreak/>
        <w:t>Participants</w:t>
      </w:r>
    </w:p>
    <w:p w14:paraId="102396F5" w14:textId="77777777" w:rsidR="006D466C" w:rsidRDefault="0000000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4062F691" w14:textId="77777777" w:rsidR="006D466C" w:rsidRDefault="00000000">
      <w:pPr>
        <w:pStyle w:val="Heading2"/>
      </w:pPr>
      <w:bookmarkStart w:id="12" w:name="procedure-1"/>
      <w:bookmarkEnd w:id="11"/>
      <w:r>
        <w:t>Procedure</w:t>
      </w:r>
    </w:p>
    <w:p w14:paraId="2F99F00B" w14:textId="77777777" w:rsidR="006D466C" w:rsidRDefault="00000000">
      <w:pPr>
        <w:pStyle w:val="FirstParagraph"/>
      </w:pPr>
      <w:r>
        <w:t>The procedure for Experiments 3 and 4 was similar to that of Exp. 1 with several changes.</w:t>
      </w:r>
    </w:p>
    <w:p w14:paraId="3F9AA7E5" w14:textId="77777777" w:rsidR="006D466C" w:rsidRDefault="0000000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2B27C420" w14:textId="77777777" w:rsidR="006D466C" w:rsidRDefault="00000000">
      <w:pPr>
        <w:pStyle w:val="CaptionedFigure"/>
      </w:pPr>
      <w:r>
        <w:rPr>
          <w:noProof/>
        </w:rPr>
        <w:lastRenderedPageBreak/>
        <w:drawing>
          <wp:inline distT="0" distB="0" distL="0" distR="0" wp14:anchorId="26A60696" wp14:editId="4A576EB3">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2F9BC17D"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3. </w:t>
      </w:r>
      <w:r w:rsidRPr="00822988">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14:paraId="055AA54A" w14:textId="77777777" w:rsidR="006D466C" w:rsidRDefault="0000000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0183C94D" w14:textId="77777777" w:rsidR="006D466C" w:rsidRDefault="00000000">
      <w:pPr>
        <w:pStyle w:val="Heading2"/>
      </w:pPr>
      <w:bookmarkStart w:id="13" w:name="results-1"/>
      <w:bookmarkEnd w:id="12"/>
      <w:r>
        <w:lastRenderedPageBreak/>
        <w:t>Results</w:t>
      </w:r>
    </w:p>
    <w:p w14:paraId="37CE320A" w14:textId="77777777" w:rsidR="006D466C" w:rsidRDefault="0000000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7C6283C5" w14:textId="77777777" w:rsidR="006D466C" w:rsidRDefault="00000000">
      <w:pPr>
        <w:pStyle w:val="Heading3"/>
        <w:framePr w:wrap="around"/>
      </w:pPr>
      <w:bookmarkStart w:id="14" w:name="estimation-accuracy-1"/>
      <w:r>
        <w:t>Estimation accuracy.</w:t>
      </w:r>
    </w:p>
    <w:p w14:paraId="6A661593" w14:textId="77777777" w:rsidR="006D466C" w:rsidRDefault="0000000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69568FBA" w14:textId="77777777" w:rsidR="006D466C" w:rsidRDefault="0000000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38D4BEEB" w14:textId="77777777" w:rsidR="006D466C" w:rsidRDefault="00000000">
      <w:pPr>
        <w:pStyle w:val="CaptionedFigure"/>
      </w:pPr>
      <w:r>
        <w:rPr>
          <w:noProof/>
        </w:rPr>
        <w:drawing>
          <wp:inline distT="0" distB="0" distL="0" distR="0" wp14:anchorId="173EAA70" wp14:editId="5A1D4342">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54AD09DF"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4. </w:t>
      </w:r>
      <w:r w:rsidRPr="00822988">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822988">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0D609B50" w14:textId="77777777" w:rsidR="006D466C" w:rsidRDefault="00000000">
      <w:pPr>
        <w:pStyle w:val="Heading3"/>
        <w:framePr w:wrap="around"/>
      </w:pPr>
      <w:bookmarkStart w:id="15" w:name="selfself"/>
      <w:bookmarkEnd w:id="14"/>
      <w:r>
        <w:t>Cross-participant correlations.</w:t>
      </w:r>
    </w:p>
    <w:p w14:paraId="4E3303BC" w14:textId="77777777" w:rsidR="006D466C" w:rsidRDefault="0000000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16231B91" w14:textId="77777777" w:rsidR="006D466C" w:rsidRDefault="00000000">
      <w:pPr>
        <w:pStyle w:val="CaptionedFigure"/>
      </w:pPr>
      <w:r>
        <w:rPr>
          <w:noProof/>
        </w:rPr>
        <w:lastRenderedPageBreak/>
        <w:drawing>
          <wp:inline distT="0" distB="0" distL="0" distR="0" wp14:anchorId="2FAA1A23" wp14:editId="2BB97E6B">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5BE53C1A"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5. </w:t>
      </w:r>
      <w:r w:rsidRPr="00822988">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043F94A8" w14:textId="77777777" w:rsidR="006D466C" w:rsidRDefault="00000000">
      <w:pPr>
        <w:pStyle w:val="Heading3"/>
        <w:framePr w:wrap="around"/>
      </w:pPr>
      <w:bookmarkStart w:id="16" w:name="estimation-time"/>
      <w:bookmarkEnd w:id="15"/>
      <w:r>
        <w:t>Estimation time.</w:t>
      </w:r>
    </w:p>
    <w:p w14:paraId="16369107" w14:textId="77777777" w:rsidR="006D466C" w:rsidRDefault="00000000">
      <w:pPr>
        <w:pStyle w:val="FirstParagraph"/>
      </w:pPr>
      <w:r>
        <w:t>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However, given that estimation times were three times longer than search time estimates (median time to estimate = 5 seconds in Exp. 3 and 3 seconds in Exp. 4), a simulation-</w:t>
      </w:r>
      <w:r>
        <w:lastRenderedPageBreak/>
        <w:t>driven correlation may have been masked by other factors that contributed to estimation times, such as motor control over the report slider.</w:t>
      </w:r>
    </w:p>
    <w:p w14:paraId="46668286" w14:textId="77777777" w:rsidR="006D466C" w:rsidRDefault="00000000">
      <w:pPr>
        <w:pStyle w:val="Heading3"/>
        <w:framePr w:wrap="around"/>
      </w:pPr>
      <w:bookmarkStart w:id="17" w:name="asymmetry"/>
      <w:bookmarkEnd w:id="16"/>
      <w:r>
        <w:t>Visual search asymmetry.</w:t>
      </w:r>
    </w:p>
    <w:p w14:paraId="65AA255F" w14:textId="77777777" w:rsidR="006D466C" w:rsidRDefault="0000000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4B688D6B" w14:textId="77777777" w:rsidR="006D466C" w:rsidRDefault="0000000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05062EE5" w14:textId="77777777" w:rsidR="006D466C" w:rsidRDefault="00000000">
      <w:pPr>
        <w:pStyle w:val="BodyText"/>
      </w:pPr>
      <w:r>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if subjects were sensitive to the assignment of stimuli to target and distractor roles, </w:t>
      </w:r>
      <w:r>
        <w:lastRenderedPageBreak/>
        <w:t>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5941C5AE" w14:textId="77777777" w:rsidR="006D466C" w:rsidRDefault="0000000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4B4990C8" w14:textId="77777777" w:rsidR="006D466C" w:rsidRDefault="00000000">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14:paraId="4ACB8FFC" w14:textId="77777777" w:rsidR="00822988" w:rsidRDefault="00822988">
      <w:pPr>
        <w:pStyle w:val="CaptionedFigure"/>
        <w:rPr>
          <w:noProof/>
        </w:rPr>
      </w:pPr>
    </w:p>
    <w:p w14:paraId="60442A10" w14:textId="38D47CFC" w:rsidR="006D466C" w:rsidRDefault="00000000">
      <w:pPr>
        <w:pStyle w:val="CaptionedFigure"/>
      </w:pPr>
      <w:r>
        <w:rPr>
          <w:noProof/>
        </w:rPr>
        <w:drawing>
          <wp:inline distT="0" distB="0" distL="0" distR="0" wp14:anchorId="06339036" wp14:editId="479E8079">
            <wp:extent cx="5907820" cy="2714278"/>
            <wp:effectExtent l="0" t="0" r="0" b="0"/>
            <wp:docPr id="55" name="Picture"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wp:cNvGraphicFramePr/>
            <a:graphic xmlns:a="http://schemas.openxmlformats.org/drawingml/2006/main">
              <a:graphicData uri="http://schemas.openxmlformats.org/drawingml/2006/picture">
                <pic:pic xmlns:pic="http://schemas.openxmlformats.org/drawingml/2006/picture">
                  <pic:nvPicPr>
                    <pic:cNvPr id="56" name="Picture" descr="MVS_files/figure-docx/MVS-exp4-fig-1.png"/>
                    <pic:cNvPicPr>
                      <a:picLocks noChangeAspect="1" noChangeArrowheads="1"/>
                    </pic:cNvPicPr>
                  </pic:nvPicPr>
                  <pic:blipFill rotWithShape="1">
                    <a:blip r:embed="rId20"/>
                    <a:srcRect t="21668" b="20902"/>
                    <a:stretch/>
                  </pic:blipFill>
                  <pic:spPr bwMode="auto">
                    <a:xfrm>
                      <a:off x="0" y="0"/>
                      <a:ext cx="5917298" cy="2718632"/>
                    </a:xfrm>
                    <a:prstGeom prst="rect">
                      <a:avLst/>
                    </a:prstGeom>
                    <a:noFill/>
                    <a:ln>
                      <a:noFill/>
                    </a:ln>
                    <a:extLst>
                      <a:ext uri="{53640926-AAD7-44D8-BBD7-CCE9431645EC}">
                        <a14:shadowObscured xmlns:a14="http://schemas.microsoft.com/office/drawing/2010/main"/>
                      </a:ext>
                    </a:extLst>
                  </pic:spPr>
                </pic:pic>
              </a:graphicData>
            </a:graphic>
          </wp:inline>
        </w:drawing>
      </w:r>
    </w:p>
    <w:p w14:paraId="320E86BF"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6. </w:t>
      </w:r>
      <w:r w:rsidRPr="00822988">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72542C8B" w14:textId="77777777" w:rsidR="006D466C" w:rsidRDefault="00000000">
      <w:pPr>
        <w:pStyle w:val="Heading1"/>
      </w:pPr>
      <w:bookmarkStart w:id="18" w:name="experiment-5-three-search-asymmetries"/>
      <w:bookmarkEnd w:id="10"/>
      <w:bookmarkEnd w:id="13"/>
      <w:bookmarkEnd w:id="17"/>
      <w:r>
        <w:t>Experiment 5: three search asymmetries</w:t>
      </w:r>
    </w:p>
    <w:p w14:paraId="223DC490" w14:textId="77777777" w:rsidR="006D466C" w:rsidRDefault="00000000">
      <w:pPr>
        <w:pStyle w:val="FirstParagraph"/>
      </w:pPr>
      <w:r>
        <w:t>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p w14:paraId="36AA89BA" w14:textId="77777777" w:rsidR="006D466C" w:rsidRDefault="00000000">
      <w:pPr>
        <w:pStyle w:val="Heading2"/>
      </w:pPr>
      <w:bookmarkStart w:id="19" w:name="participants-2"/>
      <w:r>
        <w:lastRenderedPageBreak/>
        <w:t>Participants</w:t>
      </w:r>
    </w:p>
    <w:p w14:paraId="47726E00" w14:textId="77777777" w:rsidR="006D466C" w:rsidRDefault="0000000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0BF2D024" w14:textId="77777777" w:rsidR="006D466C" w:rsidRDefault="00000000">
      <w:pPr>
        <w:pStyle w:val="Heading2"/>
      </w:pPr>
      <w:bookmarkStart w:id="20" w:name="procedure-2"/>
      <w:bookmarkEnd w:id="19"/>
      <w:r>
        <w:t>Procedure</w:t>
      </w:r>
    </w:p>
    <w:p w14:paraId="7D27BC42" w14:textId="77777777" w:rsidR="006D466C" w:rsidRDefault="00000000">
      <w:pPr>
        <w:pStyle w:val="FirstParagraph"/>
      </w:pPr>
      <w:r>
        <w:t>The procedure for Experiments 5 was similar to that of Exp. 1 with several changes.</w:t>
      </w:r>
    </w:p>
    <w:p w14:paraId="786E1F3E" w14:textId="77777777" w:rsidR="006D466C" w:rsidRDefault="0000000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33B183B0" w14:textId="77777777" w:rsidR="006D466C" w:rsidRDefault="0000000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Making the number of offered points decline faster ensured that the optimal strategy is to report the median of the posterior distribution over reaction times, making it possible to directly compare median search times and prospective estimates.</w:t>
      </w:r>
    </w:p>
    <w:p w14:paraId="3C15BBA6" w14:textId="77777777" w:rsidR="006D466C" w:rsidRDefault="00000000">
      <w:pPr>
        <w:pStyle w:val="BodyText"/>
      </w:pPr>
      <w:r>
        <w:t xml:space="preserve">In the visual search part, participants performed five consecutive instances of each search. In order to prevent subjects from relying on their iconic memory to identify the position of the </w:t>
      </w:r>
      <w:r>
        <w:lastRenderedPageBreak/>
        <w:t>target after making an initial response, stimuli were masked by a random black and white image for a duration of 50 milliseconds following spacebar responses.</w:t>
      </w:r>
    </w:p>
    <w:p w14:paraId="28CC9870" w14:textId="77777777" w:rsidR="006D466C" w:rsidRDefault="00000000">
      <w:pPr>
        <w:pStyle w:val="Heading2"/>
      </w:pPr>
      <w:bookmarkStart w:id="21" w:name="results-2"/>
      <w:bookmarkEnd w:id="20"/>
      <w:r>
        <w:t>Results</w:t>
      </w:r>
    </w:p>
    <w:p w14:paraId="4C00BEF4" w14:textId="77777777" w:rsidR="006D466C"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53AA6E4E" w14:textId="77777777" w:rsidR="006D466C" w:rsidRDefault="00000000">
      <w:pPr>
        <w:pStyle w:val="Heading3"/>
        <w:framePr w:wrap="around"/>
      </w:pPr>
      <w:bookmarkStart w:id="22" w:name="visual-search-asymmetries"/>
      <w:r>
        <w:t>Visual search asymmetries.</w:t>
      </w:r>
    </w:p>
    <w:p w14:paraId="4C56941B" w14:textId="77777777" w:rsidR="006D466C" w:rsidRDefault="0000000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07CAD9F" w14:textId="5264651B" w:rsidR="00726B39" w:rsidRDefault="0000000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0879599" w14:textId="77777777" w:rsidR="00726B39" w:rsidRDefault="00726B39">
      <w:pPr>
        <w:spacing w:before="0" w:after="200" w:line="240" w:lineRule="auto"/>
      </w:pPr>
      <w:r>
        <w:br w:type="page"/>
      </w:r>
    </w:p>
    <w:p w14:paraId="095664C4" w14:textId="77777777" w:rsidR="006D466C" w:rsidRDefault="006D466C">
      <w:pPr>
        <w:pStyle w:val="BodyText"/>
      </w:pPr>
    </w:p>
    <w:p w14:paraId="3A1D701F" w14:textId="77777777" w:rsidR="006D466C" w:rsidRDefault="00000000">
      <w:pPr>
        <w:pStyle w:val="Heading3"/>
        <w:framePr w:wrap="around"/>
      </w:pPr>
      <w:bookmarkStart w:id="23" w:name="estimation-accuracy-2"/>
      <w:bookmarkEnd w:id="22"/>
      <w:r>
        <w:t>Estimation accuracy.</w:t>
      </w:r>
    </w:p>
    <w:p w14:paraId="16633A6B" w14:textId="77777777" w:rsidR="006D466C" w:rsidRDefault="00000000">
      <w:pPr>
        <w:pStyle w:val="FirstParagraph"/>
      </w:pPr>
      <w:r>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77C4D696" w14:textId="77777777" w:rsidR="006D466C" w:rsidRDefault="0000000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55692FC7" w14:textId="77777777" w:rsidR="006D466C" w:rsidRDefault="0000000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w:t>
      </w:r>
      <w:r>
        <w:lastRenderedPageBreak/>
        <w:t xml:space="preserve">difference of 53.44 ms/item in slopes obtained from actual searches. Interestingly, asymmetries in the mean estimated search time (rather than the expected change per addition of one distractor) 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3F5AC5BA" w14:textId="77777777" w:rsidR="006D466C" w:rsidRDefault="00000000">
      <w:pPr>
        <w:pStyle w:val="CaptionedFigure"/>
      </w:pPr>
      <w:r>
        <w:rPr>
          <w:noProof/>
        </w:rPr>
        <w:drawing>
          <wp:inline distT="0" distB="0" distL="0" distR="0" wp14:anchorId="69CB1F86" wp14:editId="308544DB">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186041A5"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7. </w:t>
      </w:r>
      <w:r w:rsidRPr="00822988">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3FC31EF3" w14:textId="77777777" w:rsidR="006D466C" w:rsidRDefault="00000000">
      <w:pPr>
        <w:pStyle w:val="Heading2"/>
      </w:pPr>
      <w:bookmarkStart w:id="24" w:name="discussion"/>
      <w:bookmarkEnd w:id="21"/>
      <w:bookmarkEnd w:id="23"/>
      <w:r>
        <w:lastRenderedPageBreak/>
        <w:t>Discussion</w:t>
      </w:r>
    </w:p>
    <w:p w14:paraId="3B87191C" w14:textId="77777777" w:rsidR="006D466C" w:rsidRDefault="00000000">
      <w:pPr>
        <w:pStyle w:val="FirstParagraph"/>
      </w:pPr>
      <w:r>
        <w:t>Over more than four decades of research on spatial attention, experiments where participants report the presence or absence of a target in a display revealed basic principles such as the set-size effect (Treisman, 1986; Treisman &amp; Sato, 1990; Wolfe, 1998), the advantage for feature search over more complicated conjunction and spatial configuration searches (Treisman, 1986; Treisman &amp; Sato, 1990), and asymmetries in the representations of visual features (Malinowski &amp; Hübner, 2001; Shen &amp; Reingold, 2001; Treisman &amp; Gormican, 1988; Treisman &amp; Souther, 1985). Some of these findings are intuitive, but others are more surprising; even without training in psychology, people have a set of expectations and beliefs about their own perception and attention, and about visual search more specifically.</w:t>
      </w:r>
    </w:p>
    <w:p w14:paraId="03F37E4B" w14:textId="3000C8D6" w:rsidR="006D466C" w:rsidRDefault="00000000" w:rsidP="00726B39">
      <w:pPr>
        <w:pStyle w:val="BodyText"/>
      </w:pPr>
      <w:r>
        <w:t xml:space="preserve">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 (Levin &amp; Angelone, 2008; Miller &amp; Bigi, 1977). We asked whether participants categorically distinguish ‘easy’ from ‘hard’ 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w:t>
      </w:r>
      <w:r>
        <w:lastRenderedPageBreak/>
        <w:t>effect for color search. In the following paragraphs, we unpack our central findings in more detail, and ask what structure of internal models of visual search best accounts for the entirety of our findings.</w:t>
      </w:r>
    </w:p>
    <w:p w14:paraId="16FEDF40" w14:textId="77777777" w:rsidR="006D466C" w:rsidRDefault="00000000">
      <w:pPr>
        <w:pStyle w:val="Heading3"/>
        <w:framePr w:wrap="around"/>
      </w:pPr>
      <w:bookmarkStart w:id="25" w:name="do-subjects-know-that-color-pops-out"/>
      <w:r>
        <w:t>Do subjects know that color pops out?.</w:t>
      </w:r>
    </w:p>
    <w:p w14:paraId="4AC76028" w14:textId="77777777" w:rsidR="006D466C" w:rsidRDefault="00000000">
      <w:pPr>
        <w:pStyle w:val="FirstParagraph"/>
      </w:pPr>
      <w:r>
        <w:t>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5DC0CA6D" w14:textId="77777777" w:rsidR="006D466C" w:rsidRDefault="00000000">
      <w:pPr>
        <w:pStyle w:val="BodyText"/>
      </w:pPr>
      <w:r>
        <w:t xml:space="preserve">In Experiments 1 and 2, we similarly found evidence for metacognitive knowledge that color search is easy. Estimation slopes for color search were consistently shallower than for </w:t>
      </w:r>
      <w:r>
        <w:lastRenderedPageBreak/>
        <w:t xml:space="preserve">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4822A704" w14:textId="77777777" w:rsidR="006D466C" w:rsidRDefault="0000000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w:t>
      </w:r>
      <w:r>
        <w:lastRenderedPageBreak/>
        <w:t>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p w14:paraId="746E221C" w14:textId="77777777" w:rsidR="006D466C" w:rsidRDefault="00000000">
      <w:pPr>
        <w:pStyle w:val="Heading3"/>
        <w:framePr w:wrap="around"/>
      </w:pPr>
      <w:bookmarkStart w:id="26" w:name="Xb867379c75f0412a863cb265df8ebc114aa779b"/>
      <w:bookmarkEnd w:id="25"/>
      <w:r>
        <w:t>What is person-specific about internal models of visual search?.</w:t>
      </w:r>
    </w:p>
    <w:p w14:paraId="401F8E53" w14:textId="77777777" w:rsidR="006D466C" w:rsidRDefault="00000000">
      <w:pPr>
        <w:pStyle w:val="FirstParagraph"/>
      </w:pPr>
      <w:r>
        <w:t xml:space="preserve">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w:t>
      </w:r>
      <w:r>
        <w:lastRenderedPageBreak/>
        <w:t>idiosyncratic beliefs about visual search: judgments about similarity or complexity of visual objects, and person-specific knowledge about attention.</w:t>
      </w:r>
    </w:p>
    <w:p w14:paraId="15A3CD43" w14:textId="77777777" w:rsidR="006D466C" w:rsidRDefault="00000000">
      <w:pPr>
        <w:pStyle w:val="BodyText"/>
      </w:pPr>
      <w:r>
        <w:t>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14:paraId="48064547" w14:textId="77777777" w:rsidR="006D466C" w:rsidRDefault="00000000">
      <w:pPr>
        <w:pStyle w:val="BodyText"/>
      </w:pPr>
      <w:r>
        <w:t xml:space="preserve">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w:t>
      </w:r>
      <w:r>
        <w:lastRenderedPageBreak/>
        <w:t>under what circumstances, etc. Future research into the development of this simplified model and its expansion based on new evidence [for example, by measuring intuitions before and after exposure to some evidence; Bonawitz, Ullman, Bridgers, Gopnik, and Tenenbaum (2019)] is needed to understand the relation between metacognitive monitoring of attention and metacognitive knowledge of attentional processes.</w:t>
      </w:r>
    </w:p>
    <w:p w14:paraId="339C88A4" w14:textId="77777777" w:rsidR="006D466C" w:rsidRDefault="00000000">
      <w:pPr>
        <w:pStyle w:val="BodyText"/>
      </w:pPr>
      <w:r>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p w14:paraId="1732B8DF" w14:textId="77777777" w:rsidR="006D466C" w:rsidRDefault="00000000">
      <w:pPr>
        <w:pStyle w:val="Heading3"/>
        <w:framePr w:wrap="around"/>
      </w:pPr>
      <w:bookmarkStart w:id="27" w:name="Xee1004b65e704ae4a9ec78efb075eed8be26f81"/>
      <w:bookmarkEnd w:id="26"/>
      <w:r>
        <w:t>What is the structure of internal models of visual search?.</w:t>
      </w:r>
    </w:p>
    <w:p w14:paraId="0FEB0CD2" w14:textId="77777777" w:rsidR="006D466C" w:rsidRDefault="00000000">
      <w:pPr>
        <w:pStyle w:val="FirstParagraph"/>
      </w:pPr>
      <w:r>
        <w:t xml:space="preserve">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w:t>
      </w:r>
      <w:r>
        <w:lastRenderedPageBreak/>
        <w:t>about one possible specification of internal models of visual search that can account for these patterns. Importantly, the following is not meant to account for visual search behaviour, but for people’s intuitions about visual search.</w:t>
      </w:r>
    </w:p>
    <w:p w14:paraId="4757848B" w14:textId="77777777" w:rsidR="006D466C" w:rsidRDefault="00000000">
      <w:pPr>
        <w:pStyle w:val="BodyText"/>
      </w:pPr>
      <w:r>
        <w:t>According to this speculative model, subjects represent visual search as a serial search among items, where the dwelling time on each item before moving to the next one is a function 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14:paraId="0384A171" w14:textId="77777777" w:rsidR="006D466C" w:rsidRDefault="00000000">
      <w:pPr>
        <w:pStyle w:val="BodyText"/>
      </w:pPr>
      <w:r>
        <w:t>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 ‘feature maps’, or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voluntarily attend to individual items in order to perceive them.</w:t>
      </w:r>
    </w:p>
    <w:p w14:paraId="12321078" w14:textId="77777777" w:rsidR="006D466C" w:rsidRDefault="00000000">
      <w:pPr>
        <w:pStyle w:val="BodyText"/>
      </w:pPr>
      <w:r>
        <w:lastRenderedPageBreak/>
        <w:t>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subjects may believe that 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14:paraId="25AE89B6" w14:textId="77777777" w:rsidR="006D466C" w:rsidRDefault="00000000">
      <w:pPr>
        <w:pStyle w:val="BodyText"/>
      </w:pPr>
      <w:r>
        <w:t>Finally, it remains an open question whether people’s internal models of visual search are represented as an approximate probabilistic model or alternatively as a list of rules. For example, an alternative description of the above model is captured by three simple rules: people believe that searches are harder when 1) there are many distractors, 2) the distractors are similar to the target, and 3) the distractors are different from each other. A list of rules may be easier for subjects to represent than a probabilistic model, but this comes at the expense of being less flexible in predicting search times in unfamiliar settings. We leave it for future work to answer this important question.</w:t>
      </w:r>
    </w:p>
    <w:p w14:paraId="33E5D4D9" w14:textId="77777777" w:rsidR="006D466C" w:rsidRDefault="00000000">
      <w:pPr>
        <w:pStyle w:val="Heading3"/>
        <w:framePr w:wrap="around"/>
      </w:pPr>
      <w:bookmarkStart w:id="28" w:name="conclusion"/>
      <w:bookmarkEnd w:id="27"/>
      <w:r>
        <w:lastRenderedPageBreak/>
        <w:t>Conclusion.</w:t>
      </w:r>
    </w:p>
    <w:p w14:paraId="1323587C" w14:textId="77777777" w:rsidR="006D466C" w:rsidRDefault="00000000">
      <w:pPr>
        <w:pStyle w:val="FirstParagraph"/>
      </w:pPr>
      <w:r>
        <w:t>Together, our results reveal an alignment between prospective search time estimates and search times. We find that search difficulty is represented along a gradient, and is not person-invariant. Our results also reveal important limitations on subject’s ability to predict their visual search behaviour; most notably, we find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14:paraId="4E0643BE" w14:textId="77777777" w:rsidR="006D466C" w:rsidRDefault="00000000">
      <w:r>
        <w:br w:type="page"/>
      </w:r>
    </w:p>
    <w:p w14:paraId="6161C0CA" w14:textId="77777777" w:rsidR="006D466C" w:rsidRDefault="00000000">
      <w:pPr>
        <w:pStyle w:val="Heading1"/>
      </w:pPr>
      <w:bookmarkStart w:id="29" w:name="references"/>
      <w:bookmarkEnd w:id="18"/>
      <w:bookmarkEnd w:id="24"/>
      <w:bookmarkEnd w:id="28"/>
      <w:r>
        <w:lastRenderedPageBreak/>
        <w:t>References</w:t>
      </w:r>
    </w:p>
    <w:p w14:paraId="7E2DED61" w14:textId="77777777" w:rsidR="006D466C" w:rsidRDefault="00000000">
      <w:pPr>
        <w:pStyle w:val="Bibliography"/>
      </w:pPr>
      <w:bookmarkStart w:id="30" w:name="ref-adams2020assessing"/>
      <w:bookmarkStart w:id="31" w:name="refs"/>
      <w:r>
        <w:t xml:space="preserve">Adams, O. J., &amp; Gaspelin, N. (2020). Assessing introspective awareness of attention capture. </w:t>
      </w:r>
      <w:r>
        <w:rPr>
          <w:i/>
          <w:iCs/>
        </w:rPr>
        <w:t>Attention, Perception, &amp; Psychophysics</w:t>
      </w:r>
      <w:r>
        <w:t>, 1–13.</w:t>
      </w:r>
    </w:p>
    <w:p w14:paraId="42F8A6F0" w14:textId="77777777" w:rsidR="006D466C" w:rsidRDefault="00000000">
      <w:pPr>
        <w:pStyle w:val="Bibliography"/>
      </w:pPr>
      <w:bookmarkStart w:id="32" w:name="ref-adams2021introspective"/>
      <w:bookmarkEnd w:id="30"/>
      <w:r>
        <w:t xml:space="preserve">Adams, O. J., &amp; Gaspelin, N. (2021). Introspective awareness of oculomotor attentional capture. </w:t>
      </w:r>
      <w:r>
        <w:rPr>
          <w:i/>
          <w:iCs/>
        </w:rPr>
        <w:t>Journal of Experimental Psychology: Human Perception and Performance</w:t>
      </w:r>
      <w:r>
        <w:t>.</w:t>
      </w:r>
    </w:p>
    <w:p w14:paraId="58291309" w14:textId="77777777" w:rsidR="006D466C" w:rsidRDefault="00000000">
      <w:pPr>
        <w:pStyle w:val="Bibliography"/>
      </w:pPr>
      <w:bookmarkStart w:id="33" w:name="ref-baker2011bayesian"/>
      <w:bookmarkEnd w:id="32"/>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3ACC35E8" w14:textId="77777777" w:rsidR="006D466C" w:rsidRDefault="00000000">
      <w:pPr>
        <w:pStyle w:val="Bibliography"/>
      </w:pPr>
      <w:bookmarkStart w:id="34" w:name="ref-battaglia2013simulation"/>
      <w:bookmarkEnd w:id="33"/>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473CE5DD" w14:textId="77777777" w:rsidR="006D466C" w:rsidRDefault="00000000">
      <w:pPr>
        <w:pStyle w:val="Bibliography"/>
      </w:pPr>
      <w:bookmarkStart w:id="35" w:name="ref-blakemore1998central"/>
      <w:bookmarkEnd w:id="34"/>
      <w:r>
        <w:t xml:space="preserve">Blakemore, S.-J., Wolpert, D. M., &amp; Frith, C. D. (1998). Central cancellation of self-produced tickle sensation. </w:t>
      </w:r>
      <w:r>
        <w:rPr>
          <w:i/>
          <w:iCs/>
        </w:rPr>
        <w:t>Nature Neuroscience</w:t>
      </w:r>
      <w:r>
        <w:t xml:space="preserve">, </w:t>
      </w:r>
      <w:r>
        <w:rPr>
          <w:i/>
          <w:iCs/>
        </w:rPr>
        <w:t>1</w:t>
      </w:r>
      <w:r>
        <w:t>(7), 635–640.</w:t>
      </w:r>
    </w:p>
    <w:p w14:paraId="064B2E4C" w14:textId="77777777" w:rsidR="006D466C" w:rsidRDefault="00000000">
      <w:pPr>
        <w:pStyle w:val="Bibliography"/>
      </w:pPr>
      <w:bookmarkStart w:id="36" w:name="ref-bonawitz2019sticking"/>
      <w:bookmarkEnd w:id="35"/>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0D3BD960" w14:textId="77777777" w:rsidR="006D466C" w:rsidRDefault="00000000">
      <w:pPr>
        <w:pStyle w:val="Bibliography"/>
      </w:pPr>
      <w:bookmarkStart w:id="37" w:name="ref-brown1977memorability"/>
      <w:bookmarkEnd w:id="36"/>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4C0F0174" w14:textId="77777777" w:rsidR="006D466C" w:rsidRDefault="00000000">
      <w:pPr>
        <w:pStyle w:val="Bibliography"/>
      </w:pPr>
      <w:bookmarkStart w:id="38" w:name="ref-dedes2005mechanism"/>
      <w:bookmarkEnd w:id="37"/>
      <w:r>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76B7A737" w14:textId="77777777" w:rsidR="006D466C" w:rsidRDefault="00000000">
      <w:pPr>
        <w:pStyle w:val="Bibliography"/>
      </w:pPr>
      <w:bookmarkStart w:id="39" w:name="ref-forrester1971counterintuitive"/>
      <w:bookmarkEnd w:id="38"/>
      <w:r>
        <w:lastRenderedPageBreak/>
        <w:t xml:space="preserve">Forrester, J. W. (1971). Counterintuitive behavior of social systems. </w:t>
      </w:r>
      <w:r>
        <w:rPr>
          <w:i/>
          <w:iCs/>
        </w:rPr>
        <w:t>Theory and Decision</w:t>
      </w:r>
      <w:r>
        <w:t xml:space="preserve">, </w:t>
      </w:r>
      <w:r>
        <w:rPr>
          <w:i/>
          <w:iCs/>
        </w:rPr>
        <w:t>2</w:t>
      </w:r>
      <w:r>
        <w:t>(2), 109–140.</w:t>
      </w:r>
    </w:p>
    <w:p w14:paraId="7E96CE48" w14:textId="77777777" w:rsidR="006D466C" w:rsidRDefault="00000000">
      <w:pPr>
        <w:pStyle w:val="Bibliography"/>
      </w:pPr>
      <w:bookmarkStart w:id="40" w:name="ref-friston2010free"/>
      <w:bookmarkEnd w:id="39"/>
      <w:r>
        <w:t xml:space="preserve">Friston, K. (2010). The free-energy principle: A unified brain theory? </w:t>
      </w:r>
      <w:r>
        <w:rPr>
          <w:i/>
          <w:iCs/>
        </w:rPr>
        <w:t>Nature Reviews Neuroscience</w:t>
      </w:r>
      <w:r>
        <w:t xml:space="preserve">, </w:t>
      </w:r>
      <w:r>
        <w:rPr>
          <w:i/>
          <w:iCs/>
        </w:rPr>
        <w:t>11</w:t>
      </w:r>
      <w:r>
        <w:t>(2), 127–138.</w:t>
      </w:r>
    </w:p>
    <w:p w14:paraId="7A74902C" w14:textId="77777777" w:rsidR="006D466C" w:rsidRDefault="00000000">
      <w:pPr>
        <w:pStyle w:val="Bibliography"/>
      </w:pPr>
      <w:bookmarkStart w:id="41" w:name="ref-gerstenberg2017intuitive"/>
      <w:bookmarkEnd w:id="40"/>
      <w:r>
        <w:t xml:space="preserve">Gerstenberg, T., &amp; Tenenbaum, J. B. (2017). Intuitive theories. </w:t>
      </w:r>
      <w:r>
        <w:rPr>
          <w:i/>
          <w:iCs/>
        </w:rPr>
        <w:t>Oxford Handbook of Causal Reasoning</w:t>
      </w:r>
      <w:r>
        <w:t>, 515–548.</w:t>
      </w:r>
    </w:p>
    <w:p w14:paraId="64CBD71A" w14:textId="77777777" w:rsidR="006D466C" w:rsidRDefault="00000000">
      <w:pPr>
        <w:pStyle w:val="Bibliography"/>
      </w:pPr>
      <w:bookmarkStart w:id="42" w:name="ref-gopnik1997words"/>
      <w:bookmarkEnd w:id="41"/>
      <w:r>
        <w:t xml:space="preserve">Gopnik, A., &amp; Meltzoff, A. N. (1997). </w:t>
      </w:r>
      <w:r>
        <w:rPr>
          <w:i/>
          <w:iCs/>
        </w:rPr>
        <w:t>Words, thoughts, and theories</w:t>
      </w:r>
      <w:r>
        <w:t>. Mit Press.</w:t>
      </w:r>
    </w:p>
    <w:p w14:paraId="7B07E8AB" w14:textId="77777777" w:rsidR="006D466C" w:rsidRDefault="00000000">
      <w:pPr>
        <w:pStyle w:val="Bibliography"/>
      </w:pPr>
      <w:bookmarkStart w:id="43" w:name="ref-graziano2013consciousness"/>
      <w:bookmarkEnd w:id="42"/>
      <w:r>
        <w:t xml:space="preserve">Graziano, M. S. (2013). </w:t>
      </w:r>
      <w:r>
        <w:rPr>
          <w:i/>
          <w:iCs/>
        </w:rPr>
        <w:t>Consciousness and the social brain</w:t>
      </w:r>
      <w:r>
        <w:t>. Oxford University Press.</w:t>
      </w:r>
    </w:p>
    <w:p w14:paraId="7975DB5C" w14:textId="77777777" w:rsidR="006D466C" w:rsidRDefault="00000000">
      <w:pPr>
        <w:pStyle w:val="Bibliography"/>
      </w:pPr>
      <w:bookmarkStart w:id="44" w:name="ref-graziano2015attention"/>
      <w:bookmarkEnd w:id="43"/>
      <w:r>
        <w:t xml:space="preserve">Graziano, M. S., &amp; Webb, T. W. (2015). The attention schema theory: A mechanistic account of subjective awareness. </w:t>
      </w:r>
      <w:r>
        <w:rPr>
          <w:i/>
          <w:iCs/>
        </w:rPr>
        <w:t>Frontiers in Psychology</w:t>
      </w:r>
      <w:r>
        <w:t xml:space="preserve">, </w:t>
      </w:r>
      <w:r>
        <w:rPr>
          <w:i/>
          <w:iCs/>
        </w:rPr>
        <w:t>6</w:t>
      </w:r>
      <w:r>
        <w:t>, 500.</w:t>
      </w:r>
    </w:p>
    <w:p w14:paraId="396D4059" w14:textId="77777777" w:rsidR="006D466C" w:rsidRDefault="00000000">
      <w:pPr>
        <w:pStyle w:val="Bibliography"/>
      </w:pPr>
      <w:bookmarkStart w:id="45" w:name="ref-henninger2019lab"/>
      <w:bookmarkEnd w:id="44"/>
      <w:r>
        <w:t xml:space="preserve">Henninger, F., Shevchenko, Y., Mertens, U., Kieslich, P. J., &amp; Hilbig, B. E. (2019). </w:t>
      </w:r>
      <w:r>
        <w:rPr>
          <w:i/>
          <w:iCs/>
        </w:rPr>
        <w:t>Lab. Js: A free, open, online study builder</w:t>
      </w:r>
      <w:r>
        <w:t>.</w:t>
      </w:r>
    </w:p>
    <w:p w14:paraId="2F4A6DC6" w14:textId="77777777" w:rsidR="006D466C" w:rsidRDefault="00000000">
      <w:pPr>
        <w:pStyle w:val="Bibliography"/>
      </w:pPr>
      <w:bookmarkStart w:id="46" w:name="ref-jara2021social"/>
      <w:bookmarkEnd w:id="45"/>
      <w:r>
        <w:t xml:space="preserve">Jara-Ettinger, J., &amp; Rubio-Fernandez, P. (2021). The social basis of referential communication: Speakers construct physical reference based on listeners’ expected visual search. </w:t>
      </w:r>
      <w:r>
        <w:rPr>
          <w:i/>
          <w:iCs/>
        </w:rPr>
        <w:t>Psychological Review</w:t>
      </w:r>
      <w:r>
        <w:t>.</w:t>
      </w:r>
    </w:p>
    <w:p w14:paraId="55621DCB" w14:textId="77777777" w:rsidR="006D466C" w:rsidRDefault="00000000">
      <w:pPr>
        <w:pStyle w:val="Bibliography"/>
      </w:pPr>
      <w:bookmarkStart w:id="47" w:name="ref-lake2011one"/>
      <w:bookmarkEnd w:id="46"/>
      <w:r>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301DDEEC" w14:textId="77777777" w:rsidR="006D466C" w:rsidRDefault="00000000">
      <w:pPr>
        <w:pStyle w:val="Bibliography"/>
      </w:pPr>
      <w:bookmarkStart w:id="48" w:name="ref-lange2015just"/>
      <w:bookmarkEnd w:id="47"/>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04FDC5FA" w14:textId="77777777" w:rsidR="006D466C" w:rsidRDefault="00000000">
      <w:pPr>
        <w:pStyle w:val="Bibliography"/>
      </w:pPr>
      <w:bookmarkStart w:id="49" w:name="ref-levin2008visual"/>
      <w:bookmarkEnd w:id="48"/>
      <w:r>
        <w:lastRenderedPageBreak/>
        <w:t xml:space="preserve">Levin, D. T., &amp; Angelone, B. L. (2008). The visual metacognition questionnaire: A measure of intuitions about vision. </w:t>
      </w:r>
      <w:r>
        <w:rPr>
          <w:i/>
          <w:iCs/>
        </w:rPr>
        <w:t>The American Journal of Psychology</w:t>
      </w:r>
      <w:r>
        <w:t>, 451–472.</w:t>
      </w:r>
    </w:p>
    <w:p w14:paraId="16A0AAD1" w14:textId="77777777" w:rsidR="006D466C" w:rsidRDefault="00000000">
      <w:pPr>
        <w:pStyle w:val="Bibliography"/>
      </w:pPr>
      <w:bookmarkStart w:id="50" w:name="ref-malinowski2001effect"/>
      <w:bookmarkEnd w:id="49"/>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2CC5C0BC" w14:textId="77777777" w:rsidR="006D466C" w:rsidRDefault="00000000">
      <w:pPr>
        <w:pStyle w:val="Bibliography"/>
      </w:pPr>
      <w:bookmarkStart w:id="51" w:name="ref-mazorinference"/>
      <w:bookmarkEnd w:id="50"/>
      <w:r>
        <w:t xml:space="preserve">Mazor, M. (2021). </w:t>
      </w:r>
      <w:r>
        <w:rPr>
          <w:i/>
          <w:iCs/>
        </w:rPr>
        <w:t>Inference about absence as a window into the mental self-model</w:t>
      </w:r>
      <w:r>
        <w:t>.</w:t>
      </w:r>
    </w:p>
    <w:p w14:paraId="397FB79A" w14:textId="77777777" w:rsidR="006D466C" w:rsidRDefault="00000000">
      <w:pPr>
        <w:pStyle w:val="Bibliography"/>
      </w:pPr>
      <w:bookmarkStart w:id="52" w:name="ref-mazor2022efficient"/>
      <w:bookmarkEnd w:id="51"/>
      <w:r>
        <w:t xml:space="preserve">Mazor, M., &amp; Fleming, S. M. (2022). Efficient search termination without task experience. </w:t>
      </w:r>
      <w:r>
        <w:rPr>
          <w:i/>
          <w:iCs/>
        </w:rPr>
        <w:t>Journal of Experimental Psychology: General</w:t>
      </w:r>
      <w:r>
        <w:t>.</w:t>
      </w:r>
    </w:p>
    <w:p w14:paraId="73B35779" w14:textId="77777777" w:rsidR="006D466C" w:rsidRDefault="00000000">
      <w:pPr>
        <w:pStyle w:val="Bibliography"/>
      </w:pPr>
      <w:bookmarkStart w:id="53" w:name="ref-metzinger2003phenomenal"/>
      <w:bookmarkEnd w:id="52"/>
      <w:r>
        <w:t xml:space="preserve">Metzinger, T. (2003). Phenomenal transparency and cognitive self-reference. </w:t>
      </w:r>
      <w:r>
        <w:rPr>
          <w:i/>
          <w:iCs/>
        </w:rPr>
        <w:t>Phenomenology and the Cognitive Sciences</w:t>
      </w:r>
      <w:r>
        <w:t xml:space="preserve">, </w:t>
      </w:r>
      <w:r>
        <w:rPr>
          <w:i/>
          <w:iCs/>
        </w:rPr>
        <w:t>2</w:t>
      </w:r>
      <w:r>
        <w:t>(4), 353–393.</w:t>
      </w:r>
    </w:p>
    <w:p w14:paraId="422FB691" w14:textId="77777777" w:rsidR="006D466C" w:rsidRDefault="00000000">
      <w:pPr>
        <w:pStyle w:val="Bibliography"/>
      </w:pPr>
      <w:bookmarkStart w:id="54" w:name="ref-miller1977children"/>
      <w:bookmarkEnd w:id="53"/>
      <w:r>
        <w:t xml:space="preserve">Miller, P. H., &amp; Bigi, L. (1977). Children’s understanding of how stimulus dimensions affect performance. </w:t>
      </w:r>
      <w:r>
        <w:rPr>
          <w:i/>
          <w:iCs/>
        </w:rPr>
        <w:t>Child Development</w:t>
      </w:r>
      <w:r>
        <w:t>, 1712–1715.</w:t>
      </w:r>
    </w:p>
    <w:p w14:paraId="3B7BAB06" w14:textId="77777777" w:rsidR="006D466C" w:rsidRDefault="00000000">
      <w:pPr>
        <w:pStyle w:val="Bibliography"/>
      </w:pPr>
      <w:bookmarkStart w:id="55" w:name="ref-shen2001visual"/>
      <w:bookmarkEnd w:id="54"/>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125CD090" w14:textId="77777777" w:rsidR="006D466C" w:rsidRDefault="00000000">
      <w:pPr>
        <w:pStyle w:val="Bibliography"/>
      </w:pPr>
      <w:bookmarkStart w:id="56" w:name="ref-shepard1971mental"/>
      <w:bookmarkEnd w:id="55"/>
      <w:r>
        <w:t xml:space="preserve">Shepard, R. N., &amp; Metzler, J. (1971). Mental rotation of three-dimensional objects. </w:t>
      </w:r>
      <w:r>
        <w:rPr>
          <w:i/>
          <w:iCs/>
        </w:rPr>
        <w:t>Science</w:t>
      </w:r>
      <w:r>
        <w:t xml:space="preserve">, </w:t>
      </w:r>
      <w:r>
        <w:rPr>
          <w:i/>
          <w:iCs/>
        </w:rPr>
        <w:t>171</w:t>
      </w:r>
      <w:r>
        <w:t>(3972), 701–703.</w:t>
      </w:r>
    </w:p>
    <w:p w14:paraId="0DB9CD74" w14:textId="77777777" w:rsidR="006D466C" w:rsidRDefault="00000000">
      <w:pPr>
        <w:pStyle w:val="Bibliography"/>
      </w:pPr>
      <w:bookmarkStart w:id="57" w:name="ref-siegel2021children"/>
      <w:bookmarkEnd w:id="56"/>
      <w:r>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2C0B83E7" w14:textId="77777777" w:rsidR="006D466C" w:rsidRDefault="00000000">
      <w:pPr>
        <w:pStyle w:val="Bibliography"/>
      </w:pPr>
      <w:bookmarkStart w:id="58" w:name="ref-smith2013sources"/>
      <w:bookmarkEnd w:id="57"/>
      <w:r>
        <w:t xml:space="preserve">Smith, K. A., &amp; Vul, E. (2013). Sources of uncertainty in intuitive physics. </w:t>
      </w:r>
      <w:r>
        <w:rPr>
          <w:i/>
          <w:iCs/>
        </w:rPr>
        <w:t>Topics in Cognitive Science</w:t>
      </w:r>
      <w:r>
        <w:t xml:space="preserve">, </w:t>
      </w:r>
      <w:r>
        <w:rPr>
          <w:i/>
          <w:iCs/>
        </w:rPr>
        <w:t>5</w:t>
      </w:r>
      <w:r>
        <w:t>(1), 185–199.</w:t>
      </w:r>
    </w:p>
    <w:p w14:paraId="50D00790" w14:textId="77777777" w:rsidR="006D466C" w:rsidRDefault="00000000">
      <w:pPr>
        <w:pStyle w:val="Bibliography"/>
      </w:pPr>
      <w:bookmarkStart w:id="59" w:name="ref-tenenbaum2011grow"/>
      <w:bookmarkEnd w:id="58"/>
      <w:r>
        <w:lastRenderedPageBreak/>
        <w:t xml:space="preserve">Tenenbaum, J. B., Kemp, C., Griffiths, T. L., &amp; Goodman, N. D. (2011). How to grow a mind: Statistics, structure, and abstraction. </w:t>
      </w:r>
      <w:r>
        <w:rPr>
          <w:i/>
          <w:iCs/>
        </w:rPr>
        <w:t>Science</w:t>
      </w:r>
      <w:r>
        <w:t xml:space="preserve">, </w:t>
      </w:r>
      <w:r>
        <w:rPr>
          <w:i/>
          <w:iCs/>
        </w:rPr>
        <w:t>331</w:t>
      </w:r>
      <w:r>
        <w:t>(6022), 1279–1285.</w:t>
      </w:r>
    </w:p>
    <w:p w14:paraId="57BF0690" w14:textId="77777777" w:rsidR="006D466C" w:rsidRDefault="00000000">
      <w:pPr>
        <w:pStyle w:val="Bibliography"/>
      </w:pPr>
      <w:bookmarkStart w:id="60" w:name="ref-treisman1986features"/>
      <w:bookmarkEnd w:id="59"/>
      <w:r>
        <w:t xml:space="preserve">Treisman, A. (1986). Features and objects in visual processing. </w:t>
      </w:r>
      <w:r>
        <w:rPr>
          <w:i/>
          <w:iCs/>
        </w:rPr>
        <w:t>Scientific American</w:t>
      </w:r>
      <w:r>
        <w:t xml:space="preserve">, </w:t>
      </w:r>
      <w:r>
        <w:rPr>
          <w:i/>
          <w:iCs/>
        </w:rPr>
        <w:t>255</w:t>
      </w:r>
      <w:r>
        <w:t>(5), 114B–125.</w:t>
      </w:r>
    </w:p>
    <w:p w14:paraId="566BA7B0" w14:textId="77777777" w:rsidR="006D466C" w:rsidRDefault="00000000">
      <w:pPr>
        <w:pStyle w:val="Bibliography"/>
      </w:pPr>
      <w:bookmarkStart w:id="61" w:name="ref-treisman1988feature"/>
      <w:bookmarkEnd w:id="60"/>
      <w:r>
        <w:t xml:space="preserve">Treisman, A., &amp; Gormican, S. (1988). Feature analysis in early vision: Evidence from search asymmetries. </w:t>
      </w:r>
      <w:r>
        <w:rPr>
          <w:i/>
          <w:iCs/>
        </w:rPr>
        <w:t>Psychological Review</w:t>
      </w:r>
      <w:r>
        <w:t xml:space="preserve">, </w:t>
      </w:r>
      <w:r>
        <w:rPr>
          <w:i/>
          <w:iCs/>
        </w:rPr>
        <w:t>95</w:t>
      </w:r>
      <w:r>
        <w:t>(1), 15.</w:t>
      </w:r>
    </w:p>
    <w:p w14:paraId="7B0D01EC" w14:textId="77777777" w:rsidR="006D466C" w:rsidRDefault="00000000">
      <w:pPr>
        <w:pStyle w:val="Bibliography"/>
      </w:pPr>
      <w:bookmarkStart w:id="62" w:name="ref-treisman1990conjunction"/>
      <w:bookmarkEnd w:id="61"/>
      <w:r>
        <w:t xml:space="preserve">Treisman, A., &amp; Sato, S. (1990). Conjunction search revisited. </w:t>
      </w:r>
      <w:r>
        <w:rPr>
          <w:i/>
          <w:iCs/>
        </w:rPr>
        <w:t>Journal of Experimental Psychology: Human Perception and Performance</w:t>
      </w:r>
      <w:r>
        <w:t xml:space="preserve">, </w:t>
      </w:r>
      <w:r>
        <w:rPr>
          <w:i/>
          <w:iCs/>
        </w:rPr>
        <w:t>16</w:t>
      </w:r>
      <w:r>
        <w:t>(3), 459.</w:t>
      </w:r>
    </w:p>
    <w:p w14:paraId="3D0FA5A8" w14:textId="77777777" w:rsidR="006D466C" w:rsidRDefault="00000000">
      <w:pPr>
        <w:pStyle w:val="Bibliography"/>
      </w:pPr>
      <w:bookmarkStart w:id="63" w:name="ref-treisman1985search"/>
      <w:bookmarkEnd w:id="62"/>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1C52FFAA" w14:textId="77777777" w:rsidR="006D466C" w:rsidRDefault="00000000">
      <w:pPr>
        <w:pStyle w:val="Bibliography"/>
      </w:pPr>
      <w:bookmarkStart w:id="64" w:name="ref-tversky1977features"/>
      <w:bookmarkEnd w:id="63"/>
      <w:r>
        <w:t xml:space="preserve">Tversky, A. (1977). Features of similarity. </w:t>
      </w:r>
      <w:r>
        <w:rPr>
          <w:i/>
          <w:iCs/>
        </w:rPr>
        <w:t>Psychological Review</w:t>
      </w:r>
      <w:r>
        <w:t xml:space="preserve">, </w:t>
      </w:r>
      <w:r>
        <w:rPr>
          <w:i/>
          <w:iCs/>
        </w:rPr>
        <w:t>84</w:t>
      </w:r>
      <w:r>
        <w:t>(4), 327.</w:t>
      </w:r>
    </w:p>
    <w:p w14:paraId="3726EA3C" w14:textId="77777777" w:rsidR="006D466C" w:rsidRDefault="00000000">
      <w:pPr>
        <w:pStyle w:val="Bibliography"/>
      </w:pPr>
      <w:bookmarkStart w:id="65" w:name="ref-wilterson2020attention"/>
      <w:bookmarkEnd w:id="64"/>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6AF4D297" w14:textId="77777777" w:rsidR="006D466C" w:rsidRDefault="00000000">
      <w:pPr>
        <w:pStyle w:val="Bibliography"/>
      </w:pPr>
      <w:bookmarkStart w:id="66" w:name="ref-wolfe1994guided"/>
      <w:bookmarkEnd w:id="65"/>
      <w:r>
        <w:t xml:space="preserve">Wolfe, J. M. (1994). Guided search 2.0 a revised model of visual search. </w:t>
      </w:r>
      <w:r>
        <w:rPr>
          <w:i/>
          <w:iCs/>
        </w:rPr>
        <w:t>Psychonomic Bulletin &amp; Review</w:t>
      </w:r>
      <w:r>
        <w:t xml:space="preserve">, </w:t>
      </w:r>
      <w:r>
        <w:rPr>
          <w:i/>
          <w:iCs/>
        </w:rPr>
        <w:t>1</w:t>
      </w:r>
      <w:r>
        <w:t>(2), 202–238.</w:t>
      </w:r>
    </w:p>
    <w:p w14:paraId="4D3FE00B" w14:textId="77777777" w:rsidR="006D466C" w:rsidRDefault="00000000">
      <w:pPr>
        <w:pStyle w:val="Bibliography"/>
      </w:pPr>
      <w:bookmarkStart w:id="67" w:name="ref-wolfe1998can"/>
      <w:bookmarkEnd w:id="66"/>
      <w:r>
        <w:t xml:space="preserve">Wolfe, J. M. (1998). What can 1 million trials tell us about visual search? </w:t>
      </w:r>
      <w:r>
        <w:rPr>
          <w:i/>
          <w:iCs/>
        </w:rPr>
        <w:t>Psychological Science</w:t>
      </w:r>
      <w:r>
        <w:t xml:space="preserve">, </w:t>
      </w:r>
      <w:r>
        <w:rPr>
          <w:i/>
          <w:iCs/>
        </w:rPr>
        <w:t>9</w:t>
      </w:r>
      <w:r>
        <w:t>(1), 33–39.</w:t>
      </w:r>
    </w:p>
    <w:p w14:paraId="2682E322" w14:textId="77777777" w:rsidR="006D466C" w:rsidRDefault="00000000">
      <w:pPr>
        <w:pStyle w:val="Bibliography"/>
      </w:pPr>
      <w:bookmarkStart w:id="68" w:name="ref-wolfe2021guided"/>
      <w:bookmarkEnd w:id="67"/>
      <w:r>
        <w:t xml:space="preserve">Wolfe, J. M. (2021). Guided search 6.0: An updated model of visual search. </w:t>
      </w:r>
      <w:r>
        <w:rPr>
          <w:i/>
          <w:iCs/>
        </w:rPr>
        <w:t>Psychonomic Bulletin &amp; Review</w:t>
      </w:r>
      <w:r>
        <w:t>, 1–33.</w:t>
      </w:r>
    </w:p>
    <w:p w14:paraId="065060BA" w14:textId="77777777" w:rsidR="006D466C" w:rsidRDefault="00000000">
      <w:pPr>
        <w:pStyle w:val="Bibliography"/>
      </w:pPr>
      <w:bookmarkStart w:id="69" w:name="ref-wolfe1989guided"/>
      <w:bookmarkEnd w:id="68"/>
      <w:r>
        <w:lastRenderedPageBreak/>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549B7D16" w14:textId="77777777" w:rsidR="006D466C" w:rsidRDefault="00000000">
      <w:pPr>
        <w:pStyle w:val="Bibliography"/>
      </w:pPr>
      <w:bookmarkStart w:id="70" w:name="ref-wolpert1995internal"/>
      <w:bookmarkEnd w:id="69"/>
      <w:r>
        <w:t xml:space="preserve">Wolpert, D. M., Ghahramani, Z., &amp; Jordan, M. I. (1995). An internal model for sensorimotor integration. </w:t>
      </w:r>
      <w:r>
        <w:rPr>
          <w:i/>
          <w:iCs/>
        </w:rPr>
        <w:t>Science</w:t>
      </w:r>
      <w:r>
        <w:t xml:space="preserve">, </w:t>
      </w:r>
      <w:r>
        <w:rPr>
          <w:i/>
          <w:iCs/>
        </w:rPr>
        <w:t>269</w:t>
      </w:r>
      <w:r>
        <w:t>(5232), 1880–1882.</w:t>
      </w:r>
    </w:p>
    <w:p w14:paraId="6C1A93B3" w14:textId="77777777" w:rsidR="006D466C" w:rsidRDefault="00000000">
      <w:pPr>
        <w:pStyle w:val="Bibliography"/>
      </w:pPr>
      <w:bookmarkStart w:id="71" w:name="ref-zhang2020visual"/>
      <w:bookmarkEnd w:id="70"/>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1"/>
    <w:bookmarkEnd w:id="71"/>
    <w:p w14:paraId="52A12AA5" w14:textId="77777777" w:rsidR="006D466C" w:rsidRDefault="00000000">
      <w:r>
        <w:br w:type="page"/>
      </w:r>
    </w:p>
    <w:p w14:paraId="0BEDD615" w14:textId="77777777" w:rsidR="006D466C" w:rsidRDefault="00000000">
      <w:pPr>
        <w:pStyle w:val="Heading1"/>
      </w:pPr>
      <w:bookmarkStart w:id="72" w:name="appendix"/>
      <w:bookmarkEnd w:id="29"/>
      <w:r>
        <w:lastRenderedPageBreak/>
        <w:t>Appendix</w:t>
      </w:r>
    </w:p>
    <w:p w14:paraId="3E3AAAD0" w14:textId="77777777" w:rsidR="006D466C" w:rsidRDefault="00000000">
      <w:pPr>
        <w:pStyle w:val="Heading1"/>
      </w:pPr>
      <w:bookmarkStart w:id="73" w:name="App:bonus"/>
      <w:bookmarkEnd w:id="72"/>
      <w:r>
        <w:t>Incentive structure</w:t>
      </w:r>
    </w:p>
    <w:p w14:paraId="6BB7B677" w14:textId="77777777" w:rsidR="006D466C" w:rsidRDefault="0000000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01DFE952" w14:textId="77777777" w:rsidR="006D466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606AC75" w14:textId="77777777" w:rsidR="006D466C" w:rsidRDefault="0000000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4912CACA" w14:textId="77777777" w:rsidR="006D466C" w:rsidRDefault="0000000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70FA8063" w14:textId="77777777" w:rsidR="006D466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551C3ECA" w14:textId="77777777" w:rsidR="006D466C" w:rsidRDefault="0000000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37A1A9B8" w14:textId="77777777" w:rsidR="006D466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4FF8C59E" w14:textId="77777777" w:rsidR="006D466C" w:rsidRDefault="0000000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15C22D12" w14:textId="77777777" w:rsidR="006D466C"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5547C9E1" w14:textId="77777777" w:rsidR="006D466C" w:rsidRDefault="0000000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3E189B60" w14:textId="77777777" w:rsidR="006D466C" w:rsidRDefault="00000000">
      <w:pPr>
        <w:pStyle w:val="CaptionedFigure"/>
      </w:pPr>
      <w:r>
        <w:rPr>
          <w:noProof/>
        </w:rPr>
        <w:drawing>
          <wp:inline distT="0" distB="0" distL="0" distR="0" wp14:anchorId="03AF42A1" wp14:editId="5AF1E755">
            <wp:extent cx="3430298" cy="2744239"/>
            <wp:effectExtent l="0" t="0" r="0" b="0"/>
            <wp:docPr id="119" name="Picture"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wp:cNvGraphicFramePr/>
            <a:graphic xmlns:a="http://schemas.openxmlformats.org/drawingml/2006/main">
              <a:graphicData uri="http://schemas.openxmlformats.org/drawingml/2006/picture">
                <pic:pic xmlns:pic="http://schemas.openxmlformats.org/drawingml/2006/picture">
                  <pic:nvPicPr>
                    <pic:cNvPr id="120" name="Picture" descr="MVS_files/figure-docx/bonus-scheme-1.png"/>
                    <pic:cNvPicPr>
                      <a:picLocks noChangeAspect="1" noChangeArrowheads="1"/>
                    </pic:cNvPicPr>
                  </pic:nvPicPr>
                  <pic:blipFill>
                    <a:blip r:embed="rId22"/>
                    <a:stretch>
                      <a:fillRect/>
                    </a:stretch>
                  </pic:blipFill>
                  <pic:spPr bwMode="auto">
                    <a:xfrm>
                      <a:off x="0" y="0"/>
                      <a:ext cx="3433236" cy="2746589"/>
                    </a:xfrm>
                    <a:prstGeom prst="rect">
                      <a:avLst/>
                    </a:prstGeom>
                    <a:noFill/>
                    <a:ln w="9525">
                      <a:noFill/>
                      <a:headEnd/>
                      <a:tailEnd/>
                    </a:ln>
                  </pic:spPr>
                </pic:pic>
              </a:graphicData>
            </a:graphic>
          </wp:inline>
        </w:drawing>
      </w:r>
    </w:p>
    <w:p w14:paraId="510D7529" w14:textId="77777777" w:rsidR="006D466C" w:rsidRPr="00822988" w:rsidRDefault="00000000" w:rsidP="00822988">
      <w:pPr>
        <w:pStyle w:val="ImageCaption"/>
        <w:spacing w:line="360" w:lineRule="auto"/>
        <w:rPr>
          <w:rFonts w:asciiTheme="majorHAnsi" w:hAnsiTheme="majorHAnsi" w:cstheme="majorHAnsi"/>
          <w:sz w:val="22"/>
          <w:szCs w:val="22"/>
        </w:rPr>
      </w:pPr>
      <w:r w:rsidRPr="00822988">
        <w:rPr>
          <w:rFonts w:asciiTheme="majorHAnsi" w:hAnsiTheme="majorHAnsi" w:cstheme="majorHAnsi"/>
          <w:i/>
          <w:iCs/>
          <w:sz w:val="22"/>
          <w:szCs w:val="22"/>
        </w:rPr>
        <w:t>Figure</w:t>
      </w:r>
      <w:r w:rsidRPr="00822988">
        <w:rPr>
          <w:rFonts w:asciiTheme="majorHAnsi" w:hAnsiTheme="majorHAnsi" w:cstheme="majorHAnsi"/>
          <w:sz w:val="22"/>
          <w:szCs w:val="22"/>
        </w:rPr>
        <w:t xml:space="preserve"> </w:t>
      </w:r>
      <w:r w:rsidRPr="00822988">
        <w:rPr>
          <w:rFonts w:asciiTheme="majorHAnsi" w:hAnsiTheme="majorHAnsi" w:cstheme="majorHAnsi"/>
          <w:i/>
          <w:iCs/>
          <w:sz w:val="22"/>
          <w:szCs w:val="22"/>
        </w:rPr>
        <w:t xml:space="preserve">8. </w:t>
      </w:r>
      <w:r w:rsidRPr="00822988">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bookmarkEnd w:id="73"/>
    </w:p>
    <w:sectPr w:rsidR="006D466C" w:rsidRPr="00822988"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58B3" w14:textId="77777777" w:rsidR="00232CB9" w:rsidRDefault="00232CB9">
      <w:pPr>
        <w:spacing w:before="0" w:after="0" w:line="240" w:lineRule="auto"/>
      </w:pPr>
      <w:r>
        <w:separator/>
      </w:r>
    </w:p>
  </w:endnote>
  <w:endnote w:type="continuationSeparator" w:id="0">
    <w:p w14:paraId="78EE85FE" w14:textId="77777777" w:rsidR="00232CB9" w:rsidRDefault="00232C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C93C4" w14:textId="77777777" w:rsidR="00232CB9" w:rsidRDefault="00232CB9">
      <w:r>
        <w:separator/>
      </w:r>
    </w:p>
  </w:footnote>
  <w:footnote w:type="continuationSeparator" w:id="0">
    <w:p w14:paraId="05BF407C" w14:textId="77777777" w:rsidR="00232CB9" w:rsidRDefault="00232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5ECE2864"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F0680F"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A77D53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3B0535" w14:textId="77777777" w:rsidR="00AF36ED" w:rsidRPr="00A05772" w:rsidRDefault="0000000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2FF3677"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D93ED5" w14:textId="77777777" w:rsidR="00DA0F6A" w:rsidRDefault="00000000" w:rsidP="00DA0F6A">
    <w:pPr>
      <w:pStyle w:val="Header"/>
      <w:ind w:right="360"/>
    </w:pPr>
    <w:r>
      <w:t xml:space="preserve">Running head: INTERNAL MODELS OF </w:t>
    </w:r>
    <w:r>
      <w:t>VISUAL SEARCH</w:t>
    </w:r>
  </w:p>
  <w:p w14:paraId="504C55C8"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81A9B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09022012">
    <w:abstractNumId w:val="12"/>
  </w:num>
  <w:num w:numId="2" w16cid:durableId="1935360099">
    <w:abstractNumId w:val="12"/>
  </w:num>
  <w:num w:numId="3" w16cid:durableId="314379951">
    <w:abstractNumId w:val="13"/>
  </w:num>
  <w:num w:numId="4" w16cid:durableId="207571905">
    <w:abstractNumId w:val="1"/>
  </w:num>
  <w:num w:numId="5" w16cid:durableId="1511917485">
    <w:abstractNumId w:val="2"/>
  </w:num>
  <w:num w:numId="6" w16cid:durableId="1811701483">
    <w:abstractNumId w:val="3"/>
  </w:num>
  <w:num w:numId="7" w16cid:durableId="23285703">
    <w:abstractNumId w:val="4"/>
  </w:num>
  <w:num w:numId="8" w16cid:durableId="1500922168">
    <w:abstractNumId w:val="9"/>
  </w:num>
  <w:num w:numId="9" w16cid:durableId="1647855536">
    <w:abstractNumId w:val="5"/>
  </w:num>
  <w:num w:numId="10" w16cid:durableId="1358384531">
    <w:abstractNumId w:val="6"/>
  </w:num>
  <w:num w:numId="11" w16cid:durableId="555238434">
    <w:abstractNumId w:val="7"/>
  </w:num>
  <w:num w:numId="12" w16cid:durableId="1314336124">
    <w:abstractNumId w:val="8"/>
  </w:num>
  <w:num w:numId="13" w16cid:durableId="366760650">
    <w:abstractNumId w:val="10"/>
  </w:num>
  <w:num w:numId="14" w16cid:durableId="446701101">
    <w:abstractNumId w:val="13"/>
  </w:num>
  <w:num w:numId="15" w16cid:durableId="1714847237">
    <w:abstractNumId w:val="0"/>
  </w:num>
  <w:num w:numId="16" w16cid:durableId="443351162">
    <w:abstractNumId w:val="0"/>
  </w:num>
  <w:num w:numId="17" w16cid:durableId="7722829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6C"/>
    <w:rsid w:val="00232CB9"/>
    <w:rsid w:val="00274B7F"/>
    <w:rsid w:val="006D466C"/>
    <w:rsid w:val="00726B39"/>
    <w:rsid w:val="00822988"/>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DE72"/>
  <w15:docId w15:val="{9B46E65A-35DD-46B5-A6C3-1A1733755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43</Pages>
  <Words>10275</Words>
  <Characters>58571</Characters>
  <Application>Microsoft Office Word</Application>
  <DocSecurity>0</DocSecurity>
  <Lines>488</Lines>
  <Paragraphs>137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68709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4</cp:revision>
  <dcterms:created xsi:type="dcterms:W3CDTF">2022-10-25T10:35:00Z</dcterms:created>
  <dcterms:modified xsi:type="dcterms:W3CDTF">2022-10-25T10:45:00Z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