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cs="Times New Roman"/>
          <w:b/>
          <w:sz w:val="18"/>
          <w:szCs w:val="18"/>
        </w:rPr>
      </w:pPr>
      <w:r>
        <w:rPr>
          <w:rFonts w:cs="Times New Roman"/>
          <w:b/>
          <w:sz w:val="18"/>
          <w:szCs w:val="18"/>
        </w:rPr>
        <w:t>ДОГОВОР ВОЗМЕЗДНОГО ОКАЗАНИЯ УСЛУГ № /14</w:t>
      </w:r>
    </w:p>
    <w:p>
      <w:pPr>
        <w:pStyle w:val="style0"/>
        <w:jc w:val="center"/>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 xml:space="preserve">г.Саратов </w:t>
        <w:tab/>
        <w:tab/>
        <w:tab/>
        <w:tab/>
        <w:tab/>
        <w:tab/>
        <w:tab/>
        <w:tab/>
        <w:tab/>
        <w:tab/>
        <w:t xml:space="preserve">             </w:t>
      </w:r>
    </w:p>
    <w:p>
      <w:pPr>
        <w:pStyle w:val="style0"/>
        <w:rPr>
          <w:rFonts w:cs="Times New Roman"/>
          <w:sz w:val="18"/>
          <w:szCs w:val="18"/>
        </w:rPr>
      </w:pPr>
      <w:r>
        <w:rPr>
          <w:rFonts w:cs="Times New Roman"/>
          <w:sz w:val="18"/>
          <w:szCs w:val="18"/>
        </w:rPr>
      </w:r>
    </w:p>
    <w:p>
      <w:pPr>
        <w:pStyle w:val="style0"/>
        <w:ind w:firstLine="284" w:left="0" w:right="0"/>
        <w:jc w:val="both"/>
        <w:rPr>
          <w:rFonts w:cs="Times New Roman"/>
          <w:sz w:val="18"/>
          <w:szCs w:val="18"/>
        </w:rPr>
      </w:pPr>
      <w:r>
        <w:rPr>
          <w:rFonts w:cs="Times New Roman"/>
          <w:sz w:val="18"/>
          <w:szCs w:val="18"/>
        </w:rPr>
        <w:t>Общество с ограниченной ответственностью «Телекоммуникационная компания «Диалог» в лице директора Гомберга Сергея Владимировича, действующего на основании Устава, именуемое в дальнейшем «ОПЕРАТОР СВЯЗИ», с одной стороны, и , в лице  , действующего на основании , именуемое в дальнейшем «АБОНЕНТ», с другой стороны, при совместном упоминании именуемые в дальнейшем «СТОРОНЫ», заключили настоящий договор (далее Договор) о нижеследующем:</w:t>
      </w:r>
    </w:p>
    <w:p>
      <w:pPr>
        <w:pStyle w:val="style0"/>
        <w:rPr>
          <w:rFonts w:cs="Times New Roman"/>
          <w:sz w:val="18"/>
          <w:szCs w:val="18"/>
        </w:rPr>
      </w:pPr>
      <w:r>
        <w:rPr>
          <w:rFonts w:cs="Times New Roman"/>
          <w:sz w:val="18"/>
          <w:szCs w:val="18"/>
        </w:rPr>
      </w:r>
    </w:p>
    <w:p>
      <w:pPr>
        <w:pStyle w:val="style0"/>
        <w:numPr>
          <w:ilvl w:val="0"/>
          <w:numId w:val="3"/>
        </w:numPr>
        <w:tabs>
          <w:tab w:leader="none" w:pos="284" w:val="left"/>
          <w:tab w:leader="none" w:pos="426" w:val="left"/>
        </w:tabs>
        <w:rPr>
          <w:rFonts w:cs="Times New Roman"/>
          <w:b/>
          <w:bCs/>
          <w:sz w:val="18"/>
          <w:szCs w:val="18"/>
        </w:rPr>
      </w:pPr>
      <w:r>
        <w:rPr>
          <w:rFonts w:cs="Times New Roman"/>
          <w:b/>
          <w:bCs/>
          <w:sz w:val="18"/>
          <w:szCs w:val="18"/>
        </w:rPr>
        <w:t>Предмет договора</w:t>
      </w:r>
    </w:p>
    <w:p>
      <w:pPr>
        <w:pStyle w:val="style0"/>
        <w:numPr>
          <w:ilvl w:val="1"/>
          <w:numId w:val="3"/>
        </w:numPr>
        <w:tabs>
          <w:tab w:leader="none" w:pos="568" w:val="left"/>
        </w:tabs>
        <w:jc w:val="both"/>
        <w:rPr>
          <w:rFonts w:cs="Times New Roman"/>
          <w:sz w:val="18"/>
          <w:szCs w:val="18"/>
        </w:rPr>
      </w:pPr>
      <w:r>
        <w:rPr>
          <w:rFonts w:cs="Times New Roman"/>
          <w:sz w:val="18"/>
          <w:szCs w:val="18"/>
        </w:rPr>
        <w:t xml:space="preserve">ОПЕРАТОР СВЯЗИ, действующий на основании лицензий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81505 на оказание услуг местной телефонной связи с использованием средств коллективного доступа;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81165 на оказание услуг местной телефонной связи, за исключением услуг местной телефонной связи с использованием таксофонов и средств коллективного доступа;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81504 на оказание услуг связи по передаче голосовой информации в сети передачи данных;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69260 на оказание телематических услуг связи;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69261 на оказание услуг связи по передаче данных, за исключением услуг связи по передаче данных для целей передачи голосовой информации;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69262 на оказание услуг связи по предоставлению каналов связи, </w:t>
      </w:r>
    </w:p>
    <w:p>
      <w:pPr>
        <w:pStyle w:val="style0"/>
        <w:tabs>
          <w:tab w:leader="none" w:pos="568" w:val="left"/>
        </w:tabs>
        <w:ind w:hanging="0" w:left="567" w:right="0"/>
        <w:jc w:val="both"/>
        <w:rPr>
          <w:rFonts w:cs="Times New Roman"/>
          <w:sz w:val="18"/>
          <w:szCs w:val="18"/>
        </w:rPr>
      </w:pPr>
      <w:r>
        <w:rPr>
          <w:rFonts w:cs="Times New Roman"/>
          <w:sz w:val="18"/>
          <w:szCs w:val="18"/>
        </w:rPr>
        <w:t>оказывает услуги связи (далее Услуги) на основании настоящего Договора, заключаемого в соответствии с действующим законодательством и Правилами оказания услуг связи, утвержденными Правительством РФ, а АБОНЕНТ вносит плату за оказанные ему Услуги в полном объеме в соответствии с действующими на момент оказания Услуги тарифами ОПЕРАТОРА СВЯЗИ и в сроки, установленные настоящим Договором.</w:t>
      </w:r>
    </w:p>
    <w:p>
      <w:pPr>
        <w:pStyle w:val="style0"/>
        <w:numPr>
          <w:ilvl w:val="1"/>
          <w:numId w:val="3"/>
        </w:numPr>
        <w:tabs>
          <w:tab w:leader="none" w:pos="568" w:val="left"/>
        </w:tabs>
        <w:ind w:hanging="284" w:left="568" w:right="25"/>
        <w:jc w:val="both"/>
        <w:rPr>
          <w:rFonts w:cs="Times New Roman"/>
          <w:color w:val="000000"/>
          <w:sz w:val="18"/>
          <w:szCs w:val="18"/>
        </w:rPr>
      </w:pPr>
      <w:r>
        <w:rPr>
          <w:rFonts w:cs="Times New Roman"/>
          <w:sz w:val="18"/>
          <w:szCs w:val="18"/>
        </w:rPr>
        <w:t xml:space="preserve">Услуги и условия их оказания определены в Заказах, которые являются неотъемлемой частью настоящего Договора. Во время действия настоящего Договора АБОНЕНТ имеет право дополнительно заказать Услуги или Дополнительные Виды Обслуживания, </w:t>
      </w:r>
      <w:r>
        <w:rPr>
          <w:rFonts w:cs="Times New Roman"/>
          <w:color w:val="000000"/>
          <w:sz w:val="18"/>
          <w:szCs w:val="18"/>
        </w:rPr>
        <w:t xml:space="preserve">оформляемые Заказами и Приложениями, которые являются неотъемлемыми частями настоящего Договора. </w:t>
      </w:r>
    </w:p>
    <w:p>
      <w:pPr>
        <w:pStyle w:val="style0"/>
        <w:numPr>
          <w:ilvl w:val="0"/>
          <w:numId w:val="3"/>
        </w:numPr>
        <w:tabs>
          <w:tab w:leader="none" w:pos="284" w:val="left"/>
          <w:tab w:leader="none" w:pos="305" w:val="left"/>
          <w:tab w:leader="none" w:pos="316" w:val="left"/>
        </w:tabs>
        <w:ind w:hanging="284" w:left="284" w:right="25"/>
        <w:jc w:val="both"/>
        <w:rPr>
          <w:rFonts w:cs="Times New Roman"/>
          <w:b/>
          <w:bCs/>
          <w:sz w:val="18"/>
          <w:szCs w:val="18"/>
        </w:rPr>
      </w:pPr>
      <w:r>
        <w:rPr>
          <w:rFonts w:cs="Times New Roman"/>
          <w:b/>
          <w:bCs/>
          <w:sz w:val="18"/>
          <w:szCs w:val="18"/>
        </w:rPr>
        <w:t>Права и обязанности сторон</w:t>
      </w:r>
    </w:p>
    <w:p>
      <w:pPr>
        <w:pStyle w:val="style0"/>
        <w:numPr>
          <w:ilvl w:val="1"/>
          <w:numId w:val="3"/>
        </w:numPr>
        <w:tabs>
          <w:tab w:leader="none" w:pos="568" w:val="left"/>
        </w:tabs>
        <w:ind w:hanging="284" w:left="568" w:right="25"/>
        <w:jc w:val="both"/>
        <w:rPr>
          <w:rFonts w:cs="Times New Roman"/>
          <w:b/>
          <w:bCs/>
          <w:sz w:val="18"/>
          <w:szCs w:val="18"/>
        </w:rPr>
      </w:pPr>
      <w:r>
        <w:rPr>
          <w:rFonts w:cs="Times New Roman"/>
          <w:b/>
          <w:bCs/>
          <w:sz w:val="18"/>
          <w:szCs w:val="18"/>
        </w:rPr>
        <w:t>ОПЕРАТОР СВЯЗИ имеет право:</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В случае нарушения АБОНЕНТОМ требований, установленных действующим законодательством, Правилами оказания услуг связи  или настоящим Договором, приостановить оказание Услуг до устранения нарушений, уведомив об этом АБОНЕНТА. Возобновление оказания Услуг производится не позднее 2 рабочих дней с даты устранения нарушений. В том случае, если приостановление оказания Услуг было вызвано несвоевременной оплатой Услуг, восстановление оказания Услуг производится не позднее 1 рабочего дня с даты поступления денежных средств на расчетный счет или в кассу ОПЕРАТОРА СВЯЗИ и предоставления ОПЕРАТОРУ СВЯЗИ документов, подтверждающих оплату услуг.</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Изменять тарифы и систему оплаты  Услуг в порядке, определенном настоящим Договором.</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Проверять соблюдение АБОНЕНТОМ условий настоящего Договора, правил пользования оконечным оборудованием электросвязи.</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Проверять соответствие фактически установленного у АБОНЕНТА оконечного оборудования настоящему Договору.</w:t>
      </w:r>
    </w:p>
    <w:p>
      <w:pPr>
        <w:pStyle w:val="style0"/>
        <w:numPr>
          <w:ilvl w:val="1"/>
          <w:numId w:val="3"/>
        </w:numPr>
        <w:tabs>
          <w:tab w:leader="none" w:pos="568" w:val="left"/>
        </w:tabs>
        <w:ind w:hanging="284" w:left="568" w:right="25"/>
        <w:jc w:val="both"/>
        <w:rPr>
          <w:rFonts w:cs="Times New Roman"/>
          <w:b/>
          <w:bCs/>
          <w:sz w:val="18"/>
          <w:szCs w:val="18"/>
        </w:rPr>
      </w:pPr>
      <w:r>
        <w:rPr>
          <w:rFonts w:cs="Times New Roman"/>
          <w:b/>
          <w:bCs/>
          <w:sz w:val="18"/>
          <w:szCs w:val="18"/>
        </w:rPr>
        <w:t>ОПЕРАТОР СВЯЗИ обязан:</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Оказывать АБОНЕНТУ Услуги в соответствии с действующими законодательными и иными нормативными правовыми актами Российской Федерации, Правилами оказания услуг, лицензиями и настоящим Договором.</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Ознакомить АБОНЕНТА с особенностями предоставления Услуг и тарифами на Услуги. Извещать АБОНЕНТА об изменении тарифов на Услуги посредством размещения информации в офисах обслуживания, электронной или письменной рассылки и через свои официальные веб-сайты. Извещение об изменении тарифов на Услуги производится не менее чем за 10 дней до введения новых тарифов. В случае несогласия АБОНЕНТА с изменениями, он обязан уведомить об этом ОПЕРАТОРА в письменной форме за подписью руководителя организации АБОНЕНТА до даты введения в действия изменений. В таком случае Договор считается расторгнутым со дня введения в действие изменений. Отсутствие письменного отказа от Договора в течение десяти дней со дня уведомления принимается  обеими Сторонами за согласие АБОНЕНТА с новыми условиями Договора и/или Приложения.</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Соблюдать сроки и порядок устранения неисправности в сети связи ОПЕРАТОРА СВЯЗИ, препятствующие пользованию Услугами, в соответствии с действующими нормативами. Сообщать АБОНЕНТУ о сроках технических перерывов  для проведения профилактических, регламентных и ремонтных работ не позднее 48 часов до начала такого перерыва.</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 xml:space="preserve">Выполнять работы по эксплуатационно-техническому обслуживанию линий связи и иных сооружений связи, задействованных для оказания АБОНЕНТУ Услуг в пределах зоны обслуживания, если иное не предусмотрено другими соглашениями (договорами), в том числе договорами с организациями, представляющими интересы собственников помещений. В случае перерывов связи в результате повреждений сооружений связи, возникших вне зоны обслуживания ОПЕРАТОРА СВЯЗИ, работы по устранению таких повреждений могут быть выполнены по соглашению между ОПЕРАТОРОМ СВЯЗИ и АБОНЕНТОМ за отдельную плату, при условии обеспечения АБОНЕНТОМ доступа к поврежденным сооружениям связи. Зоной обслуживания ОПЕРАТОРА СВЯЗИ являются все сооружения связи, принадлежащие или переданные в пользование ОПЕРАТОРУ СВЯЗИ, до оконечного распределительного устройства, указанного в Приложениях к настоящему Договору. </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 xml:space="preserve">Предпринимать все возможные и необходимые действия в рамках своей компетенции, включая регулярную проверку качества связи и модернизацию своих технических средств, чтобы обеспечить бесперебойное круглосуточное оказание Услуг АБОНЕНТУ. </w:t>
      </w:r>
    </w:p>
    <w:p>
      <w:pPr>
        <w:pStyle w:val="style0"/>
        <w:numPr>
          <w:ilvl w:val="1"/>
          <w:numId w:val="3"/>
        </w:numPr>
        <w:tabs>
          <w:tab w:leader="none" w:pos="568" w:val="left"/>
        </w:tabs>
        <w:ind w:hanging="284" w:left="568" w:right="25"/>
        <w:jc w:val="both"/>
        <w:rPr>
          <w:rFonts w:cs="Times New Roman"/>
          <w:b/>
          <w:sz w:val="18"/>
          <w:szCs w:val="18"/>
        </w:rPr>
      </w:pPr>
      <w:r>
        <w:rPr>
          <w:rFonts w:cs="Times New Roman"/>
          <w:b/>
          <w:sz w:val="18"/>
          <w:szCs w:val="18"/>
        </w:rPr>
        <w:t>АБОНЕНТ имеет право:</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Требовать устранения неисправностей в сети связи ОПЕРАТОРА СВЯЗИ, препятствующих пользованию Услугами.</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Отказаться в любое время в одностороннем порядке от исполнения Договора, уведомив ОПЕРАТОРА СВЯЗИ в письменной форме не менее чем за 30 дней до даты расторжения, если Заказами не предусмотрен другой порядок.</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Обжаловать действия ОПЕРАТОРА СВЯЗИ в соответствии с действующим законодательством.</w:t>
      </w:r>
    </w:p>
    <w:p>
      <w:pPr>
        <w:pStyle w:val="style0"/>
        <w:numPr>
          <w:ilvl w:val="1"/>
          <w:numId w:val="3"/>
        </w:numPr>
        <w:tabs>
          <w:tab w:leader="none" w:pos="568" w:val="left"/>
        </w:tabs>
        <w:ind w:hanging="284" w:left="568" w:right="25"/>
        <w:jc w:val="both"/>
        <w:rPr>
          <w:rFonts w:cs="Times New Roman"/>
          <w:b/>
          <w:bCs/>
          <w:sz w:val="18"/>
          <w:szCs w:val="18"/>
        </w:rPr>
      </w:pPr>
      <w:r>
        <w:rPr>
          <w:rFonts w:cs="Times New Roman"/>
          <w:b/>
          <w:bCs/>
          <w:sz w:val="18"/>
          <w:szCs w:val="18"/>
        </w:rPr>
        <w:t>АБОНЕНТ обязан:</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Соблюдать правила эксплуатации оборудования.</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Вносить плату за Услуги в полном объеме и в установленные Договором сроки.</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Обеспечивать представителю ОПЕРАТОРА СВЯЗИ доступ в помещения, где установлено или будет установлено оконечное Абонентское устройство, для подключения, осмотра, ремонта и обслуживания средств связи.</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Не подключать оборудование, не имеющее документа о подтверждении соответствия установленным требованиям.</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Сообщать ОПЕРАТОРУ письменно в срок, не превышающий 3 дней, о прекращении своего права владения или пользования телефонизированным помещением. В случае изменения банковских реквизитов АБОНЕНТА и/или других сведений об АБОНЕНТе, указанных в настоящем Договоре, АБОНЕНТ обязан в течение 5 (пяти) рабочих дней после таких изменений предоставить ОПЕРАТОРУ новые данные в письменном виде. Оформление счетов-фактур и других документов с учетом изменившихся данных АБОНЕНТА, а также их доставка по вновь указанному адресу доставки, будет производиться со следующего расчетного месяца.</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Сообщать ОПЕРАТОРУ в течение одного рабочего дня  о ликвидации задолженности по оплате Услуг с предъявлением копии платежного документа по требованию ОПЕРАТОРА.</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Не передавать права АБОНЕНТА по настоящему договору другим лицам в постоянное или временное пользование, как за вознаграждение, так и безвозмездно.</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Содержать в исправном состоянии слаботочную проводку и оконечное оборудование, принадлежащее ОПЕРАТОРУ СВЯЗИ и находящееся в помещении АБОНЕНТА. Возвращать ОПЕРАТОРУ СВЯЗИ принадлежащее ему оборудование при расторжении договора.</w:t>
      </w:r>
    </w:p>
    <w:p>
      <w:pPr>
        <w:pStyle w:val="style0"/>
        <w:numPr>
          <w:ilvl w:val="0"/>
          <w:numId w:val="3"/>
        </w:numPr>
        <w:tabs>
          <w:tab w:leader="none" w:pos="284" w:val="left"/>
          <w:tab w:leader="none" w:pos="328" w:val="left"/>
        </w:tabs>
        <w:ind w:hanging="284" w:left="284" w:right="25"/>
        <w:jc w:val="both"/>
        <w:rPr>
          <w:rFonts w:cs="Times New Roman"/>
          <w:b/>
          <w:bCs/>
          <w:sz w:val="18"/>
          <w:szCs w:val="18"/>
        </w:rPr>
      </w:pPr>
      <w:r>
        <w:rPr>
          <w:rFonts w:cs="Times New Roman"/>
          <w:b/>
          <w:bCs/>
          <w:sz w:val="18"/>
          <w:szCs w:val="18"/>
        </w:rPr>
        <w:t>Форма и порядок расчетов за Услуги</w:t>
      </w:r>
    </w:p>
    <w:p>
      <w:pPr>
        <w:pStyle w:val="style0"/>
        <w:numPr>
          <w:ilvl w:val="1"/>
          <w:numId w:val="3"/>
        </w:numPr>
        <w:tabs>
          <w:tab w:leader="none" w:pos="568" w:val="left"/>
        </w:tabs>
        <w:ind w:hanging="284" w:left="568" w:right="25"/>
        <w:jc w:val="both"/>
        <w:rPr>
          <w:rFonts w:cs="Times New Roman"/>
          <w:sz w:val="18"/>
          <w:szCs w:val="18"/>
        </w:rPr>
      </w:pPr>
      <w:r>
        <w:rPr>
          <w:rFonts w:cs="Times New Roman"/>
          <w:sz w:val="18"/>
          <w:szCs w:val="18"/>
        </w:rPr>
        <w:t xml:space="preserve">ОПЕРАТОР в соответствии с действующими тарифами учитывает информацию о потребленных Услугах и платежах АБОНЕНТА на лицевом счете, который присваивается АБОНЕНТУ в расчетной системе ОПЕРАТОРА при заключении Договора. </w:t>
      </w:r>
    </w:p>
    <w:p>
      <w:pPr>
        <w:pStyle w:val="style0"/>
        <w:numPr>
          <w:ilvl w:val="1"/>
          <w:numId w:val="3"/>
        </w:numPr>
        <w:tabs>
          <w:tab w:leader="none" w:pos="568" w:val="left"/>
        </w:tabs>
        <w:ind w:hanging="284" w:left="568" w:right="25"/>
        <w:jc w:val="both"/>
        <w:rPr>
          <w:rFonts w:cs="Times New Roman"/>
          <w:sz w:val="18"/>
          <w:szCs w:val="18"/>
        </w:rPr>
      </w:pPr>
      <w:r>
        <w:rPr>
          <w:rFonts w:cs="Times New Roman"/>
          <w:sz w:val="18"/>
          <w:szCs w:val="18"/>
        </w:rPr>
        <w:t>АБОНЕНТ оплачивает Услуги  в соответствии с действующими на момент оказания Услуги тарифами ОПЕРАТОРА.</w:t>
      </w:r>
    </w:p>
    <w:p>
      <w:pPr>
        <w:pStyle w:val="style178"/>
        <w:numPr>
          <w:ilvl w:val="1"/>
          <w:numId w:val="3"/>
        </w:numPr>
        <w:tabs>
          <w:tab w:leader="none" w:pos="568" w:val="left"/>
        </w:tabs>
        <w:rPr>
          <w:rFonts w:cs="Times New Roman"/>
          <w:sz w:val="18"/>
          <w:szCs w:val="18"/>
        </w:rPr>
      </w:pPr>
      <w:r>
        <w:rPr>
          <w:rFonts w:cs="Times New Roman"/>
          <w:sz w:val="18"/>
          <w:szCs w:val="18"/>
        </w:rPr>
        <w:t>Выбор формы расчетов и тарифного плана для оплаты АБОНЕНТ осуществляет в Заказах и Приложениях, которые являются неотъемлемой частью настоящего Договора.</w:t>
      </w:r>
    </w:p>
    <w:p>
      <w:pPr>
        <w:pStyle w:val="style0"/>
        <w:numPr>
          <w:ilvl w:val="1"/>
          <w:numId w:val="3"/>
        </w:numPr>
        <w:tabs>
          <w:tab w:leader="none" w:pos="568" w:val="left"/>
        </w:tabs>
        <w:jc w:val="both"/>
        <w:rPr>
          <w:rFonts w:cs="Times New Roman"/>
          <w:sz w:val="18"/>
          <w:szCs w:val="18"/>
        </w:rPr>
      </w:pPr>
      <w:r>
        <w:rPr>
          <w:rFonts w:cs="Times New Roman"/>
          <w:sz w:val="18"/>
          <w:szCs w:val="18"/>
        </w:rPr>
        <w:t>Тарифы на Услуги, в том числе тарифный план для оплаты Услуг, устанавливаются ОПЕРАТОРОМ СВЯЗИ, если иной порядок не установлен законодательством РФ. Все тарифы указаны в  российских рублях без учета НДС и каких-либо иных существующих или вводимых впоследствии налогов и сборов, если Заказами и Приложениями не предусмотрено иное. НДС и иные налоги и сборы отражаются ОПЕРАТОРОМ СВЯЗИ в счетах, выставляемых АБОНЕНТУ, сверх установленных тарифов по ставке, действующей на дату оказания услуг.</w:t>
      </w:r>
    </w:p>
    <w:p>
      <w:pPr>
        <w:pStyle w:val="style0"/>
        <w:numPr>
          <w:ilvl w:val="1"/>
          <w:numId w:val="3"/>
        </w:numPr>
        <w:tabs>
          <w:tab w:leader="none" w:pos="568" w:val="left"/>
        </w:tabs>
        <w:jc w:val="both"/>
        <w:rPr>
          <w:rFonts w:cs="Times New Roman"/>
          <w:sz w:val="18"/>
          <w:szCs w:val="18"/>
        </w:rPr>
      </w:pPr>
      <w:r>
        <w:rPr>
          <w:rFonts w:cs="Times New Roman"/>
          <w:sz w:val="18"/>
          <w:szCs w:val="18"/>
        </w:rPr>
        <w:t>Расчетный период по Услугам составляет 1 (один) календарный месяц.</w:t>
      </w:r>
    </w:p>
    <w:p>
      <w:pPr>
        <w:pStyle w:val="style180"/>
        <w:numPr>
          <w:ilvl w:val="1"/>
          <w:numId w:val="3"/>
        </w:numPr>
        <w:tabs>
          <w:tab w:leader="none" w:pos="568" w:val="left"/>
        </w:tabs>
        <w:jc w:val="both"/>
        <w:rPr>
          <w:rFonts w:cs="Times New Roman"/>
          <w:sz w:val="18"/>
          <w:szCs w:val="18"/>
          <w:shd w:fill="FFFFFF" w:val="clear"/>
        </w:rPr>
      </w:pPr>
      <w:r>
        <w:rPr>
          <w:rFonts w:cs="Times New Roman"/>
          <w:sz w:val="18"/>
          <w:szCs w:val="18"/>
        </w:rPr>
        <w:t xml:space="preserve">Счет, выставляемый АБОНЕНТУ за Услуги до 10-го числа каждого месяца, является расчетным документом, в котором </w:t>
      </w:r>
      <w:r>
        <w:rPr>
          <w:rFonts w:cs="Times New Roman"/>
          <w:sz w:val="18"/>
          <w:szCs w:val="18"/>
          <w:shd w:fill="FFFFFF" w:val="clear"/>
        </w:rPr>
        <w:t xml:space="preserve">отражаются данные о денежных обязательствах АБОНЕНТА. </w:t>
      </w:r>
    </w:p>
    <w:p>
      <w:pPr>
        <w:pStyle w:val="style18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 xml:space="preserve">Счета направляются по адресу, указанному в Заказах и Приложениях к Договору как почтовый адрес АБОНЕНТА. </w:t>
      </w:r>
    </w:p>
    <w:p>
      <w:pPr>
        <w:pStyle w:val="style18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При осуществлении платежа АБОНЕНТ указывает номер лицевого счета и номер оплачиваемого счета с тем, чтобы ОПЕРАТОР СВЯЗИ мог идентифицировать получаемые платежи. В случае получения ОПЕРАТОРОМ СВЯЗИ от АБОНЕНТА платежа без указания номера оплачиваемого счета, ОПЕРАТОР СВЯЗИ вправе по своему усмотрению засчитать такой платеж в счет погашения любой ранее возникшей задолженности АБОНЕНТА, а в случае отсутствия задолженности – в счет предварительной оплаты за Услуги.</w:t>
      </w:r>
    </w:p>
    <w:p>
      <w:pPr>
        <w:pStyle w:val="style178"/>
        <w:numPr>
          <w:ilvl w:val="1"/>
          <w:numId w:val="3"/>
        </w:numPr>
        <w:tabs>
          <w:tab w:leader="none" w:pos="568" w:val="left"/>
        </w:tabs>
        <w:rPr>
          <w:rFonts w:cs="Times New Roman"/>
          <w:sz w:val="18"/>
          <w:szCs w:val="18"/>
          <w:shd w:fill="FFFFFF" w:val="clear"/>
        </w:rPr>
      </w:pPr>
      <w:r>
        <w:rPr>
          <w:rFonts w:cs="Times New Roman"/>
          <w:sz w:val="18"/>
          <w:szCs w:val="18"/>
          <w:shd w:fill="FFFFFF" w:val="clear"/>
        </w:rPr>
        <w:t>АБОНЕНТ ежемесячно производит оплату Услуг согласно выставленному ОПЕРАТОРОМ СВЯЗИ счету в срок до 25-го числа  месяца, следующего за расчетным, если Заказами не оговорен иной порядок расчетов. Датой надлежащего исполнения АБОНЕНТОМ обязательств по оплате считается дата поступления средств на расчетный счет либо в кассу ОПЕРАТОРА СВЯЗИ.</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ОПЕРАТОР СВЯЗИ обеспечивает возможность доступа АБОНЕНТА к услугам связи других ОПЕРАТОРОВ связи только при условии оплаты АБОНЕНТОМ услуг местной связи.</w:t>
      </w:r>
    </w:p>
    <w:p>
      <w:pPr>
        <w:pStyle w:val="style0"/>
        <w:numPr>
          <w:ilvl w:val="0"/>
          <w:numId w:val="3"/>
        </w:numPr>
        <w:tabs>
          <w:tab w:leader="none" w:pos="284" w:val="left"/>
          <w:tab w:leader="none" w:pos="508" w:val="left"/>
        </w:tabs>
        <w:jc w:val="both"/>
        <w:rPr>
          <w:rFonts w:cs="Times New Roman"/>
          <w:b/>
          <w:bCs/>
          <w:sz w:val="18"/>
          <w:szCs w:val="18"/>
          <w:shd w:fill="FFFFFF" w:val="clear"/>
        </w:rPr>
      </w:pPr>
      <w:r>
        <w:rPr>
          <w:rFonts w:cs="Times New Roman"/>
          <w:b/>
          <w:bCs/>
          <w:sz w:val="18"/>
          <w:szCs w:val="18"/>
          <w:shd w:fill="FFFFFF" w:val="clear"/>
        </w:rPr>
        <w:t>Срок действия Договора</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Настоящий Договор вступает в силу и становится обязательным для сторон с момента его подписания обеими сторонами и заключен на неопределенный срок.</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Настоящий Договор может быть расторгнут одной из Сторон по письменному уведомлению противоположной Стороны, переданному за 30 дней до предполагаемой даты расторжения. Стороны производят окончательные взаиморасчеты по всем своим обязательствам в течение 10 дней после прекращения действия (расторжения) настоящего Договора, если иное не будет определено письменным соглашением Сторон.</w:t>
      </w:r>
    </w:p>
    <w:p>
      <w:pPr>
        <w:pStyle w:val="style0"/>
        <w:numPr>
          <w:ilvl w:val="0"/>
          <w:numId w:val="3"/>
        </w:numPr>
        <w:tabs>
          <w:tab w:leader="none" w:pos="284" w:val="left"/>
          <w:tab w:leader="none" w:pos="508" w:val="left"/>
        </w:tabs>
        <w:jc w:val="both"/>
        <w:rPr>
          <w:rFonts w:cs="Times New Roman"/>
          <w:b/>
          <w:bCs/>
          <w:sz w:val="18"/>
          <w:szCs w:val="18"/>
          <w:shd w:fill="FFFFFF" w:val="clear"/>
        </w:rPr>
      </w:pPr>
      <w:r>
        <w:rPr>
          <w:rFonts w:cs="Times New Roman"/>
          <w:b/>
          <w:bCs/>
          <w:sz w:val="18"/>
          <w:szCs w:val="18"/>
          <w:shd w:fill="FFFFFF" w:val="clear"/>
        </w:rPr>
        <w:t>Ответственность сторон</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 xml:space="preserve">ОПЕРАТОР СВЯЗИ и АБОНЕНТ несут ответственность в соответствии с действующим законодательством РФ  и настоящим Договором.  </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 xml:space="preserve">Претензии АБОНЕНТА по вопросам, связанным с ненадлежащим исполнением ОПЕРАТОРОМ обязательств, вытекающих из Договора, предъявляются АБОНЕНТОМ в течение 6 месяцев со дня оказания Услуг, отказа в их оказании или выставления счета. Претензии АБОНЕНТА подлежат рассмотрению ОПЕРАТОРОМ в срок не более 60 дней с момента получения ОПЕРАТОРОМ претензии.  </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В случае неоплаты, неполной или несвоевременной оплаты оказанных Услуг АБОНЕНТ уплачивает ОПЕРАТОРУ СВЯЗИ неустойку в размере 1% стоимости неоплаченных, оплаченных не в полном объеме или несвоевременно оплаченных Услуг за каждый день просрочки, начиная со дня, следующего за датой окончания срока расчета, но не более суммы, подлежащей оплате.</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При нарушении сроков оказания услуг связи, при обнаружении недостатков в процессе оказания услуг связи ОПЕРАТОР СВЯЗИ несет ответственность в порядке, установленном действующим законодательством РФ.</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ОПЕРАТОР СВЯЗИ, в случае нарушения АБОНЕНТОМ условий настоящего Договора, имеет право приостановить оказание услуг связи до устранения нарушения, уведомив об этом АБОНЕНТА. При этом АБОНЕНТ не освобождается от обязанности вносить Абонентскую плату (если Абонентский платеж предусмотрен тарифным планом АБОНЕНТА) за весь период приостановки оказания Услуг.</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Ответственность ОПЕРАТОРА, если таковая будет иметь место вследствие перерывов в оказании Услуг по вине ОПЕРАТОРА, включая временное снижение качества связи и (или) отказ технических средств, не может превышать сумму Абонентской платы, приходящуюся на время фактического неоказания Услуг.</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Стороны освобождаются от ответственности за неисполнение, либо ненадлежащее исполнение своих обязанностей по договору, если докажут, что надлежащее исполнение оказалось невозможным вследствие непреодолимой силы (форс-мажор), т.е. чрезвычайных и непредотвратимых при данных условиях обстоятельств. О возникновении форс-мажорных обстоятельств Сторона, для которой дальнейшее выполнения обязательств по Договору стало невозможным, обязана уведомить другую Сторону в течение 5 дней с момента их возникновения. При возникновении форс-мажорных обстоятельств, предусмотренных в Гражданском Кодексе РФ, исключающих или объективно препятствующих исполнению настоящего Договора, Стороны не имеют взаимных претензий, и каждая из Сторон принимает на себя свой риск последствий этих обстоятельств</w:t>
      </w:r>
      <w:r>
        <w:rPr>
          <w:rFonts w:cs="Times New Roman"/>
          <w:bCs/>
          <w:color w:val="000000"/>
          <w:sz w:val="18"/>
          <w:szCs w:val="18"/>
        </w:rPr>
        <w:t>.</w:t>
      </w:r>
      <w:r>
        <w:rPr>
          <w:rFonts w:cs="Times New Roman"/>
          <w:sz w:val="18"/>
          <w:szCs w:val="18"/>
          <w:shd w:fill="FFFFFF" w:val="clear"/>
        </w:rPr>
        <w:t xml:space="preserve"> </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ОПЕРАТОР СВЯЗИ не несет ответственности за содержание и объем информации, передаваемой (получаемой) АБОНЕНТОМ при пользовании Услугами.</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ОПЕРАТОР СВЯЗИ не несет ответственности за неисполнение или ненадлежащее исполнение обязательств по настоящему Договору, связанное с неисправностью оборудования АБОНЕНТА, либо иными обстоятельствами, за которые ОПЕРАТОР СВЯЗИ не отвечает.</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Стороны осознают, что оказываемые АБОНЕНТУ Услуги могут зависеть от качества оборудования ОПЕРАТОРОВ местных проводных телефонных и оптоволоконных линий связи, оборудования ОПЕРАТОРОВ международной и междугородной связи, подвижной связи и Интернет-провайдеров, которое находится вне компетенции ОПЕРАТОРА, подобные нарушения качества связи приравниваются к форс-мажорным обстоятельствам и  не влекут за собой ответственности ОПЕРАТОРА.</w:t>
      </w:r>
    </w:p>
    <w:p>
      <w:pPr>
        <w:pStyle w:val="style0"/>
        <w:numPr>
          <w:ilvl w:val="0"/>
          <w:numId w:val="3"/>
        </w:numPr>
        <w:tabs>
          <w:tab w:leader="none" w:pos="284" w:val="left"/>
          <w:tab w:leader="none" w:pos="454" w:val="left"/>
          <w:tab w:leader="none" w:pos="508" w:val="left"/>
        </w:tabs>
        <w:jc w:val="both"/>
        <w:rPr>
          <w:rFonts w:cs="Times New Roman"/>
          <w:b/>
          <w:sz w:val="18"/>
          <w:szCs w:val="18"/>
          <w:shd w:fill="FFFFFF" w:val="clear"/>
        </w:rPr>
      </w:pPr>
      <w:r>
        <w:rPr>
          <w:rFonts w:cs="Times New Roman"/>
          <w:b/>
          <w:sz w:val="18"/>
          <w:szCs w:val="18"/>
          <w:shd w:fill="FFFFFF" w:val="clear"/>
        </w:rPr>
        <w:t xml:space="preserve"> </w:t>
      </w:r>
      <w:r>
        <w:rPr>
          <w:rFonts w:cs="Times New Roman"/>
          <w:b/>
          <w:sz w:val="18"/>
          <w:szCs w:val="18"/>
          <w:shd w:fill="FFFFFF" w:val="clear"/>
        </w:rPr>
        <w:t>Прочие условия</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Стороны рассматривают всю информацию, имеющую отношение к данному Договору и его исполнению, как конфиденциальную, и обязуются не знакомить с нею третьих лиц без письменного на то согласования обеих Сторон. При получении такого согласования ознакомление третьих лиц с содержимым Договора возможно только в части, касающейся этих третьих лиц.</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Стороны настоящим подтверждают, что информация, которой они обмениваются в рамках подготовки, а также после заключения настоящего договора, является конфиденциальной. Каждая Сторона обязана принимать все разумные меры, необходимые и целесообразные для предотвращения несанкционированного раскрытия конфиденциальной информации. При этом принимаемые меры должны быть не менее существенны, чем те, которые Сторона принимает для сохранения собственной информации подобного рода.</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Все изменения, приложения и дополнения к настоящему договору составляются в письменной форме, подписываются уполномоченными представителями Сторон и являются неотъемлемой частью настоящего договора.</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Споры по настоящему Договору при невозможности их разрешения путем переговоров решаются в Арбитражном суде г.Саратова.</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Любые уведомления или сообщения одной Стороны, направленные в целях исполнения или толкования Договора должны составляться в письменном виде и направляться по электронной почте, факсу или по почтовому адресу  другой Стороны, указанным в Договоре, Заказах и Приложениях к ним. При изменении банковских реквизитов, адресов письменных уведомлений, контактных номеров телефонов и факсов Стороны обязуются извещать друг друга путем письменного уведомления в двухдневный срок. В противном случае сообщение, переданное по последнему известному адресу, считается переданным надлежащим образом.</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Настоящий договор составлен на русском языке, в двух экземплярах, имеющих одинаковую юридическую силу, по одному для каждой из Сторон.</w:t>
      </w:r>
    </w:p>
    <w:p>
      <w:pPr>
        <w:pStyle w:val="style0"/>
        <w:tabs>
          <w:tab w:leader="none" w:pos="1022" w:val="left"/>
          <w:tab w:leader="none" w:pos="1076" w:val="left"/>
        </w:tabs>
        <w:ind w:hanging="0" w:left="568" w:right="0"/>
        <w:jc w:val="both"/>
        <w:rPr>
          <w:rFonts w:cs="Times New Roman"/>
          <w:sz w:val="18"/>
          <w:szCs w:val="18"/>
          <w:shd w:fill="FFFFFF" w:val="clear"/>
          <w:vertAlign w:val="superscript"/>
        </w:rPr>
      </w:pPr>
      <w:r>
        <w:rPr>
          <w:rFonts w:cs="Times New Roman"/>
          <w:sz w:val="18"/>
          <w:szCs w:val="18"/>
          <w:shd w:fill="FFFFFF" w:val="clear"/>
          <w:vertAlign w:val="superscript"/>
        </w:rPr>
      </w:r>
    </w:p>
    <w:p>
      <w:pPr>
        <w:pStyle w:val="style0"/>
        <w:tabs>
          <w:tab w:leader="none" w:pos="454" w:val="left"/>
          <w:tab w:leader="none" w:pos="508" w:val="left"/>
        </w:tabs>
        <w:jc w:val="center"/>
        <w:rPr>
          <w:rFonts w:cs="Times New Roman"/>
          <w:b/>
          <w:bCs/>
          <w:sz w:val="18"/>
          <w:szCs w:val="18"/>
          <w:shd w:fill="FFFFFF" w:val="clear"/>
        </w:rPr>
      </w:pPr>
      <w:r>
        <w:rPr>
          <w:rFonts w:cs="Times New Roman"/>
          <w:b/>
          <w:bCs/>
          <w:sz w:val="18"/>
          <w:szCs w:val="18"/>
          <w:shd w:fill="FFFFFF" w:val="clear"/>
        </w:rPr>
        <w:t>ПОДПИСИ СТОРОН:</w:t>
      </w:r>
    </w:p>
    <w:p>
      <w:pPr>
        <w:pStyle w:val="style0"/>
        <w:tabs>
          <w:tab w:leader="none" w:pos="454" w:val="left"/>
          <w:tab w:leader="none" w:pos="508" w:val="left"/>
        </w:tabs>
        <w:ind w:hanging="0" w:left="284" w:right="0"/>
        <w:rPr>
          <w:rFonts w:cs="Times New Roman"/>
          <w:b/>
          <w:bCs/>
          <w:sz w:val="18"/>
          <w:szCs w:val="18"/>
          <w:shd w:fill="FFFFFF" w:val="clear"/>
        </w:rPr>
      </w:pPr>
      <w:r>
        <w:rPr>
          <w:rFonts w:cs="Times New Roman"/>
          <w:b/>
          <w:bCs/>
          <w:sz w:val="18"/>
          <w:szCs w:val="18"/>
          <w:shd w:fill="FFFFFF" w:val="clear"/>
        </w:rPr>
      </w:r>
    </w:p>
    <w:tbl>
      <w:tblPr>
        <w:jc w:val="center"/>
        <w:tblInd w:type="dxa" w:w="0"/>
        <w:tblBorders>
          <w:top w:color="FFFFFF" w:space="0" w:sz="4" w:val="single"/>
          <w:left w:color="FFFFFF" w:space="0" w:sz="4" w:val="single"/>
          <w:bottom w:color="FFFFFF" w:space="0" w:sz="4" w:val="single"/>
          <w:insideH w:color="FFFFFF" w:space="0" w:sz="4" w:val="single"/>
          <w:right w:color="FFFFFF" w:space="0" w:sz="4" w:val="single"/>
          <w:insideV w:color="FFFFFF" w:space="0" w:sz="4" w:val="single"/>
        </w:tblBorders>
        <w:tblCellMar>
          <w:top w:type="dxa" w:w="0"/>
          <w:left w:type="dxa" w:w="63"/>
          <w:bottom w:type="dxa" w:w="0"/>
          <w:right w:type="dxa" w:w="108"/>
        </w:tblCellMar>
      </w:tblPr>
      <w:tblGrid>
        <w:gridCol w:w="4238"/>
        <w:gridCol w:w="353"/>
        <w:gridCol w:w="1073"/>
        <w:gridCol w:w="3898"/>
      </w:tblGrid>
      <w:tr>
        <w:trPr>
          <w:trHeight w:hRule="atLeast" w:val="387"/>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sz w:val="18"/>
                <w:szCs w:val="18"/>
              </w:rPr>
            </w:pPr>
            <w:r>
              <w:rPr>
                <w:rFonts w:ascii="Times New Roman" w:hAnsi="Times New Roman"/>
                <w:sz w:val="18"/>
                <w:szCs w:val="18"/>
              </w:rPr>
              <w:t>ОПЕРАТОР: ООО «ТК «ДИАЛОГ»</w:t>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sz w:val="18"/>
                <w:szCs w:val="18"/>
              </w:rPr>
            </w:pPr>
            <w:r>
              <w:rPr>
                <w:rFonts w:ascii="Times New Roman" w:hAnsi="Times New Roman"/>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tcPr>
          <w:p>
            <w:pPr>
              <w:pStyle w:val="style3"/>
              <w:numPr>
                <w:ilvl w:val="2"/>
                <w:numId w:val="1"/>
              </w:numPr>
              <w:spacing w:after="0" w:before="0"/>
              <w:contextualSpacing w:val="false"/>
              <w:rPr>
                <w:rFonts w:ascii="Times New Roman" w:hAnsi="Times New Roman"/>
                <w:sz w:val="18"/>
                <w:szCs w:val="18"/>
              </w:rPr>
            </w:pPr>
            <w:r>
              <w:rPr>
                <w:rFonts w:ascii="Times New Roman" w:hAnsi="Times New Roman"/>
                <w:sz w:val="18"/>
                <w:szCs w:val="18"/>
              </w:rPr>
            </w:r>
          </w:p>
        </w:tc>
        <w:tc>
          <w:tcPr>
            <w:tcW w:type="dxa" w:w="3898"/>
            <w:tcBorders>
              <w:top w:val="nil"/>
              <w:left w:val="nil"/>
              <w:bottom w:val="nil"/>
              <w:right w:val="nil"/>
            </w:tcBorders>
            <w:shd w:fill="FFFFFF" w:val="clear"/>
            <w:tcMar>
              <w:left w:type="dxa" w:w="108"/>
            </w:tcMar>
          </w:tcPr>
          <w:p>
            <w:pPr>
              <w:pStyle w:val="style3"/>
              <w:numPr>
                <w:ilvl w:val="2"/>
                <w:numId w:val="1"/>
              </w:numPr>
              <w:spacing w:after="0" w:before="0"/>
              <w:contextualSpacing w:val="false"/>
              <w:rPr>
                <w:rFonts w:ascii="Times New Roman" w:hAnsi="Times New Roman"/>
                <w:sz w:val="18"/>
                <w:szCs w:val="18"/>
              </w:rPr>
            </w:pPr>
            <w:r>
              <w:rPr>
                <w:rFonts w:ascii="Times New Roman" w:hAnsi="Times New Roman"/>
                <w:sz w:val="18"/>
                <w:szCs w:val="18"/>
              </w:rPr>
              <w:t>АБОНЕНТ:  </w:t>
            </w:r>
          </w:p>
          <w:p>
            <w:pPr>
              <w:pStyle w:val="style3"/>
              <w:numPr>
                <w:ilvl w:val="2"/>
                <w:numId w:val="1"/>
              </w:numPr>
              <w:spacing w:after="0" w:before="0"/>
              <w:contextualSpacing w:val="false"/>
              <w:rPr>
                <w:rFonts w:ascii="Times New Roman" w:hAnsi="Times New Roman"/>
                <w:sz w:val="18"/>
                <w:szCs w:val="18"/>
              </w:rPr>
            </w:pPr>
            <w:r>
              <w:rPr>
                <w:rFonts w:ascii="Times New Roman" w:hAnsi="Times New Roman"/>
                <w:sz w:val="18"/>
                <w:szCs w:val="18"/>
              </w:rPr>
            </w:r>
          </w:p>
        </w:tc>
      </w:tr>
      <w:tr>
        <w:trPr>
          <w:trHeight w:hRule="atLeast" w:val="437"/>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Директор С.В. Гомберг</w:t>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3898"/>
            <w:tcBorders>
              <w:top w:val="nil"/>
              <w:left w:val="nil"/>
              <w:bottom w:val="nil"/>
              <w:right w:val="nil"/>
            </w:tcBorders>
            <w:shd w:fill="FFFFFF" w:val="clear"/>
            <w:tcMar>
              <w:left w:type="dxa" w:w="108"/>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 </w:t>
            </w:r>
          </w:p>
        </w:tc>
      </w:tr>
      <w:tr>
        <w:trPr>
          <w:trHeight w:hRule="atLeast" w:val="713"/>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410012, г. Саратов, ул. Московская, д. 66</w:t>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tcPr>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Адрес</w:t>
            </w:r>
          </w:p>
        </w:tc>
        <w:tc>
          <w:tcPr>
            <w:tcW w:type="dxa" w:w="3898"/>
            <w:tcBorders>
              <w:top w:val="nil"/>
              <w:left w:val="nil"/>
              <w:bottom w:val="nil"/>
              <w:right w:val="nil"/>
            </w:tcBorders>
            <w:shd w:fill="FFFFFF" w:val="clear"/>
            <w:tcMar>
              <w:left w:type="dxa" w:w="108"/>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
            </w:r>
          </w:p>
        </w:tc>
      </w:tr>
      <w:tr>
        <w:trPr>
          <w:trHeight w:hRule="atLeast" w:val="369"/>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vAlign w:val="center"/>
          </w:tcPr>
          <w:p>
            <w:pPr>
              <w:pStyle w:val="style3"/>
              <w:numPr>
                <w:ilvl w:val="0"/>
                <w:numId w:val="10"/>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 xml:space="preserve">ИНН/КПП 6452080972/645001001  </w:t>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vAlign w:val="center"/>
          </w:tcPr>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ИНН/КПП</w:t>
            </w:r>
          </w:p>
        </w:tc>
        <w:tc>
          <w:tcPr>
            <w:tcW w:type="dxa" w:w="3898"/>
            <w:tcBorders>
              <w:top w:val="nil"/>
              <w:left w:val="nil"/>
              <w:bottom w:val="nil"/>
              <w:right w:val="nil"/>
            </w:tcBorders>
            <w:shd w:fill="FFFFFF" w:val="clear"/>
            <w:tcMar>
              <w:left w:type="dxa" w:w="108"/>
            </w:tcMar>
            <w:vAlign w:val="cente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
            </w:r>
          </w:p>
        </w:tc>
      </w:tr>
      <w:tr>
        <w:trPr>
          <w:trHeight w:hRule="atLeast" w:val="894"/>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рас/счет 40702810500000010080</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в ЗАО АКБ «Экспресс-Волга» в г. Саратове</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кор/счет  30101810600000000808</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БИК 046311808</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tcPr>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рас/счет</w:t>
            </w:r>
          </w:p>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в банке</w:t>
            </w:r>
          </w:p>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r>
          </w:p>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кор/счет</w:t>
            </w:r>
          </w:p>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БИК</w:t>
            </w:r>
          </w:p>
        </w:tc>
        <w:tc>
          <w:tcPr>
            <w:tcW w:type="dxa" w:w="3898"/>
            <w:tcBorders>
              <w:top w:val="nil"/>
              <w:left w:val="nil"/>
              <w:bottom w:val="nil"/>
              <w:right w:val="nil"/>
            </w:tcBorders>
            <w:shd w:fill="FFFFFF" w:val="clear"/>
            <w:tcMar>
              <w:left w:type="dxa" w:w="108"/>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
            </w:r>
          </w:p>
          <w:p>
            <w:pPr>
              <w:pStyle w:val="style3"/>
              <w:numPr>
                <w:ilvl w:val="0"/>
                <w:numId w:val="10"/>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
            </w:r>
          </w:p>
          <w:p>
            <w:pPr>
              <w:pStyle w:val="style3"/>
              <w:numPr>
                <w:ilvl w:val="0"/>
                <w:numId w:val="10"/>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p>
            <w:pPr>
              <w:pStyle w:val="style3"/>
              <w:numPr>
                <w:ilvl w:val="0"/>
                <w:numId w:val="10"/>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
            </w:r>
          </w:p>
          <w:p>
            <w:pPr>
              <w:pStyle w:val="style3"/>
              <w:numPr>
                <w:ilvl w:val="0"/>
                <w:numId w:val="10"/>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
            </w:r>
          </w:p>
        </w:tc>
      </w:tr>
      <w:tr>
        <w:trPr>
          <w:trHeight w:hRule="atLeast" w:val="425"/>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vAlign w:val="cente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телефон (845-2) 740-740</w:t>
            </w:r>
          </w:p>
          <w:p>
            <w:pPr>
              <w:pStyle w:val="style3"/>
              <w:numPr>
                <w:ilvl w:val="2"/>
                <w:numId w:val="1"/>
              </w:numPr>
              <w:spacing w:after="0" w:before="0"/>
              <w:contextualSpacing w:val="false"/>
              <w:rPr>
                <w:rFonts w:ascii="Times New Roman" w:hAnsi="Times New Roman"/>
                <w:b w:val="false"/>
                <w:iCs/>
                <w:sz w:val="18"/>
                <w:szCs w:val="18"/>
                <w:lang w:val="en-US"/>
              </w:rPr>
            </w:pPr>
            <w:r>
              <w:rPr>
                <w:rFonts w:ascii="Times New Roman" w:hAnsi="Times New Roman"/>
                <w:b w:val="false"/>
                <w:iCs/>
                <w:sz w:val="18"/>
                <w:szCs w:val="18"/>
                <w:lang w:val="en-US"/>
              </w:rPr>
              <w:t xml:space="preserve">e-mail </w:t>
            </w:r>
            <w:hyperlink r:id="rId2">
              <w:r>
                <w:rPr>
                  <w:rStyle w:val="style111"/>
                  <w:rFonts w:ascii="Times New Roman" w:hAnsi="Times New Roman"/>
                  <w:b w:val="false"/>
                  <w:iCs/>
                  <w:sz w:val="18"/>
                  <w:szCs w:val="18"/>
                  <w:lang w:val="en-US"/>
                </w:rPr>
                <w:t>info@dialog64.ru</w:t>
              </w:r>
            </w:hyperlink>
            <w:r>
              <w:rPr>
                <w:rFonts w:ascii="Times New Roman" w:hAnsi="Times New Roman"/>
                <w:b w:val="false"/>
                <w:iCs/>
                <w:sz w:val="18"/>
                <w:szCs w:val="18"/>
                <w:lang w:val="en-US"/>
              </w:rPr>
              <w:t xml:space="preserve"> </w:t>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lang w:val="en-US"/>
              </w:rPr>
            </w:pPr>
            <w:r>
              <w:rPr>
                <w:rFonts w:ascii="Times New Roman" w:hAnsi="Times New Roman"/>
                <w:b w:val="false"/>
                <w:iCs/>
                <w:sz w:val="18"/>
                <w:szCs w:val="18"/>
                <w:lang w:val="en-US"/>
              </w:rPr>
            </w:r>
          </w:p>
        </w:tc>
        <w:tc>
          <w:tcPr>
            <w:tcW w:type="dxa" w:w="1073"/>
            <w:tcBorders>
              <w:top w:color="FFFFFF" w:space="0" w:sz="4" w:val="single"/>
              <w:left w:color="FFFFFF" w:space="0" w:sz="4" w:val="single"/>
              <w:bottom w:color="FFFFFF" w:space="0" w:sz="4" w:val="single"/>
              <w:right w:val="nil"/>
            </w:tcBorders>
            <w:shd w:fill="FFFFFF" w:val="clear"/>
            <w:tcMar>
              <w:left w:type="dxa" w:w="63"/>
            </w:tcMar>
            <w:vAlign w:val="center"/>
          </w:tcPr>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телефон</w:t>
            </w:r>
          </w:p>
          <w:p>
            <w:pPr>
              <w:pStyle w:val="style3"/>
              <w:numPr>
                <w:ilvl w:val="2"/>
                <w:numId w:val="1"/>
              </w:numPr>
              <w:spacing w:after="0" w:before="0"/>
              <w:contextualSpacing w:val="false"/>
              <w:jc w:val="right"/>
              <w:rPr>
                <w:rFonts w:ascii="Times New Roman" w:hAnsi="Times New Roman"/>
                <w:b w:val="false"/>
                <w:iCs/>
                <w:sz w:val="18"/>
                <w:szCs w:val="18"/>
                <w:lang w:val="en-US"/>
              </w:rPr>
            </w:pPr>
            <w:r>
              <w:rPr>
                <w:rFonts w:ascii="Times New Roman" w:hAnsi="Times New Roman"/>
                <w:b w:val="false"/>
                <w:iCs/>
                <w:sz w:val="18"/>
                <w:szCs w:val="18"/>
                <w:lang w:val="en-US"/>
              </w:rPr>
              <w:t>e-mail</w:t>
            </w:r>
          </w:p>
        </w:tc>
        <w:tc>
          <w:tcPr>
            <w:tcW w:type="dxa" w:w="3898"/>
            <w:tcBorders>
              <w:top w:val="nil"/>
              <w:left w:val="nil"/>
              <w:bottom w:val="nil"/>
              <w:right w:val="nil"/>
            </w:tcBorders>
            <w:shd w:fill="FFFFFF" w:val="clear"/>
            <w:tcMar>
              <w:left w:type="dxa" w:w="108"/>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
            </w:r>
          </w:p>
        </w:tc>
      </w:tr>
      <w:tr>
        <w:trPr>
          <w:trHeight w:hRule="atLeast" w:val="1435"/>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vAlign w:val="bottom"/>
          </w:tcPr>
          <w:p>
            <w:pPr>
              <w:pStyle w:val="style3"/>
              <w:keepNext/>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____________________________ /С.В. Гомберг/</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vAlign w:val="bottom"/>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vAlign w:val="bottom"/>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3898"/>
            <w:tcBorders>
              <w:top w:val="nil"/>
              <w:left w:val="nil"/>
              <w:bottom w:val="nil"/>
              <w:right w:val="nil"/>
            </w:tcBorders>
            <w:shd w:fill="FFFFFF" w:val="clear"/>
            <w:tcMar>
              <w:left w:type="dxa" w:w="108"/>
            </w:tcMar>
            <w:vAlign w:val="bottom"/>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_______________________ /  /</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r>
    </w:tbl>
    <w:p>
      <w:pPr>
        <w:pStyle w:val="style180"/>
        <w:ind w:hanging="0" w:left="0" w:right="282"/>
        <w:jc w:val="right"/>
        <w:rPr>
          <w:rFonts w:cs="Times New Roman"/>
          <w:b/>
          <w:sz w:val="18"/>
          <w:szCs w:val="18"/>
          <w:shd w:fill="FFFFFF" w:val="clear"/>
        </w:rPr>
      </w:pPr>
      <w:r>
        <w:rPr>
          <w:rFonts w:cs="Times New Roman"/>
          <w:b/>
          <w:sz w:val="18"/>
          <w:szCs w:val="18"/>
          <w:shd w:fill="FFFFFF" w:val="clear"/>
        </w:rPr>
      </w:r>
    </w:p>
    <w:p>
      <w:pPr>
        <w:pStyle w:val="style180"/>
        <w:pageBreakBefore/>
        <w:ind w:hanging="0" w:left="0" w:right="282"/>
        <w:jc w:val="center"/>
        <w:rPr>
          <w:rFonts w:cs="Times New Roman"/>
          <w:b/>
          <w:sz w:val="18"/>
          <w:szCs w:val="18"/>
          <w:shd w:fill="FFFFFF" w:val="clear"/>
        </w:rPr>
      </w:pPr>
      <w:r>
        <w:rPr>
          <w:rFonts w:cs="Times New Roman"/>
          <w:b/>
          <w:sz w:val="18"/>
          <w:szCs w:val="18"/>
          <w:shd w:fill="FFFFFF" w:val="clear"/>
        </w:rPr>
        <w:t xml:space="preserve">ЗАКАЗ № /14/ЮЛ от </w:t>
      </w:r>
      <w:bookmarkStart w:id="0" w:name="__DdeLink__3144_1478164654"/>
      <w:bookmarkEnd w:id="0"/>
      <w:r>
        <w:rPr>
          <w:rFonts w:cs="Times New Roman"/>
          <w:b/>
          <w:sz w:val="18"/>
          <w:szCs w:val="18"/>
          <w:shd w:fill="FFFFFF" w:val="clear"/>
        </w:rPr>
        <w:t/>
      </w:r>
    </w:p>
    <w:p>
      <w:pPr>
        <w:pStyle w:val="style180"/>
        <w:ind w:hanging="0" w:left="0" w:right="282"/>
        <w:jc w:val="center"/>
        <w:rPr>
          <w:rFonts w:cs="Times New Roman"/>
          <w:b/>
          <w:sz w:val="18"/>
          <w:szCs w:val="18"/>
          <w:shd w:fill="FFFFFF" w:val="clear"/>
        </w:rPr>
      </w:pPr>
      <w:r>
        <w:rPr>
          <w:rFonts w:cs="Times New Roman"/>
          <w:b/>
          <w:sz w:val="18"/>
          <w:szCs w:val="18"/>
          <w:shd w:fill="FFFFFF" w:val="clear"/>
        </w:rPr>
        <w:t>к ДОГОВОРУ № /14 от </w:t>
      </w:r>
    </w:p>
    <w:p>
      <w:pPr>
        <w:pStyle w:val="style180"/>
        <w:ind w:hanging="0" w:left="0" w:right="282"/>
        <w:jc w:val="center"/>
        <w:rPr>
          <w:rFonts w:cs="Times New Roman"/>
          <w:b/>
          <w:sz w:val="18"/>
          <w:szCs w:val="18"/>
          <w:shd w:fill="FFFFFF" w:val="clear"/>
        </w:rPr>
      </w:pPr>
      <w:r>
        <w:rPr>
          <w:rFonts w:cs="Times New Roman"/>
          <w:b/>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местной телефонной связи</w:t>
      </w:r>
    </w:p>
    <w:p>
      <w:pPr>
        <w:pStyle w:val="style0"/>
        <w:jc w:val="both"/>
        <w:rPr>
          <w:rFonts w:cs="Times New Roman"/>
          <w:b/>
          <w:sz w:val="18"/>
          <w:szCs w:val="18"/>
          <w:shd w:fill="FFFFFF" w:val="clear"/>
        </w:rPr>
      </w:pPr>
      <w:r>
        <w:rPr>
          <w:rFonts w:cs="Times New Roman"/>
          <w:b/>
          <w:sz w:val="18"/>
          <w:szCs w:val="18"/>
          <w:shd w:fill="FFFFFF" w:val="clear"/>
        </w:rPr>
        <w:t xml:space="preserve"> </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ОПЕРАТОР СВЯЗИ оказывает АБОНЕНТУ услуги местной телефонной связи сети общего пользования с выделением в пользование номеров телефонной сети общего пользования из плана нумерации городской телефонной сети с кодом географической зоны нумерации </w:t>
      </w:r>
      <w:r>
        <w:rPr>
          <w:rFonts w:cs="Times New Roman"/>
          <w:color w:val="000000"/>
          <w:sz w:val="18"/>
          <w:szCs w:val="18"/>
          <w:shd w:fill="FFFFFF" w:val="clear"/>
          <w:lang w:val="en-US"/>
        </w:rPr>
        <w:t>ABC</w:t>
      </w:r>
      <w:r>
        <w:rPr>
          <w:rFonts w:cs="Times New Roman"/>
          <w:color w:val="000000"/>
          <w:sz w:val="18"/>
          <w:szCs w:val="18"/>
          <w:shd w:fill="FFFFFF" w:val="clear"/>
        </w:rPr>
        <w:t>= 845</w:t>
      </w:r>
      <w:r>
        <w:rPr>
          <w:rFonts w:cs="Times New Roman"/>
          <w:sz w:val="18"/>
          <w:szCs w:val="18"/>
          <w:shd w:fill="FFFFFF" w:val="clear"/>
        </w:rPr>
        <w:t>, указанных в</w:t>
      </w:r>
      <w:r>
        <w:rPr>
          <w:rFonts w:cs="Times New Roman"/>
          <w:color w:val="000000"/>
          <w:sz w:val="18"/>
          <w:szCs w:val="18"/>
          <w:shd w:fill="FFFFFF" w:val="clear"/>
        </w:rPr>
        <w:t xml:space="preserve"> Приложениях к настоящему Заказу.</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Адрес,  по которому предоставляются Услуги, указан в Приложениях к настоящему Заказу.</w:t>
      </w:r>
    </w:p>
    <w:p>
      <w:pPr>
        <w:pStyle w:val="style0"/>
        <w:numPr>
          <w:ilvl w:val="0"/>
          <w:numId w:val="2"/>
        </w:numPr>
        <w:tabs>
          <w:tab w:leader="none" w:pos="397" w:val="left"/>
        </w:tabs>
        <w:spacing w:after="57" w:before="0"/>
        <w:contextualSpacing w:val="false"/>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style0"/>
        <w:numPr>
          <w:ilvl w:val="1"/>
          <w:numId w:val="2"/>
        </w:numPr>
        <w:tabs>
          <w:tab w:leader="none" w:pos="681" w:val="left"/>
        </w:tabs>
        <w:spacing w:after="57" w:before="0"/>
        <w:contextualSpacing w:val="false"/>
        <w:jc w:val="both"/>
        <w:rPr>
          <w:rFonts w:cs="Times New Roman"/>
          <w:sz w:val="18"/>
          <w:szCs w:val="18"/>
          <w:shd w:fill="FFFFFF" w:val="clear"/>
        </w:rPr>
      </w:pPr>
      <w:r>
        <w:rPr>
          <w:rFonts w:cs="Times New Roman"/>
          <w:sz w:val="18"/>
          <w:szCs w:val="18"/>
          <w:shd w:fill="FFFFFF" w:val="clear"/>
        </w:rPr>
        <w:t>Работы по организации доступа к Услуге начинаются после оплаты АБОНЕНТОМ единовременных платежей за предоставление доступа. Оплата АБОНЕНТОМ услуг по организации доступа происходит авансовым платежом в течение 5 рабочих дней с даты выставления счета. Срок организации Услуги: 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pPr>
        <w:pStyle w:val="style0"/>
        <w:numPr>
          <w:ilvl w:val="1"/>
          <w:numId w:val="2"/>
        </w:numPr>
        <w:tabs>
          <w:tab w:leader="none" w:pos="681" w:val="left"/>
        </w:tabs>
        <w:spacing w:after="57" w:before="0"/>
        <w:contextualSpacing w:val="false"/>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письменного мотивированного отказа в принятии, Услуга считается принятой с момента начала пользования ею АБОНЕНТОМ. В случае необходимости демонстрация работоспособности Услуги, может быть выполнена представителем ОПЕРАТОРА с использованием оборудования ОПЕРАТОРА.</w:t>
      </w:r>
    </w:p>
    <w:p>
      <w:pPr>
        <w:pStyle w:val="style0"/>
        <w:numPr>
          <w:ilvl w:val="1"/>
          <w:numId w:val="2"/>
        </w:numPr>
        <w:tabs>
          <w:tab w:leader="none" w:pos="681"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Для пользования Услугой АБОНЕНТ необходимое оконечное оборудование приобретает самостоятельно, если иное не описано Дополнительным соглашением к основному Договору.</w:t>
      </w:r>
    </w:p>
    <w:p>
      <w:pPr>
        <w:pStyle w:val="style0"/>
        <w:numPr>
          <w:ilvl w:val="1"/>
          <w:numId w:val="2"/>
        </w:numPr>
        <w:tabs>
          <w:tab w:leader="none" w:pos="681"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АБОНЕНТУ по его требованию могут быть включены Дополнительные Виды Обслуживания (далее - «ДВО») из списка предоставляемых ОПЕРАТОРОМ.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Смена тарифного плана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style0"/>
        <w:numPr>
          <w:ilvl w:val="0"/>
          <w:numId w:val="2"/>
        </w:numPr>
        <w:tabs>
          <w:tab w:leader="none" w:pos="397" w:val="left"/>
          <w:tab w:leader="none" w:pos="472"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style0"/>
        <w:numPr>
          <w:ilvl w:val="0"/>
          <w:numId w:val="2"/>
        </w:numPr>
        <w:tabs>
          <w:tab w:leader="none" w:pos="397" w:val="left"/>
          <w:tab w:leader="none" w:pos="472" w:val="left"/>
        </w:tabs>
        <w:spacing w:after="57" w:before="0"/>
        <w:contextualSpacing w:val="false"/>
        <w:jc w:val="both"/>
        <w:rPr>
          <w:rFonts w:cs="Times New Roman"/>
          <w:sz w:val="18"/>
          <w:szCs w:val="18"/>
        </w:rPr>
      </w:pPr>
      <w:r>
        <w:rPr>
          <w:rFonts w:cs="Times New Roman"/>
          <w:sz w:val="18"/>
          <w:szCs w:val="18"/>
        </w:rPr>
        <w:t>ОПЕРАТОР имеет право изменять схему организации Абонентской телефонной линии без изменения схемы включения оконечного Абонентского оборудования и без дополнительного уведомления об этом АБОНЕНТА.</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АБОНЕНТ имеет право требовать перерасчета платы за услуги связи или возврата уплаченных средств за эти услуги, в период отсутствия связи по вине ОПЕРАТОРА СВЯЗИ (при наличии заявки АБОНЕНТА о неработающем телефоне в бюро ремонта ОПЕРАТОРА СВЯЗИ) ОПЕРАТОР СВЯЗИ имеет право не производить перерасчет оплаты услуги связи, если бездействие связи вызвано независящими от ОПЕРАТОРА СВЯЗИ причинами (непреодолимой силой или виной АБОНЕНТА).</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style0"/>
        <w:numPr>
          <w:ilvl w:val="0"/>
          <w:numId w:val="2"/>
        </w:numPr>
        <w:tabs>
          <w:tab w:leader="none" w:pos="397" w:val="left"/>
        </w:tabs>
        <w:spacing w:after="57" w:before="0"/>
        <w:contextualSpacing w:val="false"/>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style0"/>
        <w:numPr>
          <w:ilvl w:val="0"/>
          <w:numId w:val="2"/>
        </w:numPr>
        <w:tabs>
          <w:tab w:leader="none" w:pos="397" w:val="left"/>
        </w:tabs>
        <w:spacing w:after="57" w:before="0"/>
        <w:contextualSpacing w:val="false"/>
        <w:jc w:val="both"/>
        <w:rPr>
          <w:rFonts w:cs="Times New Roman"/>
          <w:sz w:val="18"/>
          <w:szCs w:val="18"/>
        </w:rPr>
      </w:pPr>
      <w:r>
        <w:rPr>
          <w:rFonts w:cs="Times New Roman"/>
          <w:sz w:val="18"/>
          <w:szCs w:val="18"/>
        </w:rPr>
        <w:t xml:space="preserve">В случае подключения АБОНЕНТОМ </w:t>
      </w:r>
      <w:r>
        <w:rPr>
          <w:rFonts w:cs="Times New Roman"/>
          <w:sz w:val="18"/>
          <w:szCs w:val="18"/>
          <w:shd w:fill="FFFFFF" w:val="clear"/>
        </w:rPr>
        <w:t>своей Учрежденче</w:t>
      </w:r>
      <w:r>
        <w:rPr>
          <w:rFonts w:cs="Times New Roman"/>
          <w:sz w:val="18"/>
          <w:szCs w:val="18"/>
        </w:rPr>
        <w:t xml:space="preserve">ской Автоматической Телефонной Станции (УАТС) к сети ОПЕРАТОРА </w:t>
      </w:r>
      <w:r>
        <w:rPr>
          <w:rFonts w:cs="Times New Roman"/>
          <w:color w:val="000000"/>
          <w:sz w:val="18"/>
          <w:szCs w:val="18"/>
          <w:shd w:fill="FFFFFF" w:val="clear"/>
        </w:rPr>
        <w:t>СВЯЗИ</w:t>
      </w:r>
      <w:r>
        <w:rPr>
          <w:rFonts w:cs="Times New Roman"/>
          <w:sz w:val="18"/>
          <w:szCs w:val="18"/>
        </w:rPr>
        <w:t xml:space="preserve">, АБОНЕНТ обязан в момент заключения договора сообщить ОПЕРАТОРУ </w:t>
      </w:r>
      <w:r>
        <w:rPr>
          <w:rFonts w:cs="Times New Roman"/>
          <w:color w:val="000000"/>
          <w:sz w:val="18"/>
          <w:szCs w:val="18"/>
          <w:shd w:fill="FFFFFF" w:val="clear"/>
        </w:rPr>
        <w:t>СВЯЗИ</w:t>
      </w:r>
      <w:r>
        <w:rPr>
          <w:rFonts w:cs="Times New Roman"/>
          <w:sz w:val="18"/>
          <w:szCs w:val="18"/>
        </w:rPr>
        <w:t xml:space="preserve"> полную информацию о подключаемой УАТС, внеся данные в соответствующее Приложение. Для подключения УАТС в обязательном порядке необходимо согласовать: тип подключения и тип сигнализации; конфигурацию УАТС, для проверки возможности стыка с использованием запрашиваемого вида подключения; границу ответственности сторон. В случае отсутствия у АБОНЕНТА предварительных Договоров с ОПЕРАТОРОМ </w:t>
      </w:r>
      <w:r>
        <w:rPr>
          <w:rFonts w:cs="Times New Roman"/>
          <w:color w:val="000000"/>
          <w:sz w:val="18"/>
          <w:szCs w:val="18"/>
          <w:shd w:fill="FFFFFF" w:val="clear"/>
        </w:rPr>
        <w:t xml:space="preserve">СВЯЗИ </w:t>
      </w:r>
      <w:r>
        <w:rPr>
          <w:rFonts w:cs="Times New Roman"/>
          <w:sz w:val="18"/>
          <w:szCs w:val="18"/>
        </w:rPr>
        <w:t>на техническое обслуживание данного вида УАТС, тестирование и сдача услуг АБОНЕНТУ производится с привлечением ответственного технического представителя АБОНЕНТА, либо представителя поставщика УАТС. Решение организационных вопросов и ведение переговоров с поставщиком УАТС, является обязанностью АБОНЕНТА.</w:t>
      </w:r>
    </w:p>
    <w:p>
      <w:pPr>
        <w:pStyle w:val="style0"/>
        <w:numPr>
          <w:ilvl w:val="0"/>
          <w:numId w:val="2"/>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При необходимости установки дополнительного оборудования АБОНЕНТ обязуется обеспечить его бесперебойное энергоснабжение, исключающее импульсные помехи или скачки напряжения (с заземлением).</w:t>
      </w:r>
    </w:p>
    <w:p>
      <w:pPr>
        <w:pStyle w:val="style0"/>
        <w:numPr>
          <w:ilvl w:val="0"/>
          <w:numId w:val="2"/>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pPr>
        <w:pStyle w:val="style0"/>
        <w:numPr>
          <w:ilvl w:val="0"/>
          <w:numId w:val="2"/>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pPr>
        <w:pStyle w:val="style0"/>
        <w:numPr>
          <w:ilvl w:val="0"/>
          <w:numId w:val="2"/>
        </w:numPr>
        <w:tabs>
          <w:tab w:leader="none" w:pos="397" w:val="left"/>
        </w:tabs>
        <w:spacing w:after="57" w:before="0"/>
        <w:contextualSpacing w:val="false"/>
        <w:jc w:val="both"/>
        <w:rPr>
          <w:rFonts w:cs="Times New Roman"/>
          <w:sz w:val="18"/>
          <w:szCs w:val="18"/>
        </w:rPr>
      </w:pPr>
      <w:r>
        <w:rPr>
          <w:rFonts w:cs="Times New Roman"/>
          <w:sz w:val="18"/>
          <w:szCs w:val="18"/>
        </w:rPr>
        <w:t>АБОНЕНТ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ОПЕРАТОРОМ СВЯЗИ.</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АБОНЕНТ обязуется регистрировать у ОПЕРАТОРА СВЯЗИ мини – АТС, а также телефонные аппараты с автоматическим определителем номера (АОН), имеющие документы об обязательном подтверждении соответствия. Если у АБОНЕНТА установлен телефонный аппарат с АОН, ОПЕРАТОР СВЯЗИ не несет ответственности за ухудшение качества предоставления дополнительной услуги ДВО «Определитель номера вызывающего АБОНЕНТА», вызванное ненадлежащей работой технических средств сторонних операторов связи. ОПЕРАТОР СВЯЗИ имеет право в одностороннем порядке произвести перерасчет оплаты услуг связи с даты начала действия договора в случае выявления применяемых АБОНЕНТОМ незарегистрированных у ОПЕРАТОРА СВЯЗИ мини-АТС.</w:t>
      </w:r>
    </w:p>
    <w:p>
      <w:pPr>
        <w:pStyle w:val="style0"/>
        <w:numPr>
          <w:ilvl w:val="0"/>
          <w:numId w:val="2"/>
        </w:numPr>
        <w:shd w:fill="FFFFFF" w:val="clea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АБОНЕНТ </w:t>
      </w:r>
      <w:r>
        <w:rPr>
          <w:rFonts w:cs="Times New Roman"/>
          <w:sz w:val="18"/>
          <w:szCs w:val="18"/>
        </w:rPr>
        <w:t xml:space="preserve">поручает, а ОПЕРАТОР </w:t>
      </w:r>
      <w:r>
        <w:rPr>
          <w:rFonts w:cs="Times New Roman"/>
          <w:color w:val="000000"/>
          <w:sz w:val="18"/>
          <w:szCs w:val="18"/>
          <w:shd w:fill="FFFFFF" w:val="clear"/>
        </w:rPr>
        <w:t>СВЯЗИ</w:t>
      </w:r>
      <w:r>
        <w:rPr>
          <w:rFonts w:cs="Times New Roman"/>
          <w:sz w:val="18"/>
          <w:szCs w:val="18"/>
        </w:rPr>
        <w:t xml:space="preserve"> принимает на себя обязательства по выбору для предоставленных по данному Заказу телефонных номеров ОПЕРАТОРА внутризоновой, междугородной и международной связи, с которыми ОПЕРАТОР </w:t>
      </w:r>
      <w:r>
        <w:rPr>
          <w:rFonts w:cs="Times New Roman"/>
          <w:color w:val="000000"/>
          <w:sz w:val="18"/>
          <w:szCs w:val="18"/>
          <w:shd w:fill="FFFFFF" w:val="clear"/>
        </w:rPr>
        <w:t xml:space="preserve">СВЯЗИ </w:t>
      </w:r>
      <w:r>
        <w:rPr>
          <w:rFonts w:cs="Times New Roman"/>
          <w:sz w:val="18"/>
          <w:szCs w:val="18"/>
        </w:rPr>
        <w:t>заключил Договоры присоединения сетей связи и агентские договоры</w:t>
      </w:r>
      <w:r>
        <w:rPr>
          <w:rFonts w:cs="Times New Roman"/>
          <w:color w:val="000000"/>
          <w:sz w:val="18"/>
          <w:szCs w:val="18"/>
          <w:shd w:fill="FFFFFF" w:val="clear"/>
        </w:rPr>
        <w:t>.  В случае пользования услугами внутризоновой, междугородной и международной связи ОПЕРАТОР СВЯЗИ одновременно со счетом за услуги местной телефонной связи выставляет АБОНЕНТУ счет за услуги внутризоновой, междугородной и международной связи в рамках имеющихся агентских договоров, который АБОНЕНТ обязуется оплатить. Договор оферты на оказание соответствующих услуг связи размещен на сайте ОПЕРАТОРА СВЯЗИ www.dialog64.ru</w:t>
      </w:r>
    </w:p>
    <w:p>
      <w:pPr>
        <w:pStyle w:val="style0"/>
        <w:numPr>
          <w:ilvl w:val="0"/>
          <w:numId w:val="2"/>
        </w:numPr>
        <w:tabs>
          <w:tab w:leader="none" w:pos="397" w:val="left"/>
        </w:tabs>
        <w:spacing w:after="57" w:before="0"/>
        <w:contextualSpacing w:val="false"/>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style0"/>
        <w:numPr>
          <w:ilvl w:val="0"/>
          <w:numId w:val="2"/>
        </w:numPr>
        <w:tabs>
          <w:tab w:leader="none" w:pos="397" w:val="left"/>
        </w:tabs>
        <w:spacing w:after="57" w:before="0"/>
        <w:contextualSpacing w:val="false"/>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При расторжении по инициативе АБОНЕНТА до подписания Акта приемки работ по предоставлению доступа/организации услуги согласно расторгаемому Заказу или Приложению, ОПЕРАТОР </w:t>
      </w:r>
      <w:r>
        <w:rPr>
          <w:rFonts w:cs="Times New Roman"/>
          <w:color w:val="000000"/>
          <w:sz w:val="18"/>
          <w:szCs w:val="18"/>
          <w:shd w:fill="FFFFFF" w:val="clear"/>
        </w:rPr>
        <w:t xml:space="preserve">СВЯЗИ </w:t>
      </w:r>
      <w:r>
        <w:rPr>
          <w:rFonts w:cs="Times New Roman"/>
          <w:sz w:val="18"/>
          <w:szCs w:val="18"/>
        </w:rPr>
        <w:t>имеет право на компенсацию понесенных расходов по предоставлению доступа/организации услуги в размере единовременного платежа, предусмотренного расторгаемым Заказом или Приложениями.</w:t>
      </w:r>
    </w:p>
    <w:p>
      <w:pPr>
        <w:pStyle w:val="style0"/>
        <w:ind w:hanging="0" w:left="397" w:right="0"/>
        <w:jc w:val="both"/>
        <w:rPr>
          <w:rFonts w:cs="Times New Roman"/>
          <w:sz w:val="18"/>
          <w:szCs w:val="18"/>
        </w:rPr>
      </w:pPr>
      <w:r>
        <w:rPr>
          <w:rFonts w:cs="Times New Roman"/>
          <w:sz w:val="18"/>
          <w:szCs w:val="18"/>
        </w:rPr>
      </w:r>
    </w:p>
    <w:p>
      <w:pPr>
        <w:pStyle w:val="style0"/>
        <w:ind w:hanging="0" w:left="397" w:right="0"/>
        <w:jc w:val="center"/>
        <w:rPr>
          <w:rFonts w:cs="Times New Roman"/>
          <w:b/>
          <w:sz w:val="18"/>
          <w:szCs w:val="18"/>
        </w:rPr>
      </w:pPr>
      <w:r>
        <w:rPr>
          <w:rFonts w:cs="Times New Roman"/>
          <w:b/>
          <w:sz w:val="18"/>
          <w:szCs w:val="18"/>
        </w:rPr>
        <w:t>ПОДПИСИ СТОРОН:</w:t>
      </w:r>
    </w:p>
    <w:p>
      <w:pPr>
        <w:pStyle w:val="style0"/>
        <w:tabs>
          <w:tab w:leader="none" w:pos="1191" w:val="left"/>
        </w:tabs>
        <w:ind w:hanging="0" w:left="397" w:right="0"/>
        <w:jc w:val="both"/>
        <w:rPr>
          <w:rFonts w:cs="Times New Roman"/>
          <w:sz w:val="18"/>
          <w:szCs w:val="18"/>
        </w:rPr>
      </w:pPr>
      <w:r>
        <w:rPr>
          <w:rFonts w:cs="Times New Roman"/>
          <w:sz w:val="18"/>
          <w:szCs w:val="18"/>
        </w:rPr>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5144"/>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Директор ООО «ТК «Диалог»</w:t>
            </w:r>
          </w:p>
        </w:tc>
        <w:tc>
          <w:tcPr>
            <w:tcW w:type="dxa" w:w="5144"/>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 </w:t>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______________________________ / С.В.Гомберг /</w:t>
            </w:r>
          </w:p>
          <w:p>
            <w:pPr>
              <w:pStyle w:val="style0"/>
              <w:rPr>
                <w:rFonts w:cs="Times New Roman"/>
                <w:sz w:val="18"/>
                <w:szCs w:val="18"/>
              </w:rPr>
            </w:pPr>
            <w:r>
              <w:rPr>
                <w:rFonts w:cs="Times New Roman"/>
                <w:sz w:val="18"/>
                <w:szCs w:val="18"/>
              </w:rPr>
              <w:t xml:space="preserve">                </w:t>
            </w:r>
            <w:r>
              <w:rPr>
                <w:rFonts w:cs="Times New Roman"/>
                <w:sz w:val="18"/>
                <w:szCs w:val="18"/>
              </w:rPr>
              <w:t>м.п.</w:t>
            </w:r>
          </w:p>
        </w:tc>
        <w:tc>
          <w:tcPr>
            <w:tcW w:type="dxa" w:w="5144"/>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xml:space="preserve">/ </w:t>
            </w:r>
            <w:bookmarkStart w:id="1" w:name="__DdeLink__3158_1332519352"/>
            <w:r>
              <w:rPr>
                <w:rFonts w:cs="Times New Roman"/>
                <w:sz w:val="18"/>
                <w:szCs w:val="18"/>
              </w:rPr>
              <w:t/>
            </w:r>
            <w:bookmarkEnd w:id="1"/>
            <w:r>
              <w:rPr>
                <w:rFonts w:cs="Times New Roman"/>
                <w:sz w:val="18"/>
                <w:szCs w:val="18"/>
              </w:rPr>
              <w:t xml:space="preserve">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pPr>
        <w:pStyle w:val="style180"/>
        <w:ind w:hanging="0" w:left="0" w:right="282"/>
        <w:rPr>
          <w:rFonts w:cs="Times New Roman"/>
          <w:sz w:val="18"/>
          <w:szCs w:val="18"/>
        </w:rPr>
      </w:pPr>
      <w:r>
        <w:rPr>
          <w:rFonts w:cs="Times New Roman"/>
          <w:sz w:val="18"/>
          <w:szCs w:val="18"/>
        </w:rPr>
        <w:tab/>
        <w:tab/>
        <w:tab/>
        <w:tab/>
        <w:tab/>
        <w:tab/>
        <w:tab/>
      </w:r>
    </w:p>
    <w:p>
      <w:pPr>
        <w:pStyle w:val="style180"/>
        <w:ind w:firstLine="708" w:left="4248" w:right="282"/>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  /</w:t>
      </w:r>
    </w:p>
    <w:p>
      <w:pPr>
        <w:pStyle w:val="style180"/>
        <w:ind w:firstLine="708" w:left="4248" w:right="282"/>
        <w:rPr>
          <w:rFonts w:cs="Times New Roman"/>
          <w:sz w:val="18"/>
          <w:szCs w:val="18"/>
        </w:rPr>
      </w:pPr>
      <w:r>
        <w:rPr>
          <w:rFonts w:cs="Times New Roman"/>
          <w:sz w:val="18"/>
          <w:szCs w:val="18"/>
        </w:rPr>
        <w:t xml:space="preserve">                             </w:t>
      </w:r>
      <w:r>
        <w:rPr>
          <w:rFonts w:cs="Times New Roman"/>
          <w:sz w:val="18"/>
          <w:szCs w:val="18"/>
        </w:rPr>
        <w:t>м.п.</w:t>
      </w:r>
    </w:p>
    <w:p>
      <w:pPr>
        <w:pStyle w:val="style180"/>
        <w:ind w:hanging="0" w:left="0" w:right="282"/>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pPr>
        <w:pStyle w:val="style180"/>
        <w:ind w:hanging="0" w:left="0" w:right="0"/>
        <w:rPr>
          <w:rFonts w:cs="Times New Roman"/>
          <w:sz w:val="18"/>
          <w:szCs w:val="18"/>
        </w:rPr>
      </w:pPr>
      <w:r>
        <w:rPr>
          <w:rFonts w:cs="Times New Roman"/>
          <w:sz w:val="18"/>
          <w:szCs w:val="18"/>
        </w:rPr>
        <w:tab/>
        <w:tab/>
        <w:tab/>
        <w:tab/>
        <w:tab/>
        <w:tab/>
        <w:tab/>
      </w:r>
    </w:p>
    <w:p>
      <w:pPr>
        <w:pStyle w:val="style180"/>
        <w:ind w:firstLine="708" w:left="4248" w:right="0"/>
        <w:rPr>
          <w:rFonts w:cs="Times New Roman"/>
          <w:color w:val="000000"/>
          <w:sz w:val="18"/>
          <w:szCs w:val="18"/>
        </w:rPr>
      </w:pPr>
      <w:r>
        <w:rPr>
          <w:rFonts w:cs="Times New Roman"/>
          <w:color w:val="000000"/>
          <w:sz w:val="18"/>
          <w:szCs w:val="18"/>
        </w:rPr>
        <w:t>АБОНЕНТ:  ____________________ /  /</w:t>
      </w:r>
    </w:p>
    <w:p>
      <w:pPr>
        <w:pStyle w:val="style180"/>
        <w:ind w:firstLine="708" w:left="4248" w:right="0"/>
        <w:rPr>
          <w:rFonts w:cs="Times New Roman"/>
          <w:color w:val="000000"/>
          <w:sz w:val="18"/>
          <w:szCs w:val="18"/>
        </w:rPr>
      </w:pPr>
      <w:r>
        <w:rPr>
          <w:rFonts w:cs="Times New Roman"/>
          <w:color w:val="000000"/>
          <w:sz w:val="18"/>
          <w:szCs w:val="18"/>
        </w:rPr>
        <w:t xml:space="preserve">                                      </w:t>
      </w:r>
      <w:r>
        <w:rPr>
          <w:rFonts w:cs="Times New Roman"/>
          <w:color w:val="000000"/>
          <w:sz w:val="18"/>
          <w:szCs w:val="18"/>
        </w:rPr>
        <w:t>м.п.</w:t>
      </w:r>
    </w:p>
    <w:p>
      <w:pPr>
        <w:pStyle w:val="style0"/>
        <w:rPr>
          <w:rFonts w:cs="Times New Roman"/>
          <w:b/>
          <w:bCs/>
          <w:color w:val="000000"/>
          <w:sz w:val="18"/>
          <w:szCs w:val="18"/>
        </w:rPr>
      </w:pPr>
      <w:r>
        <w:rPr>
          <w:rFonts w:cs="Times New Roman"/>
          <w:b/>
          <w:bCs/>
          <w:color w:val="000000"/>
          <w:sz w:val="18"/>
          <w:szCs w:val="18"/>
        </w:rPr>
      </w:r>
    </w:p>
    <w:p>
      <w:pPr>
        <w:pStyle w:val="style0"/>
        <w:jc w:val="center"/>
        <w:rPr>
          <w:rFonts w:cs="Times New Roman"/>
          <w:b/>
          <w:bCs/>
          <w:color w:val="000000"/>
          <w:sz w:val="18"/>
          <w:szCs w:val="18"/>
        </w:rPr>
      </w:pPr>
      <w:r>
        <w:rPr>
          <w:rFonts w:cs="Times New Roman"/>
          <w:b/>
          <w:bCs/>
          <w:color w:val="000000"/>
          <w:sz w:val="18"/>
          <w:szCs w:val="18"/>
        </w:rPr>
      </w:r>
    </w:p>
    <w:p>
      <w:pPr>
        <w:pStyle w:val="style0"/>
        <w:pageBreakBefore/>
        <w:jc w:val="center"/>
        <w:rPr>
          <w:rFonts w:cs="Times New Roman"/>
          <w:b/>
          <w:bCs/>
          <w:color w:val="000000"/>
          <w:sz w:val="18"/>
          <w:szCs w:val="18"/>
        </w:rPr>
      </w:pPr>
      <w:r>
        <w:rPr>
          <w:rFonts w:cs="Times New Roman"/>
          <w:b/>
          <w:bCs/>
          <w:color w:val="000000"/>
          <w:sz w:val="18"/>
          <w:szCs w:val="18"/>
        </w:rPr>
        <w:t xml:space="preserve">ПРИЛОЖЕНИЕ №1 к ЗАКАЗУ № /14/ЮЛ </w:t>
      </w:r>
    </w:p>
    <w:p>
      <w:pPr>
        <w:pStyle w:val="style0"/>
        <w:jc w:val="center"/>
        <w:rPr>
          <w:rFonts w:cs="Times New Roman"/>
          <w:b/>
          <w:bCs/>
          <w:color w:val="000000"/>
          <w:sz w:val="18"/>
          <w:szCs w:val="18"/>
        </w:rPr>
      </w:pPr>
      <w:r>
        <w:rPr>
          <w:rFonts w:cs="Times New Roman"/>
          <w:b/>
          <w:bCs/>
          <w:color w:val="000000"/>
          <w:sz w:val="18"/>
          <w:szCs w:val="18"/>
        </w:rPr>
      </w:r>
    </w:p>
    <w:p>
      <w:pPr>
        <w:pStyle w:val="style0"/>
        <w:rPr>
          <w:rFonts w:cs="Times New Roman"/>
          <w:b/>
          <w:bCs/>
          <w:caps/>
          <w:sz w:val="18"/>
          <w:szCs w:val="18"/>
        </w:rPr>
      </w:pPr>
      <w:r>
        <w:rPr>
          <w:rFonts w:cs="Times New Roman"/>
          <w:b/>
          <w:bCs/>
          <w:caps/>
          <w:color w:val="000000"/>
          <w:sz w:val="18"/>
          <w:szCs w:val="18"/>
        </w:rPr>
        <w:t>1</w:t>
      </w:r>
      <w:r>
        <w:rPr>
          <w:rFonts w:cs="Times New Roman"/>
          <w:b/>
          <w:bCs/>
          <w:caps/>
          <w:sz w:val="18"/>
          <w:szCs w:val="18"/>
        </w:rPr>
        <w:t>. Приложение:</w:t>
      </w:r>
    </w:p>
    <w:p>
      <w:pPr>
        <w:pStyle w:val="style0"/>
        <w:rPr>
          <w:rFonts w:cs="Times New Roman"/>
          <w:b/>
          <w:bCs/>
          <w:caps/>
          <w:sz w:val="18"/>
          <w:szCs w:val="18"/>
        </w:rPr>
      </w:pPr>
      <w:r>
        <w:rPr>
          <w:rFonts w:cs="Times New Roman"/>
          <w:b/>
          <w:bCs/>
          <w:cap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8"/>
        <w:gridCol w:w="2318"/>
        <w:gridCol w:w="3342"/>
        <w:gridCol w:w="2559"/>
      </w:tblGrid>
      <w:tr>
        <w:trPr>
          <w:cantSplit w:val="false"/>
        </w:trPr>
        <w:tc>
          <w:tcPr>
            <w:tcW w:type="dxa" w:w="2228"/>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Дата составления:</w:t>
            </w:r>
          </w:p>
        </w:tc>
        <w:tc>
          <w:tcPr>
            <w:tcW w:type="dxa" w:w="2318"/>
            <w:tcBorders>
              <w:top w:color="00000A" w:space="0" w:sz="4" w:val="doub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Отменяет действие приложения</w:t>
            </w:r>
          </w:p>
        </w:tc>
        <w:tc>
          <w:tcPr>
            <w:tcW w:type="dxa" w:w="2559"/>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type="dxa" w:w="2228"/>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 xml:space="preserve">Вступает в действие с </w:t>
            </w:r>
          </w:p>
        </w:tc>
        <w:tc>
          <w:tcPr>
            <w:tcW w:type="dxa" w:w="2318"/>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Действует до</w:t>
            </w:r>
          </w:p>
        </w:tc>
        <w:tc>
          <w:tcPr>
            <w:tcW w:type="dxa" w:w="2559"/>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0"/>
        <w:rPr>
          <w:rFonts w:cs="Times New Roman"/>
          <w:b/>
          <w:bCs/>
          <w:caps/>
          <w:color w:val="000000"/>
          <w:sz w:val="18"/>
          <w:szCs w:val="18"/>
        </w:rPr>
      </w:pPr>
      <w:r>
        <w:rPr>
          <w:rFonts w:cs="Times New Roman"/>
          <w:b/>
          <w:bCs/>
          <w:caps/>
          <w:color w:val="000000"/>
          <w:sz w:val="18"/>
          <w:szCs w:val="18"/>
        </w:rPr>
        <w:t>2. Данные об АБОНЕНТе*:</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089"/>
        <w:gridCol w:w="8357"/>
      </w:tblGrid>
      <w:tr>
        <w:trPr>
          <w:cantSplit w:val="false"/>
        </w:trPr>
        <w:tc>
          <w:tcPr>
            <w:tcW w:type="dxa" w:w="2089"/>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 xml:space="preserve">Официальное наименование АБОНЕНТА </w:t>
            </w:r>
          </w:p>
        </w:tc>
        <w:tc>
          <w:tcPr>
            <w:tcW w:type="dxa" w:w="8357"/>
            <w:gridSpan w:val="4"/>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Ф.И.О. контактного лица, должность</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 xml:space="preserve">Контактный телефон, </w:t>
            </w:r>
          </w:p>
          <w:p>
            <w:pPr>
              <w:pStyle w:val="style0"/>
              <w:rPr>
                <w:rFonts w:cs="Times New Roman"/>
                <w:sz w:val="18"/>
                <w:szCs w:val="18"/>
              </w:rPr>
            </w:pPr>
            <w:r>
              <w:rPr>
                <w:rFonts w:cs="Times New Roman"/>
                <w:sz w:val="18"/>
                <w:szCs w:val="18"/>
              </w:rPr>
              <w:t>e-mail</w:t>
            </w:r>
          </w:p>
        </w:tc>
        <w:tc>
          <w:tcPr>
            <w:tcW w:type="dxa" w:w="4179"/>
            <w:gridSpan w:val="2"/>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60"/>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для почтовых отправлений*</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Индекс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Cs/>
                <w:sz w:val="18"/>
                <w:szCs w:val="18"/>
              </w:rPr>
            </w:pPr>
            <w:r>
              <w:rPr>
                <w:rFonts w:cs="Times New Roman"/>
                <w:bCs/>
                <w:sz w:val="18"/>
                <w:szCs w:val="18"/>
              </w:rPr>
              <w:t>Адрес фактического местонахождения</w:t>
            </w:r>
          </w:p>
        </w:tc>
        <w:tc>
          <w:tcPr>
            <w:tcW w:type="dxa" w:w="2090"/>
            <w:vMerge w:val="restart"/>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Город</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Улица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Дом</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Корпус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Офис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Аб/ящик</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Квартира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Способ доставки счета:*</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отдел (получение лично)</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Телефон*</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Почтовый адрес</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lang w:val="en-US"/>
              </w:rPr>
            </w:pPr>
            <w:r>
              <w:rPr>
                <w:rFonts w:cs="Times New Roman"/>
                <w:sz w:val="18"/>
                <w:szCs w:val="18"/>
                <w:lang w:val="en-US"/>
              </w:rPr>
              <w:t>V</w:t>
            </w:r>
          </w:p>
        </w:tc>
      </w:tr>
      <w:tr>
        <w:trPr>
          <w:cantSplit w:val="false"/>
        </w:trPr>
        <w:tc>
          <w:tcPr>
            <w:tcW w:type="dxa" w:w="2089"/>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sz w:val="18"/>
                <w:szCs w:val="18"/>
              </w:rPr>
            </w:pPr>
            <w:r>
              <w:rPr>
                <w:rFonts w:cs="Times New Roman"/>
                <w:sz w:val="18"/>
                <w:szCs w:val="18"/>
              </w:rPr>
              <w:t>Факс*</w:t>
            </w:r>
          </w:p>
        </w:tc>
        <w:tc>
          <w:tcPr>
            <w:tcW w:type="dxa" w:w="2089"/>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ящик в ОПС</w:t>
            </w:r>
          </w:p>
        </w:tc>
        <w:tc>
          <w:tcPr>
            <w:tcW w:type="dxa" w:w="209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198"/>
        <w:spacing w:after="0" w:before="0" w:line="100" w:lineRule="atLeast"/>
        <w:ind w:hanging="0" w:left="0" w:right="0"/>
        <w:contextualSpacing w:val="false"/>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style0"/>
        <w:rPr>
          <w:rFonts w:cs="Times New Roman"/>
          <w:b/>
          <w:bCs/>
          <w:sz w:val="18"/>
          <w:szCs w:val="18"/>
        </w:rPr>
      </w:pPr>
      <w:r>
        <w:rPr>
          <w:rFonts w:cs="Times New Roman"/>
          <w:b/>
          <w:bCs/>
          <w:sz w:val="18"/>
          <w:szCs w:val="18"/>
        </w:rPr>
        <w:t>3. ДАННЫЕ ОБ УСЛУГЕ:</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1233"/>
        <w:gridCol w:w="1556"/>
        <w:gridCol w:w="1411"/>
        <w:gridCol w:w="2150"/>
        <w:gridCol w:w="2407"/>
        <w:gridCol w:w="1720"/>
      </w:tblGrid>
      <w:tr>
        <w:trPr>
          <w:cantSplit w:val="false"/>
        </w:trPr>
        <w:tc>
          <w:tcPr>
            <w:tcW w:type="dxa" w:w="1233"/>
            <w:tcBorders>
              <w:top w:color="00000A" w:space="0" w:sz="4" w:val="doub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Устройство</w:t>
            </w:r>
          </w:p>
          <w:p>
            <w:pPr>
              <w:pStyle w:val="style0"/>
              <w:jc w:val="center"/>
              <w:rPr>
                <w:rFonts w:cs="Times New Roman"/>
                <w:b/>
                <w:bCs/>
                <w:sz w:val="18"/>
                <w:szCs w:val="18"/>
              </w:rPr>
            </w:pPr>
            <w:r>
              <w:rPr>
                <w:rFonts w:cs="Times New Roman"/>
                <w:b/>
                <w:bCs/>
                <w:sz w:val="18"/>
                <w:szCs w:val="18"/>
              </w:rPr>
              <w:t>(</w:t>
            </w:r>
            <w:r>
              <w:rPr>
                <w:rFonts w:cs="Times New Roman"/>
                <w:b/>
                <w:bCs/>
                <w:i/>
                <w:sz w:val="18"/>
                <w:szCs w:val="18"/>
              </w:rPr>
              <w:t>номер/ пр.провод</w:t>
            </w:r>
            <w:r>
              <w:rPr>
                <w:rFonts w:cs="Times New Roman"/>
                <w:b/>
                <w:bCs/>
                <w:sz w:val="18"/>
                <w:szCs w:val="18"/>
              </w:rPr>
              <w:t>)</w:t>
            </w:r>
          </w:p>
        </w:tc>
        <w:tc>
          <w:tcPr>
            <w:tcW w:type="dxa" w:w="1556"/>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Схема включения</w:t>
            </w:r>
          </w:p>
          <w:p>
            <w:pPr>
              <w:pStyle w:val="style0"/>
              <w:jc w:val="center"/>
              <w:rPr>
                <w:rFonts w:cs="Times New Roman"/>
                <w:b/>
                <w:sz w:val="18"/>
                <w:szCs w:val="18"/>
              </w:rPr>
            </w:pPr>
            <w:r>
              <w:rPr>
                <w:rFonts w:cs="Times New Roman"/>
                <w:b/>
                <w:sz w:val="18"/>
                <w:szCs w:val="18"/>
              </w:rPr>
              <w:t>(</w:t>
            </w:r>
            <w:r>
              <w:rPr>
                <w:rFonts w:cs="Times New Roman"/>
                <w:b/>
                <w:i/>
                <w:sz w:val="18"/>
                <w:szCs w:val="18"/>
              </w:rPr>
              <w:t>входящий/основной/мини-АТС</w:t>
            </w:r>
            <w:r>
              <w:rPr>
                <w:rFonts w:cs="Times New Roman"/>
                <w:b/>
                <w:sz w:val="18"/>
                <w:szCs w:val="18"/>
              </w:rPr>
              <w:t>)</w:t>
            </w:r>
          </w:p>
        </w:tc>
        <w:tc>
          <w:tcPr>
            <w:tcW w:type="dxa" w:w="1411"/>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Вид соединения</w:t>
            </w:r>
          </w:p>
          <w:p>
            <w:pPr>
              <w:pStyle w:val="style0"/>
              <w:ind w:hanging="0" w:left="-108" w:right="-108"/>
              <w:jc w:val="center"/>
              <w:rPr>
                <w:rFonts w:cs="Times New Roman"/>
                <w:b/>
                <w:sz w:val="18"/>
                <w:szCs w:val="18"/>
              </w:rPr>
            </w:pPr>
            <w:r>
              <w:rPr>
                <w:rFonts w:cs="Times New Roman"/>
                <w:b/>
                <w:sz w:val="18"/>
                <w:szCs w:val="18"/>
              </w:rPr>
              <w:t>(</w:t>
            </w:r>
            <w:r>
              <w:rPr>
                <w:rFonts w:cs="Times New Roman"/>
                <w:b/>
                <w:i/>
                <w:sz w:val="18"/>
                <w:szCs w:val="18"/>
              </w:rPr>
              <w:t>Местн, пропуск вн/зон, МГ/МН</w:t>
            </w:r>
            <w:r>
              <w:rPr>
                <w:rFonts w:cs="Times New Roman"/>
                <w:b/>
                <w:sz w:val="18"/>
                <w:szCs w:val="18"/>
              </w:rPr>
              <w:t>)</w:t>
            </w:r>
          </w:p>
        </w:tc>
        <w:tc>
          <w:tcPr>
            <w:tcW w:type="dxa" w:w="2150"/>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ind w:hanging="0" w:left="-78" w:right="-108"/>
              <w:jc w:val="center"/>
              <w:rPr>
                <w:rFonts w:cs="Times New Roman"/>
                <w:b/>
                <w:sz w:val="18"/>
                <w:szCs w:val="18"/>
              </w:rPr>
            </w:pPr>
            <w:r>
              <w:rPr>
                <w:rFonts w:cs="Times New Roman"/>
                <w:b/>
                <w:sz w:val="18"/>
                <w:szCs w:val="18"/>
              </w:rPr>
              <w:t>Зона обслуживания/ граница ответственности (</w:t>
            </w:r>
            <w:r>
              <w:rPr>
                <w:rFonts w:cs="Times New Roman"/>
                <w:b/>
                <w:i/>
                <w:sz w:val="18"/>
                <w:szCs w:val="18"/>
              </w:rPr>
              <w:t>от и до</w:t>
            </w:r>
            <w:r>
              <w:rPr>
                <w:rFonts w:cs="Times New Roman"/>
                <w:b/>
                <w:sz w:val="18"/>
                <w:szCs w:val="18"/>
              </w:rPr>
              <w:t>)</w:t>
            </w:r>
          </w:p>
        </w:tc>
        <w:tc>
          <w:tcPr>
            <w:tcW w:type="dxa" w:w="2407"/>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Адрес установки устройства</w:t>
            </w:r>
          </w:p>
        </w:tc>
        <w:tc>
          <w:tcPr>
            <w:tcW w:type="dxa" w:w="1720"/>
            <w:tcBorders>
              <w:top w:color="00000A" w:space="0" w:sz="4" w:val="double"/>
              <w:left w:color="000001" w:space="0" w:sz="4" w:val="single"/>
              <w:bottom w:color="000001" w:space="0" w:sz="4" w:val="single"/>
              <w:right w:color="00000A" w:space="0" w:sz="4" w:val="doub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Система оплаты местных соединений (</w:t>
            </w:r>
            <w:r>
              <w:rPr>
                <w:rFonts w:cs="Times New Roman"/>
                <w:b/>
                <w:i/>
                <w:sz w:val="18"/>
                <w:szCs w:val="18"/>
              </w:rPr>
              <w:t>Абонентская/ повременная</w:t>
            </w:r>
            <w:r>
              <w:rPr>
                <w:rFonts w:cs="Times New Roman"/>
                <w:b/>
                <w:sz w:val="18"/>
                <w:szCs w:val="18"/>
              </w:rPr>
              <w:t>)</w:t>
            </w:r>
          </w:p>
        </w:tc>
      </w:tr>
      <w:tr>
        <w:trPr>
          <w:trHeight w:hRule="atLeast" w:val="552"/>
          <w:cantSplit w:val="false"/>
        </w:trPr>
        <w:tc>
          <w:tcPr>
            <w:tcW w:type="dxa" w:w="1233"/>
            <w:tcBorders>
              <w:top w:color="000001" w:space="0" w:sz="4" w:val="single"/>
              <w:left w:color="00000A" w:space="0" w:sz="4" w:val="double"/>
              <w:bottom w:color="000001" w:space="0" w:sz="4" w:val="single"/>
              <w:right w:color="000001" w:space="0" w:sz="4" w:val="single"/>
            </w:tcBorders>
            <w:shd w:fill="FFFFFF" w:val="clear"/>
            <w:tcMar>
              <w:left w:type="dxa" w:w="-13"/>
            </w:tcMar>
            <w:vAlign w:val="center"/>
          </w:tcPr>
          <w:p>
            <w:pPr>
              <w:pStyle w:val="style0"/>
              <w:jc w:val="center"/>
              <w:rPr>
                <w:rFonts w:cs="Times New Roman"/>
                <w:bCs/>
                <w:sz w:val="18"/>
                <w:szCs w:val="18"/>
              </w:rPr>
            </w:pPr>
            <w:r>
              <w:rPr>
                <w:rFonts w:cs="Times New Roman"/>
                <w:bCs/>
                <w:sz w:val="18"/>
                <w:szCs w:val="18"/>
              </w:rPr>
            </w:r>
          </w:p>
        </w:tc>
        <w:tc>
          <w:tcPr>
            <w:tcW w:type="dxa" w:w="1556"/>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основной</w:t>
            </w:r>
          </w:p>
        </w:tc>
        <w:tc>
          <w:tcPr>
            <w:tcW w:type="dxa" w:w="1411"/>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Местн, пропуск вн/зон, МГ/МН</w:t>
            </w:r>
          </w:p>
        </w:tc>
        <w:tc>
          <w:tcPr>
            <w:tcW w:type="dxa" w:w="2150"/>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c>
          <w:tcPr>
            <w:tcW w:type="dxa" w:w="2407"/>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c>
          <w:tcPr>
            <w:tcW w:type="dxa" w:w="1720"/>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t>Абонентская</w:t>
            </w:r>
          </w:p>
        </w:tc>
      </w:tr>
      <w:tr>
        <w:trPr>
          <w:trHeight w:hRule="atLeast" w:val="552"/>
          <w:cantSplit w:val="false"/>
        </w:trPr>
        <w:tc>
          <w:tcPr>
            <w:tcW w:type="dxa" w:w="1233"/>
            <w:tcBorders>
              <w:top w:color="000001" w:space="0" w:sz="4" w:val="single"/>
              <w:left w:color="00000A" w:space="0" w:sz="4" w:val="double"/>
              <w:bottom w:color="000001" w:space="0" w:sz="4" w:val="single"/>
              <w:right w:color="000001" w:space="0" w:sz="4" w:val="single"/>
            </w:tcBorders>
            <w:shd w:fill="FFFFFF" w:val="clear"/>
            <w:tcMar>
              <w:left w:type="dxa" w:w="-13"/>
            </w:tcMar>
            <w:vAlign w:val="center"/>
          </w:tcPr>
          <w:p>
            <w:pPr>
              <w:pStyle w:val="style0"/>
              <w:jc w:val="center"/>
              <w:rPr>
                <w:rFonts w:cs="Times New Roman"/>
                <w:bCs/>
                <w:sz w:val="18"/>
                <w:szCs w:val="18"/>
              </w:rPr>
            </w:pPr>
            <w:r>
              <w:rPr>
                <w:rFonts w:cs="Times New Roman"/>
                <w:bCs/>
                <w:sz w:val="18"/>
                <w:szCs w:val="18"/>
              </w:rPr>
            </w:r>
          </w:p>
        </w:tc>
        <w:tc>
          <w:tcPr>
            <w:tcW w:type="dxa" w:w="1556"/>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основной</w:t>
            </w:r>
          </w:p>
        </w:tc>
        <w:tc>
          <w:tcPr>
            <w:tcW w:type="dxa" w:w="1411"/>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Местн, пропуск вн/зон, МГ/МН</w:t>
            </w:r>
          </w:p>
        </w:tc>
        <w:tc>
          <w:tcPr>
            <w:tcW w:type="dxa" w:w="2150"/>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c>
          <w:tcPr>
            <w:tcW w:type="dxa" w:w="2407"/>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c>
          <w:tcPr>
            <w:tcW w:type="dxa" w:w="1720"/>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t>Абонентская</w:t>
            </w:r>
          </w:p>
        </w:tc>
      </w:tr>
      <w:tr>
        <w:trPr>
          <w:trHeight w:hRule="atLeast" w:val="552"/>
          <w:cantSplit w:val="false"/>
        </w:trPr>
        <w:tc>
          <w:tcPr>
            <w:tcW w:type="dxa" w:w="2790"/>
            <w:gridSpan w:val="2"/>
            <w:tcBorders>
              <w:top w:color="000001" w:space="0" w:sz="4" w:val="single"/>
              <w:left w:color="00000A" w:space="0" w:sz="4" w:val="double"/>
              <w:bottom w:color="00000A" w:space="0" w:sz="4" w:val="doub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Срок организации услуги, дней</w:t>
            </w:r>
          </w:p>
        </w:tc>
        <w:tc>
          <w:tcPr>
            <w:tcW w:type="dxa" w:w="1411"/>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10</w:t>
            </w:r>
          </w:p>
        </w:tc>
        <w:tc>
          <w:tcPr>
            <w:tcW w:type="dxa" w:w="4558"/>
            <w:gridSpan w:val="2"/>
            <w:tcBorders>
              <w:top w:color="000001" w:space="0" w:sz="4" w:val="single"/>
              <w:left w:color="000001" w:space="0" w:sz="4" w:val="single"/>
              <w:bottom w:color="00000A" w:space="0" w:sz="4" w:val="double"/>
              <w:right w:color="000001" w:space="0" w:sz="4" w:val="single"/>
            </w:tcBorders>
            <w:shd w:fill="BFBFBF" w:val="clear"/>
            <w:tcMar>
              <w:left w:type="dxa" w:w="77"/>
            </w:tcMar>
            <w:vAlign w:val="center"/>
          </w:tcPr>
          <w:p>
            <w:pPr>
              <w:pStyle w:val="style0"/>
              <w:jc w:val="right"/>
              <w:rPr>
                <w:rFonts w:cs="Times New Roman"/>
                <w:b/>
                <w:sz w:val="18"/>
                <w:szCs w:val="18"/>
              </w:rPr>
            </w:pPr>
            <w:r>
              <w:rPr>
                <w:rFonts w:cs="Times New Roman"/>
                <w:b/>
                <w:sz w:val="18"/>
                <w:szCs w:val="18"/>
              </w:rPr>
              <w:t>Планируемая дата окончания работ:</w:t>
            </w:r>
          </w:p>
        </w:tc>
        <w:tc>
          <w:tcPr>
            <w:tcW w:type="dxa" w:w="1718"/>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r>
    </w:tbl>
    <w:p>
      <w:pPr>
        <w:pStyle w:val="style0"/>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3643"/>
        <w:gridCol w:w="1698"/>
        <w:gridCol w:w="3397"/>
        <w:gridCol w:w="1789"/>
      </w:tblGrid>
      <w:tr>
        <w:trPr>
          <w:cantSplit w:val="false"/>
        </w:trPr>
        <w:tc>
          <w:tcPr>
            <w:tcW w:type="dxa" w:w="3643"/>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sz w:val="18"/>
                <w:szCs w:val="18"/>
              </w:rPr>
            </w:pPr>
            <w:r>
              <w:rPr>
                <w:rFonts w:cs="Times New Roman"/>
                <w:b/>
                <w:sz w:val="18"/>
                <w:szCs w:val="18"/>
              </w:rPr>
              <w:t>Местная телефонная связь</w:t>
            </w:r>
          </w:p>
        </w:tc>
        <w:tc>
          <w:tcPr>
            <w:tcW w:type="dxa" w:w="1698"/>
            <w:tcBorders>
              <w:top w:color="00000A" w:space="0" w:sz="4" w:val="doub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lang w:val="en-US"/>
              </w:rPr>
            </w:pPr>
            <w:r>
              <w:rPr>
                <w:rFonts w:cs="Times New Roman"/>
                <w:sz w:val="18"/>
                <w:szCs w:val="18"/>
                <w:lang w:val="en-US"/>
              </w:rPr>
              <w:t>V</w:t>
            </w:r>
          </w:p>
        </w:tc>
        <w:tc>
          <w:tcPr>
            <w:tcW w:type="dxa" w:w="3397"/>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Автоматическая междугородная и международная телефонная связь</w:t>
            </w:r>
          </w:p>
        </w:tc>
        <w:tc>
          <w:tcPr>
            <w:tcW w:type="dxa" w:w="1789"/>
            <w:tcBorders>
              <w:top w:color="00000A" w:space="0" w:sz="4" w:val="doub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8"/>
                <w:szCs w:val="18"/>
                <w:lang w:val="en-US"/>
              </w:rPr>
            </w:pPr>
            <w:r>
              <w:rPr>
                <w:rFonts w:cs="Times New Roman"/>
                <w:sz w:val="18"/>
                <w:szCs w:val="18"/>
                <w:lang w:val="en-US"/>
              </w:rPr>
              <w:t>V</w:t>
            </w:r>
          </w:p>
        </w:tc>
      </w:tr>
      <w:tr>
        <w:trPr>
          <w:cantSplit w:val="false"/>
        </w:trPr>
        <w:tc>
          <w:tcPr>
            <w:tcW w:type="dxa" w:w="3643"/>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
                <w:sz w:val="18"/>
                <w:szCs w:val="18"/>
              </w:rPr>
            </w:pPr>
            <w:r>
              <w:rPr>
                <w:rFonts w:cs="Times New Roman"/>
                <w:b/>
                <w:sz w:val="18"/>
                <w:szCs w:val="18"/>
              </w:rPr>
              <w:t>Внутризоновая телефонная связь</w:t>
            </w:r>
          </w:p>
        </w:tc>
        <w:tc>
          <w:tcPr>
            <w:tcW w:type="dxa" w:w="1698"/>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lang w:val="en-US"/>
              </w:rPr>
            </w:pPr>
            <w:r>
              <w:rPr>
                <w:rFonts w:cs="Times New Roman"/>
                <w:sz w:val="18"/>
                <w:szCs w:val="18"/>
                <w:lang w:val="en-US"/>
              </w:rPr>
              <w:t>V</w:t>
            </w:r>
          </w:p>
        </w:tc>
        <w:tc>
          <w:tcPr>
            <w:tcW w:type="dxa" w:w="3397"/>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ОПЕРАТОР МГ/МН связи по предварительному выбору</w:t>
            </w:r>
          </w:p>
        </w:tc>
        <w:tc>
          <w:tcPr>
            <w:tcW w:type="dxa" w:w="1789"/>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t>V</w:t>
            </w:r>
          </w:p>
        </w:tc>
      </w:tr>
      <w:tr>
        <w:trPr>
          <w:cantSplit w:val="false"/>
        </w:trPr>
        <w:tc>
          <w:tcPr>
            <w:tcW w:type="dxa" w:w="3643"/>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Услуги информационно-справочных служб</w:t>
            </w:r>
          </w:p>
        </w:tc>
        <w:tc>
          <w:tcPr>
            <w:tcW w:type="dxa" w:w="1698"/>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8"/>
                <w:szCs w:val="18"/>
                <w:lang w:val="en-US"/>
              </w:rPr>
            </w:pPr>
            <w:r>
              <w:rPr>
                <w:rFonts w:cs="Times New Roman"/>
                <w:sz w:val="18"/>
                <w:szCs w:val="18"/>
                <w:lang w:val="en-US"/>
              </w:rPr>
              <w:t>V</w:t>
            </w:r>
          </w:p>
        </w:tc>
        <w:tc>
          <w:tcPr>
            <w:tcW w:type="dxa" w:w="3397"/>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r>
          </w:p>
        </w:tc>
        <w:tc>
          <w:tcPr>
            <w:tcW w:type="dxa" w:w="1789"/>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8"/>
                <w:szCs w:val="18"/>
                <w:lang w:val="en-US"/>
              </w:rPr>
            </w:pPr>
            <w:r>
              <w:rPr>
                <w:rFonts w:cs="Times New Roman"/>
                <w:sz w:val="18"/>
                <w:szCs w:val="18"/>
                <w:lang w:val="en-US"/>
              </w:rPr>
            </w:r>
          </w:p>
        </w:tc>
      </w:tr>
    </w:tbl>
    <w:p>
      <w:pPr>
        <w:pStyle w:val="style0"/>
        <w:rPr>
          <w:rFonts w:cs="Times New Roman"/>
          <w:b/>
          <w:bCs/>
          <w:sz w:val="18"/>
          <w:szCs w:val="18"/>
        </w:rPr>
      </w:pPr>
      <w:r>
        <w:rPr>
          <w:rFonts w:cs="Times New Roman"/>
          <w:b/>
          <w:bCs/>
          <w:sz w:val="18"/>
          <w:szCs w:val="18"/>
        </w:rPr>
        <w:t>5. ПЛАТЕЖИ ЗА УСЛУГУ (ЕДИНОВРЕМЕННО), в рублях, без учета НДС</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6290"/>
        <w:gridCol w:w="1365"/>
        <w:gridCol w:w="1367"/>
        <w:gridCol w:w="1380"/>
      </w:tblGrid>
      <w:tr>
        <w:trPr>
          <w:cantSplit w:val="false"/>
        </w:trPr>
        <w:tc>
          <w:tcPr>
            <w:tcW w:type="dxa" w:w="6290"/>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1365"/>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Количество</w:t>
            </w:r>
          </w:p>
        </w:tc>
        <w:tc>
          <w:tcPr>
            <w:tcW w:type="dxa" w:w="1367"/>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Цена</w:t>
            </w:r>
          </w:p>
        </w:tc>
        <w:tc>
          <w:tcPr>
            <w:tcW w:type="dxa" w:w="1380"/>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Всего</w:t>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 xml:space="preserve">Предоставление доступа к сети местной телефонной связи </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bCs/>
                <w:sz w:val="18"/>
                <w:szCs w:val="18"/>
              </w:rPr>
            </w:pPr>
            <w:r>
              <w:rPr>
                <w:rFonts w:cs="Times New Roman"/>
                <w:bCs/>
                <w:sz w:val="18"/>
                <w:szCs w:val="18"/>
              </w:rPr>
              <w:t>Предоставление доступа к сети местной телефонной связи новому владельцу телефонизированного помещения в случае прекращение прав владения данным помещением прежнего владельца, либо арендатору на срок аренды</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bCs/>
                <w:sz w:val="18"/>
                <w:szCs w:val="18"/>
              </w:rPr>
            </w:pPr>
            <w:r>
              <w:rPr>
                <w:rFonts w:cs="Times New Roman"/>
                <w:bCs/>
                <w:sz w:val="18"/>
                <w:szCs w:val="18"/>
              </w:rPr>
              <w:t>Предоставление абоненту права выбора телефонного номера из списка свободных номеров</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1365"/>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67"/>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8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r>
    </w:tbl>
    <w:p>
      <w:pPr>
        <w:pStyle w:val="style0"/>
        <w:rPr>
          <w:rFonts w:cs="Times New Roman"/>
          <w:b/>
          <w:bCs/>
          <w:sz w:val="18"/>
          <w:szCs w:val="18"/>
        </w:rPr>
      </w:pPr>
      <w:r>
        <w:rPr>
          <w:rFonts w:cs="Times New Roman"/>
          <w:b/>
          <w:bCs/>
          <w:sz w:val="18"/>
          <w:szCs w:val="18"/>
        </w:rPr>
        <w:t>6. ПЛАТЕЖИ ЗА УСЛУГУ (ЕЖЕМЕСЯЧНО) на дату подписания Приложения, в рублях, без учета НДС</w:t>
      </w:r>
    </w:p>
    <w:tbl>
      <w:tblPr>
        <w:jc w:val="left"/>
        <w:tblInd w:type="dxa" w:w="-119"/>
        <w:tblBorders>
          <w:top w:color="00000A" w:space="0" w:sz="4" w:val="double"/>
          <w:left w:color="00000A" w:space="0" w:sz="4" w:val="double"/>
          <w:bottom w:color="000001" w:space="0" w:sz="4" w:val="single"/>
          <w:insideH w:color="000001" w:space="0" w:sz="4" w:val="single"/>
          <w:right w:color="00000A" w:space="0" w:sz="4" w:val="double"/>
          <w:insideV w:color="00000A" w:space="0" w:sz="4" w:val="double"/>
        </w:tblBorders>
        <w:tblCellMar>
          <w:top w:type="dxa" w:w="0"/>
          <w:left w:type="dxa" w:w="-13"/>
          <w:bottom w:type="dxa" w:w="0"/>
          <w:right w:type="dxa" w:w="108"/>
        </w:tblCellMar>
      </w:tblPr>
      <w:tblGrid>
        <w:gridCol w:w="2091"/>
        <w:gridCol w:w="2091"/>
        <w:gridCol w:w="6274"/>
      </w:tblGrid>
      <w:tr>
        <w:trPr>
          <w:cantSplit w:val="false"/>
        </w:trPr>
        <w:tc>
          <w:tcPr>
            <w:tcW w:type="dxa" w:w="2091"/>
            <w:vMerge w:val="restart"/>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2091"/>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Фиксированные платежи</w:t>
            </w:r>
          </w:p>
        </w:tc>
        <w:tc>
          <w:tcPr>
            <w:tcW w:type="dxa" w:w="6274"/>
            <w:gridSpan w:val="3"/>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Переменные платежи</w:t>
            </w:r>
          </w:p>
        </w:tc>
      </w:tr>
      <w:tr>
        <w:trPr>
          <w:cantSplit w:val="false"/>
        </w:trPr>
        <w:tc>
          <w:tcPr>
            <w:tcW w:type="dxa" w:w="2091"/>
            <w:vMerge w:val="continue"/>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ind w:hanging="0" w:left="-108" w:right="-141"/>
              <w:jc w:val="center"/>
              <w:rPr>
                <w:rFonts w:cs="Times New Roman"/>
                <w:b/>
                <w:sz w:val="18"/>
                <w:szCs w:val="18"/>
              </w:rPr>
            </w:pPr>
            <w:r>
              <w:rPr>
                <w:rFonts w:cs="Times New Roman"/>
                <w:b/>
                <w:sz w:val="18"/>
                <w:szCs w:val="18"/>
              </w:rPr>
              <w:t>Кол-во</w:t>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Цена</w:t>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Всего</w:t>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ind w:hanging="0" w:left="-108" w:right="-180"/>
              <w:jc w:val="center"/>
              <w:rPr>
                <w:rFonts w:cs="Times New Roman"/>
                <w:b/>
                <w:sz w:val="18"/>
                <w:szCs w:val="18"/>
              </w:rPr>
            </w:pPr>
            <w:r>
              <w:rPr>
                <w:rFonts w:cs="Times New Roman"/>
                <w:b/>
                <w:sz w:val="18"/>
                <w:szCs w:val="18"/>
              </w:rPr>
              <w:t>Цена</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 xml:space="preserve">Предоставление в пользование абонентской линии </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За неограниченный объем местных телефонных соединений (входящий)</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За неограниченный объем местных телефонных соединений (основной)</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За неограниченный объем местных телефонных соединений (мини-АТС)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Предоставление местного телефонного соединения (разговора) с использованием повременной системы оплаты, за мин</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Идентификация входящих звонков - Определитель номера - АОН</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2091"/>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c>
          <w:tcPr>
            <w:tcW w:type="dxa" w:w="2092"/>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w:t>
            </w:r>
          </w:p>
        </w:tc>
      </w:tr>
    </w:tbl>
    <w:p>
      <w:pPr>
        <w:pStyle w:val="style0"/>
        <w:rPr>
          <w:rFonts w:cs="Times New Roman"/>
          <w:b/>
          <w:bCs/>
          <w:sz w:val="18"/>
          <w:szCs w:val="18"/>
        </w:rPr>
      </w:pPr>
      <w:r>
        <w:rPr>
          <w:rFonts w:cs="Times New Roman"/>
          <w:b/>
          <w:bCs/>
          <w:sz w:val="18"/>
          <w:szCs w:val="18"/>
        </w:rPr>
      </w:r>
    </w:p>
    <w:tbl>
      <w:tblPr>
        <w:jc w:val="center"/>
        <w:tblInd w:type="dxa" w:w="0"/>
        <w:tblBorders>
          <w:top w:color="000001" w:space="0" w:sz="2" w:val="double"/>
          <w:left w:color="000001" w:space="0" w:sz="2" w:val="double"/>
          <w:bottom w:color="000001" w:space="0" w:sz="4" w:val="single"/>
          <w:insideH w:color="000001" w:space="0" w:sz="4" w:val="single"/>
          <w:right w:val="nil"/>
          <w:insideV w:val="nil"/>
        </w:tblBorders>
        <w:tblCellMar>
          <w:top w:type="dxa" w:w="0"/>
          <w:left w:type="dxa" w:w="41"/>
          <w:bottom w:type="dxa" w:w="0"/>
          <w:right w:type="dxa" w:w="108"/>
        </w:tblCellMar>
      </w:tblPr>
      <w:tblGrid>
        <w:gridCol w:w="1166"/>
        <w:gridCol w:w="1621"/>
        <w:gridCol w:w="2543"/>
        <w:gridCol w:w="3113"/>
        <w:gridCol w:w="2026"/>
      </w:tblGrid>
      <w:tr>
        <w:trPr>
          <w:trHeight w:hRule="exact" w:val="252"/>
          <w:cantSplit w:val="true"/>
        </w:trPr>
        <w:tc>
          <w:tcPr>
            <w:tcW w:type="dxa" w:w="1166"/>
            <w:vMerge w:val="restart"/>
            <w:tcBorders>
              <w:top w:color="000001" w:space="0" w:sz="2" w:val="double"/>
              <w:left w:color="000001" w:space="0" w:sz="2" w:val="double"/>
              <w:bottom w:color="000001" w:space="0" w:sz="4" w:val="single"/>
              <w:right w:val="nil"/>
            </w:tcBorders>
            <w:shd w:fill="BFBFBF" w:val="clear"/>
            <w:tcMar>
              <w:left w:type="dxa" w:w="41"/>
            </w:tcMar>
            <w:vAlign w:val="center"/>
          </w:tcPr>
          <w:p>
            <w:pPr>
              <w:pStyle w:val="style0"/>
              <w:rPr>
                <w:rFonts w:cs="Times New Roman"/>
                <w:sz w:val="18"/>
                <w:szCs w:val="18"/>
              </w:rPr>
            </w:pPr>
            <w:r>
              <w:rPr>
                <w:rFonts w:cs="Times New Roman"/>
                <w:sz w:val="18"/>
                <w:szCs w:val="18"/>
              </w:rPr>
              <w:t>Заказ принял:</w:t>
            </w:r>
          </w:p>
        </w:tc>
        <w:tc>
          <w:tcPr>
            <w:tcW w:type="dxa" w:w="1621"/>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Подпись</w:t>
            </w:r>
          </w:p>
        </w:tc>
        <w:tc>
          <w:tcPr>
            <w:tcW w:type="dxa" w:w="254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Фамилия</w:t>
            </w:r>
          </w:p>
        </w:tc>
        <w:tc>
          <w:tcPr>
            <w:tcW w:type="dxa" w:w="311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Должность</w:t>
            </w:r>
          </w:p>
        </w:tc>
        <w:tc>
          <w:tcPr>
            <w:tcW w:type="dxa" w:w="2026"/>
            <w:tcBorders>
              <w:top w:color="000001" w:space="0" w:sz="2" w:val="double"/>
              <w:left w:color="000001" w:space="0" w:sz="4" w:val="single"/>
              <w:bottom w:color="000001" w:space="0" w:sz="4" w:val="single"/>
              <w:right w:color="000001" w:space="0" w:sz="2" w:val="double"/>
            </w:tcBorders>
            <w:shd w:fill="BFBFBF" w:val="clear"/>
            <w:tcMar>
              <w:left w:type="dxa" w:w="63"/>
            </w:tcMar>
            <w:vAlign w:val="center"/>
          </w:tcPr>
          <w:p>
            <w:pPr>
              <w:pStyle w:val="style0"/>
              <w:jc w:val="center"/>
              <w:rPr>
                <w:rFonts w:cs="Times New Roman"/>
                <w:sz w:val="18"/>
                <w:szCs w:val="18"/>
              </w:rPr>
            </w:pPr>
            <w:r>
              <w:rPr>
                <w:rFonts w:cs="Times New Roman"/>
                <w:sz w:val="18"/>
                <w:szCs w:val="18"/>
              </w:rPr>
              <w:t>Дата</w:t>
            </w:r>
          </w:p>
        </w:tc>
      </w:tr>
      <w:tr>
        <w:trPr>
          <w:cantSplit w:val="true"/>
        </w:trPr>
        <w:tc>
          <w:tcPr>
            <w:tcW w:type="dxa" w:w="1166"/>
            <w:vMerge w:val="continue"/>
            <w:tcBorders>
              <w:top w:color="000001" w:space="0" w:sz="2" w:val="double"/>
              <w:left w:color="000001" w:space="0" w:sz="2" w:val="double"/>
              <w:bottom w:color="000001" w:space="0" w:sz="4" w:val="single"/>
              <w:right w:val="nil"/>
            </w:tcBorders>
            <w:shd w:fill="E5E5E5" w:val="clear"/>
            <w:tcMar>
              <w:left w:type="dxa" w:w="41"/>
            </w:tcMar>
            <w:vAlign w:val="center"/>
          </w:tcPr>
          <w:p>
            <w:pPr>
              <w:pStyle w:val="style0"/>
              <w:rPr>
                <w:rFonts w:cs="Times New Roman"/>
                <w:sz w:val="18"/>
                <w:szCs w:val="18"/>
              </w:rPr>
            </w:pPr>
            <w:r>
              <w:rPr>
                <w:rFonts w:cs="Times New Roman"/>
                <w:sz w:val="18"/>
                <w:szCs w:val="18"/>
              </w:rPr>
            </w:r>
          </w:p>
        </w:tc>
        <w:tc>
          <w:tcPr>
            <w:tcW w:type="dxa" w:w="1621"/>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jc w:val="center"/>
              <w:rPr>
                <w:rFonts w:cs="Times New Roman"/>
                <w:sz w:val="18"/>
                <w:szCs w:val="18"/>
              </w:rPr>
            </w:pPr>
            <w:r>
              <w:rPr>
                <w:rFonts w:cs="Times New Roman"/>
                <w:sz w:val="18"/>
                <w:szCs w:val="18"/>
              </w:rPr>
            </w:r>
          </w:p>
        </w:tc>
        <w:tc>
          <w:tcPr>
            <w:tcW w:type="dxa" w:w="254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t>Захаров В.А.</w:t>
            </w:r>
          </w:p>
        </w:tc>
        <w:tc>
          <w:tcPr>
            <w:tcW w:type="dxa" w:w="311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b/>
                <w:bCs/>
                <w:i/>
                <w:iCs/>
                <w:sz w:val="18"/>
                <w:szCs w:val="18"/>
              </w:rPr>
            </w:pPr>
            <w:r>
              <w:rPr>
                <w:rFonts w:cs="Times New Roman"/>
                <w:b/>
                <w:bCs/>
                <w:i/>
                <w:iCs/>
                <w:sz w:val="18"/>
                <w:szCs w:val="18"/>
              </w:rPr>
            </w:r>
          </w:p>
        </w:tc>
        <w:tc>
          <w:tcPr>
            <w:tcW w:type="dxa" w:w="2026"/>
            <w:tcBorders>
              <w:top w:color="000001" w:space="0" w:sz="4" w:val="single"/>
              <w:left w:color="000001" w:space="0" w:sz="4" w:val="single"/>
              <w:bottom w:color="000001" w:space="0" w:sz="4" w:val="single"/>
              <w:right w:color="000001" w:space="0" w:sz="2" w:val="double"/>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r>
    </w:tbl>
    <w:p>
      <w:pPr>
        <w:pStyle w:val="style0"/>
        <w:spacing w:line="240" w:lineRule="atLeast"/>
        <w:rPr>
          <w:rFonts w:cs="Times New Roman"/>
          <w:sz w:val="18"/>
          <w:szCs w:val="18"/>
        </w:rPr>
      </w:pPr>
      <w:r>
        <w:rPr>
          <w:rFonts w:cs="Times New Roman"/>
          <w:sz w:val="18"/>
          <w:szCs w:val="18"/>
        </w:rPr>
      </w:r>
    </w:p>
    <w:p>
      <w:pPr>
        <w:pStyle w:val="style0"/>
        <w:tabs>
          <w:tab w:leader="none" w:pos="284" w:val="left"/>
        </w:tabs>
        <w:ind w:hanging="0" w:left="0" w:right="1"/>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72" w:val="left"/>
              </w:tabs>
              <w:ind w:hanging="0" w:left="-108" w:right="0"/>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ind w:hanging="0" w:left="-108" w:right="0"/>
              <w:rPr>
                <w:rFonts w:cs="Times New Roman"/>
                <w:sz w:val="18"/>
                <w:szCs w:val="18"/>
              </w:rPr>
            </w:pPr>
            <w:r>
              <w:rPr>
                <w:rFonts w:cs="Times New Roman"/>
                <w:sz w:val="18"/>
                <w:szCs w:val="18"/>
              </w:rPr>
              <w:t>______________________________ / С.В. Гомберг /</w:t>
            </w:r>
          </w:p>
          <w:p>
            <w:pPr>
              <w:pStyle w:val="style0"/>
              <w:ind w:hanging="0" w:left="-108" w:right="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tabs>
          <w:tab w:leader="none" w:pos="5220" w:val="left"/>
        </w:tabs>
        <w:jc w:val="right"/>
        <w:rPr>
          <w:rFonts w:ascii="Arial" w:cs="Arial" w:hAnsi="Arial"/>
          <w:sz w:val="16"/>
          <w:szCs w:val="16"/>
          <w:lang w:val="en-US"/>
        </w:rPr>
      </w:pPr>
      <w:r>
        <w:rPr>
          <w:rFonts w:ascii="Arial" w:cs="Arial" w:hAnsi="Arial"/>
          <w:sz w:val="16"/>
          <w:szCs w:val="16"/>
          <w:lang w:val="en-US"/>
        </w:rPr>
      </w:r>
    </w:p>
    <w:p>
      <w:pPr>
        <w:pStyle w:val="style0"/>
        <w:tabs>
          <w:tab w:leader="none" w:pos="5220" w:val="left"/>
        </w:tabs>
        <w:jc w:val="right"/>
        <w:rPr>
          <w:rFonts w:ascii="Arial" w:cs="Arial" w:hAnsi="Arial"/>
          <w:sz w:val="16"/>
          <w:szCs w:val="16"/>
          <w:lang w:val="en-US"/>
        </w:rPr>
      </w:pPr>
      <w:r>
        <w:rPr>
          <w:rFonts w:ascii="Arial" w:cs="Arial" w:hAnsi="Arial"/>
          <w:sz w:val="16"/>
          <w:szCs w:val="16"/>
          <w:lang w:val="en-US"/>
        </w:rPr>
      </w:r>
    </w:p>
    <w:p>
      <w:pPr>
        <w:pStyle w:val="style180"/>
        <w:ind w:hanging="0" w:left="0" w:right="282"/>
        <w:jc w:val="center"/>
        <w:rPr/>
      </w:pPr>
      <w:r>
        <w:rPr/>
      </w:r>
    </w:p>
    <w:p>
      <w:pPr>
        <w:pStyle w:val="style180"/>
        <w:pageBreakBefore/>
        <w:ind w:hanging="0" w:left="0" w:right="282"/>
        <w:jc w:val="center"/>
        <w:rPr>
          <w:rFonts w:cs="Times New Roman"/>
          <w:b/>
          <w:sz w:val="18"/>
          <w:szCs w:val="18"/>
          <w:shd w:fill="FFFFFF" w:val="clear"/>
        </w:rPr>
      </w:pPr>
      <w:r>
        <w:rPr>
          <w:rFonts w:cs="Times New Roman"/>
          <w:b/>
          <w:sz w:val="18"/>
          <w:szCs w:val="18"/>
          <w:shd w:fill="FFFFFF" w:val="clear"/>
        </w:rPr>
        <w:t>ЗАКАЗ № /14/ТК от «»  2014г.</w:t>
      </w:r>
    </w:p>
    <w:p>
      <w:pPr>
        <w:pStyle w:val="style180"/>
        <w:ind w:hanging="0" w:left="0" w:right="282"/>
        <w:jc w:val="center"/>
        <w:rPr>
          <w:rFonts w:cs="Times New Roman"/>
          <w:b/>
          <w:sz w:val="18"/>
          <w:szCs w:val="18"/>
          <w:shd w:fill="FFFFFF" w:val="clear"/>
        </w:rPr>
      </w:pPr>
      <w:r>
        <w:rPr>
          <w:rFonts w:cs="Times New Roman"/>
          <w:b/>
          <w:sz w:val="18"/>
          <w:szCs w:val="18"/>
          <w:shd w:fill="FFFFFF" w:val="clear"/>
        </w:rPr>
        <w:t>к ДОГОВОРУ № /14 от «»  2014г.</w:t>
      </w:r>
    </w:p>
    <w:p>
      <w:pPr>
        <w:pStyle w:val="style180"/>
        <w:ind w:hanging="0" w:left="0" w:right="282"/>
        <w:jc w:val="center"/>
        <w:rPr>
          <w:rFonts w:cs="Times New Roman"/>
          <w:b/>
          <w:sz w:val="18"/>
          <w:szCs w:val="18"/>
          <w:shd w:fill="FFFFFF" w:val="clear"/>
        </w:rPr>
      </w:pPr>
      <w:r>
        <w:rPr>
          <w:rFonts w:cs="Times New Roman"/>
          <w:b/>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 xml:space="preserve">услуг по передаче данных, в т.ч. голосовой информации по сети передачи данных, </w:t>
      </w:r>
    </w:p>
    <w:p>
      <w:pPr>
        <w:pStyle w:val="style180"/>
        <w:ind w:hanging="0" w:left="0" w:right="282"/>
        <w:jc w:val="center"/>
        <w:rPr>
          <w:rFonts w:cs="Times New Roman"/>
          <w:b/>
          <w:bCs/>
          <w:color w:val="000000"/>
          <w:sz w:val="18"/>
          <w:szCs w:val="18"/>
          <w:shd w:fill="FFFFFF" w:val="clear"/>
        </w:rPr>
      </w:pPr>
      <w:r>
        <w:rPr>
          <w:rFonts w:cs="Times New Roman"/>
          <w:b/>
          <w:bCs/>
          <w:color w:val="000000"/>
          <w:sz w:val="18"/>
          <w:szCs w:val="18"/>
          <w:shd w:fill="FFFFFF" w:val="clear"/>
        </w:rPr>
        <w:t>и телематических услуг связи</w:t>
      </w:r>
    </w:p>
    <w:p>
      <w:pPr>
        <w:pStyle w:val="style0"/>
        <w:jc w:val="both"/>
        <w:rPr>
          <w:rFonts w:cs="Times New Roman"/>
          <w:b/>
          <w:sz w:val="18"/>
          <w:szCs w:val="18"/>
          <w:shd w:fill="FFFFFF" w:val="clear"/>
        </w:rPr>
      </w:pPr>
      <w:r>
        <w:rPr>
          <w:rFonts w:cs="Times New Roman"/>
          <w:b/>
          <w:sz w:val="18"/>
          <w:szCs w:val="18"/>
          <w:shd w:fill="FFFFFF" w:val="clear"/>
        </w:rPr>
        <w:t xml:space="preserve"> </w:t>
      </w:r>
    </w:p>
    <w:p>
      <w:pPr>
        <w:pStyle w:val="style0"/>
        <w:numPr>
          <w:ilvl w:val="0"/>
          <w:numId w:val="6"/>
        </w:numPr>
        <w:spacing w:after="57" w:before="0"/>
        <w:contextualSpacing w:val="false"/>
        <w:jc w:val="both"/>
        <w:rPr>
          <w:rFonts w:cs="Times New Roman"/>
          <w:sz w:val="18"/>
          <w:szCs w:val="18"/>
          <w:shd w:fill="FFFFFF" w:val="clear"/>
        </w:rPr>
      </w:pPr>
      <w:r>
        <w:rPr>
          <w:rFonts w:cs="Times New Roman"/>
          <w:sz w:val="18"/>
          <w:szCs w:val="18"/>
          <w:shd w:fill="FFFFFF" w:val="clear"/>
        </w:rPr>
        <w:t>ОПЕРАТОР СВЯЗИ оказывает АБОНЕНТУ услуги по передаче данных, в т.ч. голосовой информации по сети передачи данных,  а также обеспечивает доступ к сетям передачи данных и серверам телематических служб иных операторов, с которыми ОПЕРАТОР СВЯЗИ заключил договоры присоединения сетей связи и агентские договоры.</w:t>
      </w:r>
    </w:p>
    <w:p>
      <w:pPr>
        <w:pStyle w:val="style0"/>
        <w:numPr>
          <w:ilvl w:val="0"/>
          <w:numId w:val="6"/>
        </w:numPr>
        <w:spacing w:after="57" w:before="0"/>
        <w:contextualSpacing w:val="false"/>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если они предусмотрены Приложениями к данному Заказу. Организация функционирования Услуги заключается в присвоении АБОНЕНТУ Персонального идентификационного номера (ПИН-код) для доступа к Услуге в автоматизированной системе расчетов ОПЕРАТОРА СВЯЗИ, установке (при необходимости) дополнительного оборудования ОПЕРАТОРА СВЯЗИ, первоначальной настройке оборудования ОПЕРАТОРА СВЯЗИ, обеспечение доступа АБОНЕНТУ к сети передачи данных и телематических служб ОПЕРАТОРА СВЯЗИ. Оплата АБОНЕНТОМ услуг по организации доступа, если такой платеж предусмотрен Приложениями к данному Заказу, происходит авансовым платежом в течение 5 рабочих дней с даты выставления счета. </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Срок организации функционирования Услуги: не позднее 10 рабочих дней с момента поступления единовременного платежа за предоставление доступа к сети передачи данных и телематических служб ОПЕРАТОРА СВЯЗИ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 подключение устанавливаемого оборудования к сети передачи данных ОПЕРАТОРА СВЯЗИ посредством выделенного канала пропускной способностью не менее 64 кбит/с или доступа к сети Интернет той же пропускной способностью с параметрами качества: процент потерь пакетов не более 0,5% и круговая задержка не более 150 мс), если Сторонами не оговорено другое. В случае установки оборудования АБОНЕНТА, настройка оборудования и его обслуживание производится АБОНЕНТОМ самостоятельно, если Сторонами не оговорено другое.</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Количество одновременных соединений с сетью передачи данных и телематических служб ОПЕРАТОРА СВЯЗИ с использованием устанавливаемого оборудования указывается в Приложениях к Заказу. </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Стороны обязуются соблюдать конфиденциальность информации о персональных кодах доступа (ПИН–кодах) АБОНЕНТА к Услуге. ПИН-код передается АБОНЕНТУ в запечатанном конверте. При передаче ПИН-кода 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В случае, если у АБОНЕНТА произошла утечка информации о ПИН–коде, АБОНЕНТ имеет право заблокировать данный ПИН–код, сообщив об этом ОПЕРАТОРУ СВЯЗИ по телефону с последующим подтверждением официальным письмом/заявлением. ОПЕРАТОР СВЯЗИ обязуется сменить ПИН–код по требованию АБОНЕНТА.</w:t>
      </w:r>
      <w:r>
        <w:rPr>
          <w:sz w:val="18"/>
        </w:rPr>
        <w:t xml:space="preserve"> </w:t>
      </w:r>
      <w:r>
        <w:rPr>
          <w:rFonts w:cs="Times New Roman"/>
          <w:sz w:val="18"/>
          <w:szCs w:val="18"/>
          <w:shd w:fill="FFFFFF" w:val="clear"/>
        </w:rPr>
        <w:t xml:space="preserve">АБОНЕНТ несет ответственность за сохранность втайне своего ПИН-кода и за потребленные с использованием ПИН-кода Услуги. </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Цена и порядок расчетов: </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 </w:t>
      </w:r>
    </w:p>
    <w:p>
      <w:pPr>
        <w:pStyle w:val="style0"/>
        <w:numPr>
          <w:ilvl w:val="1"/>
          <w:numId w:val="6"/>
        </w:numPr>
        <w:tabs>
          <w:tab w:leader="none" w:pos="681" w:val="left"/>
        </w:tabs>
        <w:spacing w:after="57" w:before="0"/>
        <w:ind w:hanging="360" w:left="709" w:right="0"/>
        <w:contextualSpacing w:val="false"/>
        <w:jc w:val="both"/>
        <w:rPr>
          <w:sz w:val="18"/>
          <w:szCs w:val="20"/>
        </w:rPr>
      </w:pPr>
      <w:r>
        <w:rPr>
          <w:rFonts w:cs="Times New Roman"/>
          <w:sz w:val="18"/>
          <w:szCs w:val="18"/>
          <w:shd w:fill="FFFFFF" w:val="clear"/>
        </w:rPr>
        <w:t xml:space="preserve">При прекращении действия настоящего Заказа </w:t>
      </w:r>
      <w:r>
        <w:rPr>
          <w:sz w:val="18"/>
          <w:szCs w:val="20"/>
        </w:rPr>
        <w:t xml:space="preserve">для урегулирования финансовых претензий Сторон между </w:t>
      </w:r>
      <w:r>
        <w:rPr>
          <w:iCs/>
          <w:sz w:val="18"/>
          <w:szCs w:val="20"/>
        </w:rPr>
        <w:t xml:space="preserve">ОПЕРАТОРОМ СВЯЗИ </w:t>
      </w:r>
      <w:r>
        <w:rPr>
          <w:sz w:val="18"/>
          <w:szCs w:val="20"/>
        </w:rPr>
        <w:t xml:space="preserve">и АБОНЕНТОМ составляется Акт взаиморасчетов. В случае положительного остатка на лицевом счете </w:t>
      </w:r>
      <w:r>
        <w:rPr>
          <w:iCs/>
          <w:sz w:val="18"/>
          <w:szCs w:val="20"/>
        </w:rPr>
        <w:t>АБОНЕНТА</w:t>
      </w:r>
      <w:r>
        <w:rPr>
          <w:sz w:val="18"/>
          <w:szCs w:val="20"/>
        </w:rPr>
        <w:t xml:space="preserve"> согласно Акту взаиморасчетов, остаток возвращается </w:t>
      </w:r>
      <w:r>
        <w:rPr>
          <w:iCs/>
          <w:sz w:val="18"/>
          <w:szCs w:val="20"/>
        </w:rPr>
        <w:t>ОПЕРАТОРОМ СВЯЗИ АБОНЕНТУ</w:t>
      </w:r>
      <w:r>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Pr>
          <w:iCs/>
          <w:sz w:val="18"/>
          <w:szCs w:val="20"/>
        </w:rPr>
        <w:t>АБОНЕНТА</w:t>
      </w:r>
      <w:r>
        <w:rPr>
          <w:sz w:val="18"/>
          <w:szCs w:val="20"/>
        </w:rPr>
        <w:t xml:space="preserve"> согласно Акту взаиморасчетов, </w:t>
      </w:r>
      <w:r>
        <w:rPr>
          <w:iCs/>
          <w:sz w:val="18"/>
          <w:szCs w:val="20"/>
        </w:rPr>
        <w:t>АБОНЕНТ</w:t>
      </w:r>
      <w:r>
        <w:rPr>
          <w:sz w:val="18"/>
          <w:szCs w:val="20"/>
        </w:rPr>
        <w:t xml:space="preserve"> выплачивает сумму задолженности </w:t>
      </w:r>
      <w:r>
        <w:rPr>
          <w:iCs/>
          <w:sz w:val="18"/>
          <w:szCs w:val="20"/>
        </w:rPr>
        <w:t>ОПЕРАТОРУ СВЯЗИ</w:t>
      </w:r>
      <w:r>
        <w:rPr>
          <w:sz w:val="18"/>
          <w:szCs w:val="20"/>
        </w:rPr>
        <w:t xml:space="preserve"> в течение 5 (Пяти) банковских дней с момента подписания Акта взаиморасчетов.</w:t>
      </w:r>
    </w:p>
    <w:p>
      <w:pPr>
        <w:pStyle w:val="style0"/>
        <w:numPr>
          <w:ilvl w:val="1"/>
          <w:numId w:val="6"/>
        </w:numPr>
        <w:tabs>
          <w:tab w:leader="none" w:pos="681" w:val="left"/>
        </w:tabs>
        <w:spacing w:after="57" w:before="0"/>
        <w:ind w:hanging="360" w:left="709" w:right="0"/>
        <w:contextualSpacing w:val="false"/>
        <w:jc w:val="both"/>
        <w:rPr>
          <w:sz w:val="18"/>
          <w:szCs w:val="20"/>
          <w:shd w:fill="00FFFF" w:val="clear"/>
        </w:rPr>
      </w:pPr>
      <w:r>
        <w:rPr>
          <w:rFonts w:cs="Times New Roman"/>
          <w:sz w:val="18"/>
          <w:szCs w:val="18"/>
          <w:shd w:fill="FFFFFF" w:val="clear"/>
        </w:rPr>
        <w:t xml:space="preserve">Настоящим Заказом предусмотрена </w:t>
      </w:r>
      <w:r>
        <w:rPr>
          <w:rFonts w:cs="Times New Roman"/>
          <w:b/>
          <w:sz w:val="18"/>
          <w:szCs w:val="18"/>
          <w:shd w:fill="FFFFFF" w:val="clear"/>
        </w:rPr>
        <w:t>авансовая форма расчетов</w:t>
      </w:r>
      <w:r>
        <w:rPr>
          <w:rFonts w:cs="Times New Roman"/>
          <w:sz w:val="18"/>
          <w:szCs w:val="18"/>
          <w:shd w:fill="FFFFFF" w:val="clear"/>
        </w:rPr>
        <w:t xml:space="preserve"> за Услуги. 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Pr>
          <w:sz w:val="18"/>
          <w:szCs w:val="20"/>
          <w:shd w:fill="00FFFF" w:val="clear"/>
        </w:rPr>
        <w:t xml:space="preserve">При отсутствии денежных средств (нулевого или отрицательного остатка) на счете </w:t>
      </w:r>
      <w:r>
        <w:rPr>
          <w:iCs/>
          <w:sz w:val="18"/>
          <w:szCs w:val="20"/>
          <w:shd w:fill="00FFFF" w:val="clear"/>
        </w:rPr>
        <w:t xml:space="preserve">АБОНЕНТА ОПЕРАТОР СВЯЗИ </w:t>
      </w:r>
      <w:r>
        <w:rPr>
          <w:sz w:val="18"/>
          <w:szCs w:val="20"/>
          <w:shd w:fill="00FFFF" w:val="clear"/>
        </w:rPr>
        <w:t xml:space="preserve">имеет право прекратить предоставление Услуг </w:t>
      </w:r>
      <w:r>
        <w:rPr>
          <w:iCs/>
          <w:sz w:val="18"/>
          <w:szCs w:val="20"/>
          <w:shd w:fill="00FFFF" w:val="clear"/>
        </w:rPr>
        <w:t>АБОНЕНТУ.</w:t>
      </w:r>
      <w:r>
        <w:rPr>
          <w:sz w:val="18"/>
          <w:szCs w:val="20"/>
          <w:shd w:fill="00FFFF" w:val="clear"/>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Pr>
          <w:rFonts w:cs="Times New Roman"/>
          <w:sz w:val="18"/>
          <w:szCs w:val="18"/>
          <w:shd w:fill="FFFFFF" w:val="clear"/>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Pr>
          <w:sz w:val="18"/>
          <w:szCs w:val="20"/>
          <w:shd w:fill="00FFFF" w:val="clear"/>
        </w:rPr>
        <w:t xml:space="preserve">. </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СВЯЗИ обязуется вести учет объема оказанных Услуг и отражать его в отчетах об оказанных Услугах (далее - Биллинговых данных), предоставляемых АБОНЕНТУ по электронной почте не позднее 10 числа каждого месяца, следующего за отчетным, если  электронный адрес был указан в Приложении к настоящему Заказу.</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Биллинговые данные считаются принятыми АБОНЕНТОМ, если в течение 10 (Десяти) дней после предоставления ему Биллинговых данных, он не направляет ОПЕРАТОРУ СВЯЗИ Протокол разногласий. Взаимосогласованные изменения Биллинговых данных, если таковые имеются в отчетном месяце, учитываются при оплате последующих счетов. В случае признания обоснованности претензий АБОНЕНТА ОПЕРАТОРОМ СВЯЗИ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Объем оказанных Услуг  за отчетный месяц отражается ОПЕРАТОРОМ СВЯЗИ в счетах-фактурах и актах выполненных работ, выставляемых АБОНЕНТУ не позднее 15 числа каждого месяца, следующего за отчетным, с использованием обычной почты или курьерской доставки по адресу, указанному в Приложении к Заказу, если Сторонами  не оговорен иной способ доставки документов. </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если сумма Минимального ежемесячного счета, согласованная Сторонами и указанная в Приложении к настоящему Заказу, превышает стоимость фактически потребленных АБОНЕНТОМ Услуг за отчетный месяц, ОПЕРАТОР СВЯЗИ отражает в счетах-фактурах и актах выполненных работ, выставляемых АБОНЕНТУ, сумму минимального ежемесячного счета. Если стоимость потребленных Услуг превышает сумму минимального ежемесячного счета, то ОПЕРАТОР СВЯЗИ отражает в счетах-фактурах и актах выполненных работ фактическую сумму потребленных Услуг за отчетный период. </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и сумма минимального ежемесячного счета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style0"/>
        <w:numPr>
          <w:ilvl w:val="0"/>
          <w:numId w:val="6"/>
        </w:numPr>
        <w:tabs>
          <w:tab w:leader="none" w:pos="472"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При необходимости установки дополнительного оборудования АБОНЕНТ обязуется обеспечить его бесперебойное энергоснабжение, исключающее импульсные помехи или скачки напряжения (с заземлением).</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pPr>
        <w:pStyle w:val="style0"/>
        <w:numPr>
          <w:ilvl w:val="0"/>
          <w:numId w:val="6"/>
        </w:numPr>
        <w:spacing w:after="57" w:before="0"/>
        <w:contextualSpacing w:val="false"/>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style0"/>
        <w:numPr>
          <w:ilvl w:val="0"/>
          <w:numId w:val="6"/>
        </w:numPr>
        <w:spacing w:after="57" w:before="0"/>
        <w:contextualSpacing w:val="false"/>
        <w:jc w:val="both"/>
        <w:rPr>
          <w:rFonts w:cs="Times New Roman"/>
          <w:sz w:val="18"/>
          <w:szCs w:val="18"/>
        </w:rPr>
      </w:pPr>
      <w:r>
        <w:rPr>
          <w:rFonts w:cs="Times New Roman"/>
          <w:sz w:val="18"/>
          <w:szCs w:val="18"/>
        </w:rPr>
        <w:t>АБОНЕНТ обязуется не использовать предоставленное оборудование и услуги для проведения лотерей, голосования и других интерактивных технологий, а также оказания услуг связи без согласования с ОПЕРАТОРОМ СВЯЗИ.</w:t>
      </w:r>
    </w:p>
    <w:p>
      <w:pPr>
        <w:pStyle w:val="style0"/>
        <w:numPr>
          <w:ilvl w:val="0"/>
          <w:numId w:val="6"/>
        </w:numPr>
        <w:spacing w:after="57" w:before="0"/>
        <w:contextualSpacing w:val="false"/>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style0"/>
        <w:numPr>
          <w:ilvl w:val="0"/>
          <w:numId w:val="6"/>
        </w:numPr>
        <w:spacing w:after="57" w:before="0"/>
        <w:contextualSpacing w:val="false"/>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style0"/>
        <w:ind w:hanging="0" w:left="397" w:right="0"/>
        <w:jc w:val="both"/>
        <w:rPr>
          <w:rFonts w:cs="Times New Roman"/>
          <w:sz w:val="18"/>
          <w:szCs w:val="18"/>
        </w:rPr>
      </w:pPr>
      <w:r>
        <w:rPr>
          <w:rFonts w:cs="Times New Roman"/>
          <w:sz w:val="18"/>
          <w:szCs w:val="18"/>
        </w:rPr>
      </w:r>
    </w:p>
    <w:p>
      <w:pPr>
        <w:pStyle w:val="style0"/>
        <w:ind w:hanging="0" w:left="397" w:right="0"/>
        <w:jc w:val="center"/>
        <w:rPr>
          <w:rFonts w:cs="Times New Roman"/>
          <w:b/>
          <w:sz w:val="18"/>
          <w:szCs w:val="18"/>
        </w:rPr>
      </w:pPr>
      <w:r>
        <w:rPr>
          <w:rFonts w:cs="Times New Roman"/>
          <w:b/>
          <w:sz w:val="18"/>
          <w:szCs w:val="18"/>
        </w:rPr>
        <w:t>ПОДПИСИ СТОРОН:</w:t>
      </w:r>
    </w:p>
    <w:p>
      <w:pPr>
        <w:pStyle w:val="style0"/>
        <w:tabs>
          <w:tab w:leader="none" w:pos="1191" w:val="left"/>
        </w:tabs>
        <w:ind w:hanging="0" w:left="397" w:right="0"/>
        <w:jc w:val="both"/>
        <w:rPr>
          <w:rFonts w:cs="Times New Roman"/>
          <w:sz w:val="18"/>
          <w:szCs w:val="18"/>
        </w:rPr>
      </w:pPr>
      <w:r>
        <w:rPr>
          <w:rFonts w:cs="Times New Roman"/>
          <w:sz w:val="18"/>
          <w:szCs w:val="18"/>
        </w:rPr>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______________________________ / С.В.Гомберг /</w:t>
            </w:r>
          </w:p>
          <w:p>
            <w:pPr>
              <w:pStyle w:val="style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r>
    </w:p>
    <w:p>
      <w:pPr>
        <w:pStyle w:val="style0"/>
        <w:pageBreakBefore/>
        <w:jc w:val="center"/>
        <w:rPr>
          <w:rFonts w:cs="Times New Roman"/>
          <w:b/>
          <w:bCs/>
          <w:color w:val="000000"/>
          <w:sz w:val="18"/>
          <w:szCs w:val="18"/>
        </w:rPr>
      </w:pPr>
      <w:r>
        <w:rPr>
          <w:rFonts w:cs="Times New Roman"/>
          <w:b/>
          <w:bCs/>
          <w:color w:val="000000"/>
          <w:sz w:val="18"/>
          <w:szCs w:val="18"/>
        </w:rPr>
        <w:t>ПРИЛОЖЕНИЕ №1 к ЗАКАЗУ № /14/ТК</w:t>
      </w:r>
    </w:p>
    <w:p>
      <w:pPr>
        <w:pStyle w:val="style0"/>
        <w:jc w:val="center"/>
        <w:rPr>
          <w:rFonts w:cs="Times New Roman"/>
          <w:b/>
          <w:bCs/>
          <w:color w:val="000000"/>
          <w:sz w:val="18"/>
          <w:szCs w:val="18"/>
        </w:rPr>
      </w:pPr>
      <w:r>
        <w:rPr>
          <w:rFonts w:cs="Times New Roman"/>
          <w:b/>
          <w:bCs/>
          <w:color w:val="000000"/>
          <w:sz w:val="18"/>
          <w:szCs w:val="18"/>
        </w:rPr>
      </w:r>
    </w:p>
    <w:p>
      <w:pPr>
        <w:pStyle w:val="style0"/>
        <w:numPr>
          <w:ilvl w:val="0"/>
          <w:numId w:val="7"/>
        </w:numPr>
        <w:rPr>
          <w:rFonts w:cs="Times New Roman"/>
          <w:b/>
          <w:bCs/>
          <w:caps/>
          <w:color w:val="000000"/>
          <w:sz w:val="18"/>
          <w:szCs w:val="18"/>
        </w:rPr>
      </w:pPr>
      <w:r>
        <w:rPr>
          <w:rFonts w:cs="Times New Roman"/>
          <w:b/>
          <w:bCs/>
          <w:caps/>
          <w:color w:val="000000"/>
          <w:sz w:val="18"/>
          <w:szCs w:val="18"/>
        </w:rPr>
        <w:t>Приложение:</w:t>
      </w:r>
    </w:p>
    <w:p>
      <w:pPr>
        <w:pStyle w:val="style0"/>
        <w:ind w:hanging="0" w:left="720" w:right="0"/>
        <w:rPr>
          <w:rFonts w:cs="Times New Roman"/>
          <w:b/>
          <w:bCs/>
          <w:caps/>
          <w:sz w:val="18"/>
          <w:szCs w:val="18"/>
        </w:rPr>
      </w:pPr>
      <w:r>
        <w:rPr>
          <w:rFonts w:cs="Times New Roman"/>
          <w:b/>
          <w:bCs/>
          <w:cap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8"/>
        <w:gridCol w:w="2318"/>
        <w:gridCol w:w="3342"/>
        <w:gridCol w:w="2559"/>
      </w:tblGrid>
      <w:tr>
        <w:trPr>
          <w:cantSplit w:val="false"/>
        </w:trPr>
        <w:tc>
          <w:tcPr>
            <w:tcW w:type="dxa" w:w="2228"/>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Дата составления:</w:t>
            </w:r>
          </w:p>
        </w:tc>
        <w:tc>
          <w:tcPr>
            <w:tcW w:type="dxa" w:w="2318"/>
            <w:tcBorders>
              <w:top w:color="00000A" w:space="0" w:sz="4" w:val="doub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Отменяет действие приложения</w:t>
            </w:r>
          </w:p>
        </w:tc>
        <w:tc>
          <w:tcPr>
            <w:tcW w:type="dxa" w:w="2559"/>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type="dxa" w:w="2228"/>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 xml:space="preserve">Вступает в действие с </w:t>
            </w:r>
          </w:p>
        </w:tc>
        <w:tc>
          <w:tcPr>
            <w:tcW w:type="dxa" w:w="2318"/>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Действует до</w:t>
            </w:r>
          </w:p>
        </w:tc>
        <w:tc>
          <w:tcPr>
            <w:tcW w:type="dxa" w:w="2559"/>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0"/>
        <w:rPr>
          <w:rFonts w:cs="Times New Roman"/>
          <w:sz w:val="18"/>
          <w:szCs w:val="18"/>
        </w:rPr>
      </w:pPr>
      <w:r>
        <w:rPr>
          <w:rFonts w:cs="Times New Roman"/>
          <w:sz w:val="18"/>
          <w:szCs w:val="18"/>
        </w:rPr>
      </w:r>
    </w:p>
    <w:p>
      <w:pPr>
        <w:pStyle w:val="style0"/>
        <w:numPr>
          <w:ilvl w:val="0"/>
          <w:numId w:val="7"/>
        </w:numPr>
        <w:rPr>
          <w:rFonts w:cs="Times New Roman"/>
          <w:b/>
          <w:bCs/>
          <w:caps/>
          <w:color w:val="000000"/>
          <w:sz w:val="18"/>
          <w:szCs w:val="18"/>
        </w:rPr>
      </w:pPr>
      <w:r>
        <w:rPr>
          <w:rFonts w:cs="Times New Roman"/>
          <w:b/>
          <w:bCs/>
          <w:caps/>
          <w:color w:val="000000"/>
          <w:sz w:val="18"/>
          <w:szCs w:val="18"/>
        </w:rPr>
        <w:t>Данные об АБОНЕНТе*:</w:t>
      </w:r>
    </w:p>
    <w:p>
      <w:pPr>
        <w:pStyle w:val="style0"/>
        <w:rPr>
          <w:rFonts w:cs="Times New Roman"/>
          <w:b/>
          <w:bCs/>
          <w:caps/>
          <w:color w:val="000000"/>
          <w:sz w:val="18"/>
          <w:szCs w:val="18"/>
        </w:rPr>
      </w:pPr>
      <w:r>
        <w:rPr>
          <w:rFonts w:cs="Times New Roman"/>
          <w:b/>
          <w:bCs/>
          <w:caps/>
          <w:color w:val="000000"/>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089"/>
        <w:gridCol w:w="8357"/>
      </w:tblGrid>
      <w:tr>
        <w:trPr>
          <w:cantSplit w:val="false"/>
        </w:trPr>
        <w:tc>
          <w:tcPr>
            <w:tcW w:type="dxa" w:w="2089"/>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 xml:space="preserve">Официальное наименование АБОНЕНТА </w:t>
            </w:r>
          </w:p>
        </w:tc>
        <w:tc>
          <w:tcPr>
            <w:tcW w:type="dxa" w:w="8357"/>
            <w:gridSpan w:val="4"/>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Ф.И.О. контактного лица, должность</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 xml:space="preserve">Контактный телефон, </w:t>
            </w:r>
          </w:p>
          <w:p>
            <w:pPr>
              <w:pStyle w:val="style0"/>
              <w:rPr>
                <w:rFonts w:cs="Times New Roman"/>
                <w:sz w:val="18"/>
                <w:szCs w:val="18"/>
              </w:rPr>
            </w:pPr>
            <w:r>
              <w:rPr>
                <w:rFonts w:cs="Times New Roman"/>
                <w:sz w:val="18"/>
                <w:szCs w:val="18"/>
              </w:rPr>
              <w:t>e-mail</w:t>
            </w:r>
          </w:p>
        </w:tc>
        <w:tc>
          <w:tcPr>
            <w:tcW w:type="dxa" w:w="4179"/>
            <w:gridSpan w:val="2"/>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60"/>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для почтовых отправлений*</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Индекс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Cs/>
                <w:sz w:val="18"/>
                <w:szCs w:val="18"/>
              </w:rPr>
            </w:pPr>
            <w:r>
              <w:rPr>
                <w:rFonts w:cs="Times New Roman"/>
                <w:bCs/>
                <w:sz w:val="18"/>
                <w:szCs w:val="18"/>
              </w:rPr>
              <w:t>Адрес фактического местонахождения</w:t>
            </w:r>
          </w:p>
        </w:tc>
        <w:tc>
          <w:tcPr>
            <w:tcW w:type="dxa" w:w="2090"/>
            <w:vMerge w:val="restart"/>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Город</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Улица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Дом</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Корпус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Офис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Аб/ящик</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Квартира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Способ доставки счета:*</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отдел (получение лично)</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Телефон*</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Почтовый адрес</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lang w:val="en-US"/>
              </w:rPr>
            </w:pPr>
            <w:r>
              <w:rPr>
                <w:rFonts w:cs="Times New Roman"/>
                <w:sz w:val="18"/>
                <w:szCs w:val="18"/>
                <w:lang w:val="en-US"/>
              </w:rPr>
              <w:t>V</w:t>
            </w:r>
          </w:p>
        </w:tc>
      </w:tr>
      <w:tr>
        <w:trPr>
          <w:cantSplit w:val="false"/>
        </w:trPr>
        <w:tc>
          <w:tcPr>
            <w:tcW w:type="dxa" w:w="2089"/>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sz w:val="18"/>
                <w:szCs w:val="18"/>
              </w:rPr>
            </w:pPr>
            <w:r>
              <w:rPr>
                <w:rFonts w:cs="Times New Roman"/>
                <w:sz w:val="18"/>
                <w:szCs w:val="18"/>
              </w:rPr>
              <w:t>Факс*</w:t>
            </w:r>
          </w:p>
        </w:tc>
        <w:tc>
          <w:tcPr>
            <w:tcW w:type="dxa" w:w="2089"/>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ящик в ОПС</w:t>
            </w:r>
          </w:p>
        </w:tc>
        <w:tc>
          <w:tcPr>
            <w:tcW w:type="dxa" w:w="209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198"/>
        <w:spacing w:after="0" w:before="0" w:line="100" w:lineRule="atLeast"/>
        <w:ind w:hanging="0" w:left="0" w:right="0"/>
        <w:contextualSpacing w:val="false"/>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style0"/>
        <w:rPr>
          <w:rFonts w:cs="Times New Roman"/>
          <w:b/>
          <w:bCs/>
          <w:sz w:val="18"/>
          <w:szCs w:val="18"/>
        </w:rPr>
      </w:pPr>
      <w:r>
        <w:rPr>
          <w:rFonts w:cs="Times New Roman"/>
          <w:b/>
          <w:bCs/>
          <w:sz w:val="18"/>
          <w:szCs w:val="18"/>
        </w:rPr>
      </w:r>
    </w:p>
    <w:p>
      <w:pPr>
        <w:pStyle w:val="style0"/>
        <w:numPr>
          <w:ilvl w:val="0"/>
          <w:numId w:val="7"/>
        </w:numPr>
        <w:rPr>
          <w:rFonts w:cs="Times New Roman"/>
          <w:b/>
          <w:bCs/>
          <w:sz w:val="18"/>
          <w:szCs w:val="18"/>
        </w:rPr>
      </w:pPr>
      <w:r>
        <w:rPr>
          <w:rFonts w:cs="Times New Roman"/>
          <w:b/>
          <w:bCs/>
          <w:sz w:val="18"/>
          <w:szCs w:val="18"/>
        </w:rPr>
        <w:t>ДАННЫЕ ОБ УСЛУГЕ:</w:t>
      </w:r>
    </w:p>
    <w:tbl>
      <w:tblPr>
        <w:jc w:val="left"/>
        <w:tblInd w:type="dxa" w:w="-119"/>
        <w:tblBorders>
          <w:top w:color="00000A" w:space="0" w:sz="4" w:val="double"/>
          <w:left w:color="00000A" w:space="0" w:sz="4" w:val="double"/>
          <w:bottom w:color="000001" w:space="0" w:sz="12" w:val="single"/>
          <w:insideH w:color="000001" w:space="0" w:sz="12" w:val="single"/>
          <w:right w:color="000001" w:space="0" w:sz="4" w:val="single"/>
          <w:insideV w:color="000001" w:space="0" w:sz="4" w:val="single"/>
        </w:tblBorders>
        <w:tblCellMar>
          <w:top w:type="dxa" w:w="0"/>
          <w:left w:type="dxa" w:w="-13"/>
          <w:bottom w:type="dxa" w:w="0"/>
          <w:right w:type="dxa" w:w="108"/>
        </w:tblCellMar>
      </w:tblPr>
      <w:tblGrid>
        <w:gridCol w:w="1488"/>
        <w:gridCol w:w="1488"/>
        <w:gridCol w:w="1488"/>
        <w:gridCol w:w="1488"/>
        <w:gridCol w:w="4464"/>
      </w:tblGrid>
      <w:tr>
        <w:trPr>
          <w:cantSplit w:val="false"/>
        </w:trPr>
        <w:tc>
          <w:tcPr>
            <w:tcW w:type="dxa" w:w="1488"/>
            <w:tcBorders>
              <w:top w:color="00000A" w:space="0" w:sz="4" w:val="double"/>
              <w:left w:color="00000A" w:space="0" w:sz="4" w:val="double"/>
              <w:bottom w:color="000001" w:space="0" w:sz="12"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Количество необходимых ПИН-кодов для доступа к узлу ПД и ТС</w:t>
            </w:r>
          </w:p>
        </w:tc>
        <w:tc>
          <w:tcPr>
            <w:tcW w:type="dxa" w:w="1488"/>
            <w:tcBorders>
              <w:top w:color="00000A" w:space="0" w:sz="4" w:val="double"/>
              <w:left w:color="000001" w:space="0" w:sz="4" w:val="single"/>
              <w:bottom w:color="000001" w:space="0" w:sz="12" w:val="single"/>
              <w:right w:val="nil"/>
            </w:tcBorders>
            <w:shd w:fill="FFFFFF" w:val="clear"/>
            <w:tcMar>
              <w:left w:type="dxa" w:w="77"/>
            </w:tcMar>
          </w:tcPr>
          <w:p>
            <w:pPr>
              <w:pStyle w:val="style0"/>
              <w:jc w:val="center"/>
              <w:rPr>
                <w:rFonts w:cs="Times New Roman"/>
                <w:b/>
                <w:bCs/>
                <w:sz w:val="18"/>
                <w:szCs w:val="18"/>
              </w:rPr>
            </w:pPr>
            <w:r>
              <w:rPr>
                <w:rFonts w:cs="Times New Roman"/>
                <w:b/>
                <w:bCs/>
                <w:sz w:val="18"/>
                <w:szCs w:val="18"/>
              </w:rPr>
            </w:r>
          </w:p>
        </w:tc>
        <w:tc>
          <w:tcPr>
            <w:tcW w:type="dxa" w:w="1488"/>
            <w:tcBorders>
              <w:top w:color="00000A" w:space="0" w:sz="4" w:val="double"/>
              <w:left w:val="nil"/>
              <w:bottom w:color="000001" w:space="0" w:sz="12" w:val="single"/>
              <w:right w:color="000001" w:space="0" w:sz="4" w:val="single"/>
            </w:tcBorders>
            <w:shd w:fill="FFFFFF" w:val="clear"/>
            <w:tcMar>
              <w:left w:type="dxa" w:w="122"/>
            </w:tcMar>
          </w:tcPr>
          <w:p>
            <w:pPr>
              <w:pStyle w:val="style0"/>
              <w:jc w:val="center"/>
              <w:rPr>
                <w:rFonts w:cs="Times New Roman"/>
                <w:b/>
                <w:bCs/>
                <w:sz w:val="18"/>
                <w:szCs w:val="18"/>
              </w:rPr>
            </w:pPr>
            <w:r>
              <w:rPr>
                <w:rFonts w:cs="Times New Roman"/>
                <w:b/>
                <w:bCs/>
                <w:sz w:val="18"/>
                <w:szCs w:val="18"/>
              </w:rPr>
            </w:r>
          </w:p>
        </w:tc>
        <w:tc>
          <w:tcPr>
            <w:tcW w:type="dxa" w:w="1488"/>
            <w:tcBorders>
              <w:top w:color="00000A" w:space="0" w:sz="4" w:val="double"/>
              <w:left w:color="000001" w:space="0" w:sz="4" w:val="single"/>
              <w:bottom w:color="000001" w:space="0" w:sz="12" w:val="single"/>
              <w:right w:color="000001" w:space="0" w:sz="4" w:val="single"/>
            </w:tcBorders>
            <w:shd w:fill="BFBFBF" w:val="clear"/>
            <w:tcMar>
              <w:left w:type="dxa" w:w="77"/>
            </w:tcMar>
          </w:tcPr>
          <w:p>
            <w:pPr>
              <w:pStyle w:val="style0"/>
              <w:jc w:val="center"/>
              <w:rPr>
                <w:rFonts w:cs="Times New Roman"/>
                <w:b/>
                <w:bCs/>
                <w:sz w:val="18"/>
                <w:szCs w:val="18"/>
              </w:rPr>
            </w:pPr>
            <w:r>
              <w:rPr>
                <w:rFonts w:cs="Times New Roman"/>
                <w:b/>
                <w:bCs/>
                <w:sz w:val="18"/>
                <w:szCs w:val="18"/>
              </w:rPr>
              <w:t>Количество одновременных соединений с узлом ПД и ТС</w:t>
            </w:r>
          </w:p>
        </w:tc>
        <w:tc>
          <w:tcPr>
            <w:tcW w:type="dxa" w:w="4464"/>
            <w:gridSpan w:val="3"/>
            <w:tcBorders>
              <w:top w:color="00000A" w:space="0" w:sz="4" w:val="double"/>
              <w:left w:color="000001" w:space="0" w:sz="4" w:val="single"/>
              <w:bottom w:color="000001" w:space="0" w:sz="12" w:val="single"/>
              <w:right w:color="00000A" w:space="0" w:sz="4" w:val="double"/>
            </w:tcBorders>
            <w:shd w:fill="FFFFFF" w:val="clear"/>
            <w:tcMar>
              <w:left w:type="dxa" w:w="77"/>
            </w:tcMar>
          </w:tcPr>
          <w:p>
            <w:pPr>
              <w:pStyle w:val="style0"/>
              <w:jc w:val="center"/>
              <w:rPr>
                <w:rFonts w:cs="Times New Roman"/>
                <w:b/>
                <w:bCs/>
                <w:sz w:val="18"/>
                <w:szCs w:val="18"/>
              </w:rPr>
            </w:pPr>
            <w:r>
              <w:rPr>
                <w:rFonts w:cs="Times New Roman"/>
                <w:b/>
                <w:bCs/>
                <w:sz w:val="18"/>
                <w:szCs w:val="18"/>
              </w:rPr>
            </w:r>
          </w:p>
        </w:tc>
      </w:tr>
      <w:tr>
        <w:trPr>
          <w:cantSplit w:val="false"/>
        </w:trPr>
        <w:tc>
          <w:tcPr>
            <w:tcW w:type="dxa" w:w="1488"/>
            <w:vMerge w:val="restart"/>
            <w:tcBorders>
              <w:top w:color="000001" w:space="0" w:sz="12" w:val="single"/>
              <w:left w:color="00000A" w:space="0" w:sz="4" w:val="double"/>
              <w:bottom w:val="nil"/>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Номера телефонов АБОНЕНТА для доступа к узлу ПД и ТС</w:t>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1</w:t>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2</w:t>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3</w:t>
            </w:r>
          </w:p>
        </w:tc>
        <w:tc>
          <w:tcPr>
            <w:tcW w:type="dxa" w:w="1488"/>
            <w:tcBorders>
              <w:top w:color="000001" w:space="0" w:sz="12"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b/>
                <w:bCs/>
                <w:sz w:val="18"/>
                <w:szCs w:val="18"/>
              </w:rPr>
            </w:pPr>
            <w:r>
              <w:rPr>
                <w:rFonts w:cs="Times New Roman"/>
                <w:b/>
                <w:bCs/>
                <w:sz w:val="18"/>
                <w:szCs w:val="18"/>
              </w:rPr>
            </w:r>
          </w:p>
        </w:tc>
      </w:tr>
      <w:tr>
        <w:trPr>
          <w:cantSplit w:val="false"/>
        </w:trPr>
        <w:tc>
          <w:tcPr>
            <w:tcW w:type="dxa" w:w="1488"/>
            <w:vMerge w:val="continue"/>
            <w:tcBorders>
              <w:top w:val="nil"/>
              <w:left w:color="00000A" w:space="0" w:sz="4" w:val="double"/>
              <w:bottom w:val="nil"/>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4</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5</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6</w:t>
            </w:r>
          </w:p>
        </w:tc>
        <w:tc>
          <w:tcPr>
            <w:tcW w:type="dxa" w:w="1488"/>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b/>
                <w:bCs/>
                <w:sz w:val="18"/>
                <w:szCs w:val="18"/>
              </w:rPr>
            </w:pPr>
            <w:r>
              <w:rPr>
                <w:rFonts w:cs="Times New Roman"/>
                <w:b/>
                <w:bCs/>
                <w:sz w:val="18"/>
                <w:szCs w:val="18"/>
              </w:rPr>
            </w:r>
          </w:p>
        </w:tc>
      </w:tr>
      <w:tr>
        <w:trPr>
          <w:cantSplit w:val="false"/>
        </w:trPr>
        <w:tc>
          <w:tcPr>
            <w:tcW w:type="dxa" w:w="1488"/>
            <w:vMerge w:val="continue"/>
            <w:tcBorders>
              <w:top w:val="nil"/>
              <w:left w:color="00000A" w:space="0" w:sz="4" w:val="double"/>
              <w:bottom w:val="nil"/>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7</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8</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9</w:t>
            </w:r>
          </w:p>
        </w:tc>
        <w:tc>
          <w:tcPr>
            <w:tcW w:type="dxa" w:w="1488"/>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b/>
                <w:bCs/>
                <w:sz w:val="18"/>
                <w:szCs w:val="18"/>
              </w:rPr>
            </w:pPr>
            <w:r>
              <w:rPr>
                <w:rFonts w:cs="Times New Roman"/>
                <w:b/>
                <w:bCs/>
                <w:sz w:val="18"/>
                <w:szCs w:val="18"/>
              </w:rPr>
            </w:r>
          </w:p>
        </w:tc>
      </w:tr>
      <w:tr>
        <w:trPr>
          <w:cantSplit w:val="false"/>
        </w:trPr>
        <w:tc>
          <w:tcPr>
            <w:tcW w:type="dxa" w:w="1488"/>
            <w:tcBorders>
              <w:top w:val="nil"/>
              <w:left w:color="00000A" w:space="0" w:sz="4" w:val="double"/>
              <w:bottom w:val="nil"/>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10</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11</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12</w:t>
            </w:r>
          </w:p>
        </w:tc>
        <w:tc>
          <w:tcPr>
            <w:tcW w:type="dxa" w:w="1488"/>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b/>
                <w:bCs/>
                <w:sz w:val="18"/>
                <w:szCs w:val="18"/>
              </w:rPr>
            </w:pPr>
            <w:r>
              <w:rPr>
                <w:rFonts w:cs="Times New Roman"/>
                <w:b/>
                <w:bCs/>
                <w:sz w:val="18"/>
                <w:szCs w:val="18"/>
              </w:rPr>
            </w:r>
          </w:p>
        </w:tc>
      </w:tr>
      <w:tr>
        <w:trPr>
          <w:cantSplit w:val="false"/>
        </w:trPr>
        <w:tc>
          <w:tcPr>
            <w:tcW w:type="dxa" w:w="1488"/>
            <w:tcBorders>
              <w:top w:color="000001" w:space="0" w:sz="12" w:val="single"/>
              <w:left w:color="00000A" w:space="0" w:sz="4" w:val="double"/>
              <w:bottom w:color="000001" w:space="0" w:sz="12"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IP-адреса АБОНЕНТА для доступа к узлу ПД и ТС</w:t>
            </w:r>
          </w:p>
        </w:tc>
        <w:tc>
          <w:tcPr>
            <w:tcW w:type="dxa" w:w="1488"/>
            <w:tcBorders>
              <w:top w:color="000001" w:space="0" w:sz="12" w:val="single"/>
              <w:left w:color="000001" w:space="0" w:sz="4" w:val="single"/>
              <w:bottom w:color="000001" w:space="0" w:sz="12"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t>1</w:t>
            </w:r>
          </w:p>
        </w:tc>
        <w:tc>
          <w:tcPr>
            <w:tcW w:type="dxa" w:w="1488"/>
            <w:tcBorders>
              <w:top w:color="000001" w:space="0" w:sz="12" w:val="single"/>
              <w:left w:color="000001" w:space="0" w:sz="4" w:val="single"/>
              <w:bottom w:color="000001" w:space="0" w:sz="12" w:val="single"/>
              <w:right w:color="000001" w:space="0" w:sz="4" w:val="single"/>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c>
          <w:tcPr>
            <w:tcW w:type="dxa" w:w="1488"/>
            <w:tcBorders>
              <w:top w:color="000001" w:space="0" w:sz="12" w:val="single"/>
              <w:left w:color="000001" w:space="0" w:sz="4" w:val="single"/>
              <w:bottom w:color="000001" w:space="0" w:sz="12"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t>2</w:t>
            </w:r>
          </w:p>
        </w:tc>
        <w:tc>
          <w:tcPr>
            <w:tcW w:type="dxa" w:w="1488"/>
            <w:tcBorders>
              <w:top w:color="000001" w:space="0" w:sz="12" w:val="single"/>
              <w:left w:color="000001" w:space="0" w:sz="4" w:val="single"/>
              <w:bottom w:color="000001" w:space="0" w:sz="12" w:val="single"/>
              <w:right w:color="000001" w:space="0" w:sz="4" w:val="single"/>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c>
          <w:tcPr>
            <w:tcW w:type="dxa" w:w="1488"/>
            <w:tcBorders>
              <w:top w:color="000001" w:space="0" w:sz="12" w:val="single"/>
              <w:left w:color="000001" w:space="0" w:sz="4" w:val="single"/>
              <w:bottom w:color="000001" w:space="0" w:sz="12"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t>3</w:t>
            </w:r>
          </w:p>
        </w:tc>
        <w:tc>
          <w:tcPr>
            <w:tcW w:type="dxa" w:w="1488"/>
            <w:tcBorders>
              <w:top w:color="000001" w:space="0" w:sz="12" w:val="single"/>
              <w:left w:color="000001" w:space="0" w:sz="4" w:val="single"/>
              <w:bottom w:color="000001" w:space="0" w:sz="12" w:val="single"/>
              <w:right w:color="00000A" w:space="0" w:sz="4" w:val="double"/>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r>
      <w:tr>
        <w:trPr>
          <w:cantSplit w:val="false"/>
        </w:trPr>
        <w:tc>
          <w:tcPr>
            <w:tcW w:type="dxa" w:w="1488"/>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Минимальный ежемесячный счет</w:t>
            </w:r>
          </w:p>
        </w:tc>
        <w:tc>
          <w:tcPr>
            <w:tcW w:type="dxa" w:w="1488"/>
            <w:tcBorders>
              <w:top w:color="000001" w:space="0" w:sz="12" w:val="single"/>
              <w:left w:color="000001" w:space="0" w:sz="4" w:val="single"/>
              <w:bottom w:color="000001" w:space="0" w:sz="4" w:val="single"/>
              <w:right w:val="nil"/>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c>
          <w:tcPr>
            <w:tcW w:type="dxa" w:w="1488"/>
            <w:tcBorders>
              <w:top w:color="000001" w:space="0" w:sz="12" w:val="single"/>
              <w:left w:val="nil"/>
              <w:bottom w:color="000001" w:space="0" w:sz="4" w:val="single"/>
              <w:right w:color="000001" w:space="0" w:sz="4" w:val="single"/>
            </w:tcBorders>
            <w:shd w:fill="FFFFFF" w:val="clear"/>
            <w:tcMar>
              <w:left w:type="dxa" w:w="122"/>
            </w:tcMar>
            <w:vAlign w:val="center"/>
          </w:tcPr>
          <w:p>
            <w:pPr>
              <w:pStyle w:val="style0"/>
              <w:rPr>
                <w:rFonts w:cs="Times New Roman"/>
                <w:b/>
                <w:bCs/>
                <w:sz w:val="18"/>
                <w:szCs w:val="18"/>
              </w:rPr>
            </w:pPr>
            <w:r>
              <w:rPr>
                <w:rFonts w:cs="Times New Roman"/>
                <w:b/>
                <w:bCs/>
                <w:sz w:val="18"/>
                <w:szCs w:val="18"/>
              </w:rPr>
              <w:t>руб.</w:t>
            </w:r>
          </w:p>
        </w:tc>
        <w:tc>
          <w:tcPr>
            <w:tcW w:type="dxa" w:w="1488"/>
            <w:tcBorders>
              <w:top w:color="000001" w:space="0" w:sz="12"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bCs/>
                <w:sz w:val="18"/>
                <w:szCs w:val="18"/>
              </w:rPr>
            </w:pPr>
            <w:r>
              <w:rPr>
                <w:rFonts w:cs="Times New Roman"/>
                <w:b/>
                <w:bCs/>
                <w:sz w:val="18"/>
                <w:szCs w:val="18"/>
              </w:rPr>
              <w:t>Ограничить доступ при достижении задолженности по лицевому счету (с НДС)</w:t>
            </w:r>
          </w:p>
        </w:tc>
        <w:tc>
          <w:tcPr>
            <w:tcW w:type="dxa" w:w="1488"/>
            <w:tcBorders>
              <w:top w:color="000001" w:space="0" w:sz="12" w:val="single"/>
              <w:left w:color="000001" w:space="0" w:sz="4" w:val="single"/>
              <w:bottom w:color="000001" w:space="0" w:sz="4" w:val="single"/>
              <w:right w:val="nil"/>
            </w:tcBorders>
            <w:shd w:fill="FFFFFF" w:val="clear"/>
            <w:tcMar>
              <w:left w:type="dxa" w:w="77"/>
            </w:tcMar>
            <w:vAlign w:val="center"/>
          </w:tcPr>
          <w:p>
            <w:pPr>
              <w:pStyle w:val="style0"/>
              <w:rPr>
                <w:rFonts w:cs="Times New Roman"/>
                <w:b/>
                <w:bCs/>
                <w:sz w:val="18"/>
                <w:szCs w:val="18"/>
              </w:rPr>
            </w:pPr>
            <w:r>
              <w:rPr>
                <w:rFonts w:cs="Times New Roman"/>
                <w:b/>
                <w:bCs/>
                <w:sz w:val="18"/>
                <w:szCs w:val="18"/>
              </w:rPr>
              <w:t>10000-00</w:t>
            </w:r>
          </w:p>
        </w:tc>
        <w:tc>
          <w:tcPr>
            <w:tcW w:type="dxa" w:w="2976"/>
            <w:gridSpan w:val="2"/>
            <w:tcBorders>
              <w:top w:color="000001" w:space="0" w:sz="12" w:val="single"/>
              <w:left w:val="nil"/>
              <w:bottom w:color="000001" w:space="0" w:sz="4" w:val="single"/>
              <w:right w:color="00000A" w:space="0" w:sz="4" w:val="double"/>
            </w:tcBorders>
            <w:shd w:fill="FFFFFF" w:val="clear"/>
            <w:tcMar>
              <w:left w:type="dxa" w:w="122"/>
            </w:tcMar>
            <w:vAlign w:val="center"/>
          </w:tcPr>
          <w:p>
            <w:pPr>
              <w:pStyle w:val="style0"/>
              <w:rPr>
                <w:rFonts w:cs="Times New Roman"/>
                <w:b/>
                <w:bCs/>
                <w:sz w:val="18"/>
                <w:szCs w:val="18"/>
              </w:rPr>
            </w:pPr>
            <w:r>
              <w:rPr>
                <w:rFonts w:cs="Times New Roman"/>
                <w:b/>
                <w:bCs/>
                <w:sz w:val="18"/>
                <w:szCs w:val="18"/>
              </w:rPr>
              <w:t>руб.</w:t>
            </w:r>
          </w:p>
        </w:tc>
      </w:tr>
      <w:tr>
        <w:trPr>
          <w:cantSplit w:val="false"/>
        </w:trPr>
        <w:tc>
          <w:tcPr>
            <w:tcW w:type="dxa" w:w="1488"/>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Срок организации услуги, дней</w:t>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t>10</w:t>
            </w:r>
          </w:p>
        </w:tc>
        <w:tc>
          <w:tcPr>
            <w:tcW w:type="dxa" w:w="1488"/>
            <w:tcBorders>
              <w:top w:color="000001" w:space="0" w:sz="12" w:val="sing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Планируемая дата начала пользования Услугой:</w:t>
            </w:r>
          </w:p>
        </w:tc>
        <w:tc>
          <w:tcPr>
            <w:tcW w:type="dxa" w:w="5952"/>
            <w:gridSpan w:val="4"/>
            <w:tcBorders>
              <w:top w:color="000001" w:space="0" w:sz="12"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r>
          </w:p>
        </w:tc>
      </w:tr>
      <w:tr>
        <w:trPr>
          <w:cantSplit w:val="false"/>
        </w:trPr>
        <w:tc>
          <w:tcPr>
            <w:tcW w:type="dxa" w:w="1488"/>
            <w:tcBorders>
              <w:top w:color="000001" w:space="0" w:sz="12" w:val="single"/>
              <w:left w:color="00000A" w:space="0" w:sz="4" w:val="double"/>
              <w:bottom w:color="00000A" w:space="0" w:sz="4" w:val="doub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Особые условия:</w:t>
            </w:r>
          </w:p>
        </w:tc>
        <w:tc>
          <w:tcPr>
            <w:tcW w:type="dxa" w:w="8928"/>
            <w:gridSpan w:val="6"/>
            <w:tcBorders>
              <w:top w:color="000001" w:space="0" w:sz="12"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bCs/>
                <w:sz w:val="18"/>
                <w:szCs w:val="18"/>
              </w:rPr>
            </w:pPr>
            <w:r>
              <w:rPr>
                <w:rFonts w:cs="Times New Roman"/>
                <w:b/>
                <w:bCs/>
                <w:sz w:val="18"/>
                <w:szCs w:val="18"/>
              </w:rPr>
            </w:r>
          </w:p>
        </w:tc>
      </w:tr>
    </w:tbl>
    <w:p>
      <w:pPr>
        <w:pStyle w:val="style0"/>
        <w:rPr>
          <w:rFonts w:cs="Times New Roman"/>
          <w:b/>
          <w:bCs/>
          <w:sz w:val="18"/>
          <w:szCs w:val="18"/>
        </w:rPr>
      </w:pPr>
      <w:r>
        <w:rPr>
          <w:rFonts w:cs="Times New Roman"/>
          <w:b/>
          <w:bCs/>
          <w:sz w:val="18"/>
          <w:szCs w:val="18"/>
        </w:rPr>
      </w:r>
    </w:p>
    <w:p>
      <w:pPr>
        <w:pStyle w:val="style0"/>
        <w:numPr>
          <w:ilvl w:val="0"/>
          <w:numId w:val="7"/>
        </w:numPr>
        <w:rPr>
          <w:rFonts w:cs="Times New Roman"/>
          <w:b/>
          <w:bCs/>
          <w:sz w:val="18"/>
          <w:szCs w:val="18"/>
        </w:rPr>
      </w:pPr>
      <w:r>
        <w:rPr>
          <w:rFonts w:cs="Times New Roman"/>
          <w:b/>
          <w:bCs/>
          <w:sz w:val="18"/>
          <w:szCs w:val="18"/>
        </w:rPr>
        <w:t>ПЛАТЕЖИ ЗА УСЛУГУ (ЕДИНОВРЕМЕННО), в рублях, без учета НДС</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6290"/>
        <w:gridCol w:w="1365"/>
        <w:gridCol w:w="1367"/>
        <w:gridCol w:w="1380"/>
      </w:tblGrid>
      <w:tr>
        <w:trPr>
          <w:cantSplit w:val="false"/>
        </w:trPr>
        <w:tc>
          <w:tcPr>
            <w:tcW w:type="dxa" w:w="6290"/>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1365"/>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Количество</w:t>
            </w:r>
          </w:p>
        </w:tc>
        <w:tc>
          <w:tcPr>
            <w:tcW w:type="dxa" w:w="1367"/>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Цена</w:t>
            </w:r>
          </w:p>
        </w:tc>
        <w:tc>
          <w:tcPr>
            <w:tcW w:type="dxa" w:w="1380"/>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Всего</w:t>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 xml:space="preserve">Установка и настройка дополнительного оборудования, обеспечивающего доступ к узлу передачи данных и телематических служб </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1365"/>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67"/>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8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r>
    </w:tbl>
    <w:p>
      <w:pPr>
        <w:pStyle w:val="style0"/>
        <w:rPr>
          <w:rFonts w:cs="Times New Roman"/>
          <w:b/>
          <w:bCs/>
          <w:sz w:val="18"/>
          <w:szCs w:val="18"/>
        </w:rPr>
      </w:pPr>
      <w:r>
        <w:rPr>
          <w:rFonts w:cs="Times New Roman"/>
          <w:b/>
          <w:bCs/>
          <w:sz w:val="18"/>
          <w:szCs w:val="18"/>
        </w:rPr>
      </w:r>
    </w:p>
    <w:p>
      <w:pPr>
        <w:pStyle w:val="style0"/>
        <w:numPr>
          <w:ilvl w:val="0"/>
          <w:numId w:val="7"/>
        </w:numPr>
        <w:rPr>
          <w:rFonts w:cs="Times New Roman"/>
          <w:b/>
          <w:bCs/>
          <w:sz w:val="18"/>
          <w:szCs w:val="18"/>
        </w:rPr>
      </w:pPr>
      <w:r>
        <w:rPr>
          <w:rFonts w:cs="Times New Roman"/>
          <w:b/>
          <w:bCs/>
          <w:sz w:val="18"/>
          <w:szCs w:val="18"/>
        </w:rPr>
        <w:t>ПЛАТЕЖИ ЗА УСЛУГУ (ЕЖЕМЕСЯЧНО) на дату подписания Приложения, в рублях, без учета НДС</w:t>
      </w:r>
    </w:p>
    <w:tbl>
      <w:tblPr>
        <w:jc w:val="left"/>
        <w:tblInd w:type="dxa" w:w="-119"/>
        <w:tblBorders>
          <w:top w:color="00000A" w:space="0" w:sz="4" w:val="double"/>
          <w:left w:color="00000A" w:space="0" w:sz="4" w:val="double"/>
          <w:bottom w:color="000001" w:space="0" w:sz="4" w:val="single"/>
          <w:insideH w:color="000001" w:space="0" w:sz="4" w:val="single"/>
          <w:right w:color="00000A" w:space="0" w:sz="4" w:val="double"/>
          <w:insideV w:color="00000A" w:space="0" w:sz="4" w:val="double"/>
        </w:tblBorders>
        <w:tblCellMar>
          <w:top w:type="dxa" w:w="0"/>
          <w:left w:type="dxa" w:w="-13"/>
          <w:bottom w:type="dxa" w:w="0"/>
          <w:right w:type="dxa" w:w="108"/>
        </w:tblCellMar>
      </w:tblPr>
      <w:tblGrid>
        <w:gridCol w:w="2091"/>
        <w:gridCol w:w="2091"/>
        <w:gridCol w:w="6274"/>
      </w:tblGrid>
      <w:tr>
        <w:trPr>
          <w:cantSplit w:val="false"/>
        </w:trPr>
        <w:tc>
          <w:tcPr>
            <w:tcW w:type="dxa" w:w="2091"/>
            <w:vMerge w:val="restart"/>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2091"/>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Фиксированные платежи</w:t>
            </w:r>
          </w:p>
        </w:tc>
        <w:tc>
          <w:tcPr>
            <w:tcW w:type="dxa" w:w="6274"/>
            <w:gridSpan w:val="3"/>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Переменные платежи</w:t>
            </w:r>
          </w:p>
        </w:tc>
      </w:tr>
      <w:tr>
        <w:trPr>
          <w:cantSplit w:val="false"/>
        </w:trPr>
        <w:tc>
          <w:tcPr>
            <w:tcW w:type="dxa" w:w="2091"/>
            <w:vMerge w:val="continue"/>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ind w:hanging="0" w:left="-108" w:right="-141"/>
              <w:jc w:val="center"/>
              <w:rPr>
                <w:rFonts w:cs="Times New Roman"/>
                <w:b/>
                <w:sz w:val="18"/>
                <w:szCs w:val="18"/>
              </w:rPr>
            </w:pPr>
            <w:r>
              <w:rPr>
                <w:rFonts w:cs="Times New Roman"/>
                <w:b/>
                <w:sz w:val="18"/>
                <w:szCs w:val="18"/>
              </w:rPr>
              <w:t>Кол-во</w:t>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Цена</w:t>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Всего</w:t>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ind w:hanging="0" w:left="-108" w:right="-180"/>
              <w:jc w:val="center"/>
              <w:rPr>
                <w:rFonts w:cs="Times New Roman"/>
                <w:b/>
                <w:sz w:val="18"/>
                <w:szCs w:val="18"/>
              </w:rPr>
            </w:pPr>
            <w:r>
              <w:rPr>
                <w:rFonts w:cs="Times New Roman"/>
                <w:b/>
                <w:sz w:val="18"/>
                <w:szCs w:val="18"/>
              </w:rPr>
              <w:t>Цена</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Предоставление доступа к серверам г.Саратова (без ограничения объема переданной информации), за одну соединительную линию</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Обслуживание соединительной линии </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Плата за использование оборудования ОПЕРАТОРА</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Предоставление доступа к серверам сторонних операторов связи</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в соответствии с тарифом оператора связи</w:t>
            </w:r>
          </w:p>
        </w:tc>
      </w:tr>
      <w:tr>
        <w:trPr>
          <w:cantSplit w:val="false"/>
        </w:trPr>
        <w:tc>
          <w:tcPr>
            <w:tcW w:type="dxa" w:w="2091"/>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2091"/>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c>
          <w:tcPr>
            <w:tcW w:type="dxa" w:w="2092"/>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w:t>
            </w:r>
          </w:p>
        </w:tc>
      </w:tr>
    </w:tbl>
    <w:p>
      <w:pPr>
        <w:pStyle w:val="style0"/>
        <w:rPr>
          <w:rFonts w:cs="Times New Roman"/>
          <w:b/>
          <w:bCs/>
          <w:sz w:val="18"/>
          <w:szCs w:val="18"/>
        </w:rPr>
      </w:pPr>
      <w:r>
        <w:rPr>
          <w:rFonts w:cs="Times New Roman"/>
          <w:b/>
          <w:bCs/>
          <w:sz w:val="18"/>
          <w:szCs w:val="18"/>
        </w:rPr>
      </w:r>
    </w:p>
    <w:tbl>
      <w:tblPr>
        <w:jc w:val="center"/>
        <w:tblInd w:type="dxa" w:w="0"/>
        <w:tblBorders>
          <w:top w:color="000001" w:space="0" w:sz="2" w:val="double"/>
          <w:left w:color="000001" w:space="0" w:sz="2" w:val="double"/>
          <w:bottom w:color="000001" w:space="0" w:sz="4" w:val="single"/>
          <w:insideH w:color="000001" w:space="0" w:sz="4" w:val="single"/>
          <w:right w:val="nil"/>
          <w:insideV w:val="nil"/>
        </w:tblBorders>
        <w:tblCellMar>
          <w:top w:type="dxa" w:w="0"/>
          <w:left w:type="dxa" w:w="41"/>
          <w:bottom w:type="dxa" w:w="0"/>
          <w:right w:type="dxa" w:w="108"/>
        </w:tblCellMar>
      </w:tblPr>
      <w:tblGrid>
        <w:gridCol w:w="1166"/>
        <w:gridCol w:w="1621"/>
        <w:gridCol w:w="2543"/>
        <w:gridCol w:w="3113"/>
        <w:gridCol w:w="2026"/>
      </w:tblGrid>
      <w:tr>
        <w:trPr>
          <w:trHeight w:hRule="exact" w:val="252"/>
          <w:cantSplit w:val="true"/>
        </w:trPr>
        <w:tc>
          <w:tcPr>
            <w:tcW w:type="dxa" w:w="1166"/>
            <w:vMerge w:val="restart"/>
            <w:tcBorders>
              <w:top w:color="000001" w:space="0" w:sz="2" w:val="double"/>
              <w:left w:color="000001" w:space="0" w:sz="2" w:val="double"/>
              <w:bottom w:color="000001" w:space="0" w:sz="4" w:val="single"/>
              <w:right w:val="nil"/>
            </w:tcBorders>
            <w:shd w:fill="BFBFBF" w:val="clear"/>
            <w:tcMar>
              <w:left w:type="dxa" w:w="41"/>
            </w:tcMar>
            <w:vAlign w:val="center"/>
          </w:tcPr>
          <w:p>
            <w:pPr>
              <w:pStyle w:val="style0"/>
              <w:rPr>
                <w:rFonts w:cs="Times New Roman"/>
                <w:sz w:val="18"/>
                <w:szCs w:val="18"/>
              </w:rPr>
            </w:pPr>
            <w:r>
              <w:rPr>
                <w:rFonts w:cs="Times New Roman"/>
                <w:sz w:val="18"/>
                <w:szCs w:val="18"/>
              </w:rPr>
              <w:t>Заказ принял:</w:t>
            </w:r>
          </w:p>
        </w:tc>
        <w:tc>
          <w:tcPr>
            <w:tcW w:type="dxa" w:w="1621"/>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Подпись</w:t>
            </w:r>
          </w:p>
        </w:tc>
        <w:tc>
          <w:tcPr>
            <w:tcW w:type="dxa" w:w="254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Фамилия</w:t>
            </w:r>
          </w:p>
        </w:tc>
        <w:tc>
          <w:tcPr>
            <w:tcW w:type="dxa" w:w="311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Должность</w:t>
            </w:r>
          </w:p>
        </w:tc>
        <w:tc>
          <w:tcPr>
            <w:tcW w:type="dxa" w:w="2026"/>
            <w:tcBorders>
              <w:top w:color="000001" w:space="0" w:sz="2" w:val="double"/>
              <w:left w:color="000001" w:space="0" w:sz="4" w:val="single"/>
              <w:bottom w:color="000001" w:space="0" w:sz="4" w:val="single"/>
              <w:right w:color="000001" w:space="0" w:sz="2" w:val="double"/>
            </w:tcBorders>
            <w:shd w:fill="BFBFBF" w:val="clear"/>
            <w:tcMar>
              <w:left w:type="dxa" w:w="63"/>
            </w:tcMar>
            <w:vAlign w:val="center"/>
          </w:tcPr>
          <w:p>
            <w:pPr>
              <w:pStyle w:val="style0"/>
              <w:jc w:val="center"/>
              <w:rPr>
                <w:rFonts w:cs="Times New Roman"/>
                <w:sz w:val="18"/>
                <w:szCs w:val="18"/>
              </w:rPr>
            </w:pPr>
            <w:r>
              <w:rPr>
                <w:rFonts w:cs="Times New Roman"/>
                <w:sz w:val="18"/>
                <w:szCs w:val="18"/>
              </w:rPr>
              <w:t>Дата</w:t>
            </w:r>
          </w:p>
        </w:tc>
      </w:tr>
      <w:tr>
        <w:trPr>
          <w:cantSplit w:val="true"/>
        </w:trPr>
        <w:tc>
          <w:tcPr>
            <w:tcW w:type="dxa" w:w="1166"/>
            <w:vMerge w:val="continue"/>
            <w:tcBorders>
              <w:top w:color="000001" w:space="0" w:sz="2" w:val="double"/>
              <w:left w:color="000001" w:space="0" w:sz="2" w:val="double"/>
              <w:bottom w:color="000001" w:space="0" w:sz="4" w:val="single"/>
              <w:right w:val="nil"/>
            </w:tcBorders>
            <w:shd w:fill="E5E5E5" w:val="clear"/>
            <w:tcMar>
              <w:left w:type="dxa" w:w="41"/>
            </w:tcMar>
            <w:vAlign w:val="center"/>
          </w:tcPr>
          <w:p>
            <w:pPr>
              <w:pStyle w:val="style0"/>
              <w:rPr>
                <w:rFonts w:cs="Times New Roman"/>
                <w:sz w:val="18"/>
                <w:szCs w:val="18"/>
              </w:rPr>
            </w:pPr>
            <w:r>
              <w:rPr>
                <w:rFonts w:cs="Times New Roman"/>
                <w:sz w:val="18"/>
                <w:szCs w:val="18"/>
              </w:rPr>
            </w:r>
          </w:p>
        </w:tc>
        <w:tc>
          <w:tcPr>
            <w:tcW w:type="dxa" w:w="1621"/>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jc w:val="center"/>
              <w:rPr>
                <w:rFonts w:cs="Times New Roman"/>
                <w:sz w:val="18"/>
                <w:szCs w:val="18"/>
              </w:rPr>
            </w:pPr>
            <w:r>
              <w:rPr>
                <w:rFonts w:cs="Times New Roman"/>
                <w:sz w:val="18"/>
                <w:szCs w:val="18"/>
              </w:rPr>
            </w:r>
          </w:p>
        </w:tc>
        <w:tc>
          <w:tcPr>
            <w:tcW w:type="dxa" w:w="254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t>Захаров В.А.</w:t>
            </w:r>
          </w:p>
        </w:tc>
        <w:tc>
          <w:tcPr>
            <w:tcW w:type="dxa" w:w="311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b/>
                <w:bCs/>
                <w:i/>
                <w:iCs/>
                <w:sz w:val="18"/>
                <w:szCs w:val="18"/>
              </w:rPr>
            </w:pPr>
            <w:r>
              <w:rPr>
                <w:rFonts w:cs="Times New Roman"/>
                <w:b/>
                <w:bCs/>
                <w:i/>
                <w:iCs/>
                <w:sz w:val="18"/>
                <w:szCs w:val="18"/>
              </w:rPr>
            </w:r>
          </w:p>
        </w:tc>
        <w:tc>
          <w:tcPr>
            <w:tcW w:type="dxa" w:w="2026"/>
            <w:tcBorders>
              <w:top w:color="000001" w:space="0" w:sz="4" w:val="single"/>
              <w:left w:color="000001" w:space="0" w:sz="4" w:val="single"/>
              <w:bottom w:color="000001" w:space="0" w:sz="4" w:val="single"/>
              <w:right w:color="000001" w:space="0" w:sz="2" w:val="double"/>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r>
    </w:tbl>
    <w:p>
      <w:pPr>
        <w:pStyle w:val="style0"/>
        <w:spacing w:line="240" w:lineRule="atLeast"/>
        <w:rPr>
          <w:rFonts w:cs="Times New Roman"/>
          <w:sz w:val="18"/>
          <w:szCs w:val="18"/>
        </w:rPr>
      </w:pPr>
      <w:r>
        <w:rPr>
          <w:rFonts w:cs="Times New Roman"/>
          <w:sz w:val="18"/>
          <w:szCs w:val="18"/>
        </w:rPr>
      </w:r>
    </w:p>
    <w:p>
      <w:pPr>
        <w:pStyle w:val="style0"/>
        <w:tabs>
          <w:tab w:leader="none" w:pos="284" w:val="left"/>
        </w:tabs>
        <w:ind w:hanging="0" w:left="0" w:right="1"/>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72" w:val="left"/>
              </w:tabs>
              <w:ind w:hanging="0" w:left="-108" w:right="0"/>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ind w:hanging="0" w:left="-108" w:right="0"/>
              <w:rPr>
                <w:rFonts w:cs="Times New Roman"/>
                <w:sz w:val="18"/>
                <w:szCs w:val="18"/>
              </w:rPr>
            </w:pPr>
            <w:r>
              <w:rPr>
                <w:rFonts w:cs="Times New Roman"/>
                <w:sz w:val="18"/>
                <w:szCs w:val="18"/>
              </w:rPr>
              <w:t>______________________________ / С.В. Гомберг /</w:t>
            </w:r>
          </w:p>
          <w:p>
            <w:pPr>
              <w:pStyle w:val="style0"/>
              <w:ind w:hanging="0" w:left="-108" w:right="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tabs>
          <w:tab w:leader="none" w:pos="5220" w:val="left"/>
        </w:tabs>
        <w:rPr>
          <w:rFonts w:ascii="Arial" w:cs="Arial" w:hAnsi="Arial"/>
          <w:sz w:val="16"/>
          <w:szCs w:val="16"/>
        </w:rPr>
      </w:pPr>
      <w:r>
        <w:rPr>
          <w:rFonts w:ascii="Arial" w:cs="Arial" w:hAnsi="Arial"/>
          <w:sz w:val="16"/>
          <w:szCs w:val="16"/>
        </w:rPr>
        <w:t xml:space="preserve"> </w:t>
      </w:r>
    </w:p>
    <w:p>
      <w:pPr>
        <w:pStyle w:val="style0"/>
        <w:tabs>
          <w:tab w:leader="none" w:pos="5220" w:val="left"/>
        </w:tabs>
        <w:rPr>
          <w:lang w:val="en-US"/>
        </w:rPr>
      </w:pPr>
      <w:r>
        <w:rPr>
          <w:lang w:val="en-US"/>
        </w:rPr>
      </w:r>
    </w:p>
    <w:p>
      <w:pPr>
        <w:pStyle w:val="style180"/>
        <w:pageBreakBefore/>
        <w:ind w:hanging="0" w:left="0" w:right="282"/>
        <w:jc w:val="center"/>
        <w:rPr>
          <w:rFonts w:cs="Times New Roman"/>
          <w:b/>
          <w:sz w:val="18"/>
          <w:szCs w:val="18"/>
          <w:shd w:fill="FFFFFF" w:val="clear"/>
        </w:rPr>
      </w:pPr>
      <w:r>
        <w:rPr>
          <w:rFonts w:cs="Times New Roman"/>
          <w:b/>
          <w:sz w:val="18"/>
          <w:szCs w:val="18"/>
          <w:shd w:fill="FFFFFF" w:val="clear"/>
        </w:rPr>
        <w:t>ЗАКАЗ № /14/ИТ от «»  2014 г.</w:t>
      </w:r>
    </w:p>
    <w:p>
      <w:pPr>
        <w:pStyle w:val="style180"/>
        <w:ind w:hanging="0" w:left="0" w:right="282"/>
        <w:jc w:val="center"/>
        <w:rPr>
          <w:rFonts w:cs="Times New Roman"/>
          <w:b/>
          <w:sz w:val="18"/>
          <w:szCs w:val="18"/>
          <w:shd w:fill="FFFFFF" w:val="clear"/>
        </w:rPr>
      </w:pPr>
      <w:r>
        <w:rPr>
          <w:rFonts w:cs="Times New Roman"/>
          <w:b/>
          <w:sz w:val="18"/>
          <w:szCs w:val="18"/>
          <w:shd w:fill="FFFFFF" w:val="clear"/>
        </w:rPr>
        <w:t>к ДОГОВОРУ № /14 от «»  2014г.</w:t>
      </w:r>
    </w:p>
    <w:p>
      <w:pPr>
        <w:pStyle w:val="style180"/>
        <w:ind w:hanging="0" w:left="0" w:right="282"/>
        <w:jc w:val="center"/>
        <w:rPr>
          <w:rFonts w:cs="Times New Roman"/>
          <w:b/>
          <w:sz w:val="18"/>
          <w:szCs w:val="18"/>
          <w:shd w:fill="FFFFFF" w:val="clear"/>
        </w:rPr>
      </w:pPr>
      <w:r>
        <w:rPr>
          <w:rFonts w:cs="Times New Roman"/>
          <w:b/>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по передаче данных (услуга «Доступ в Интернет»)</w:t>
      </w:r>
    </w:p>
    <w:p>
      <w:pPr>
        <w:pStyle w:val="style0"/>
        <w:jc w:val="both"/>
        <w:rPr>
          <w:rFonts w:cs="Times New Roman"/>
          <w:b/>
          <w:sz w:val="18"/>
          <w:szCs w:val="18"/>
          <w:shd w:fill="FFFFFF" w:val="clear"/>
        </w:rPr>
      </w:pPr>
      <w:r>
        <w:rPr>
          <w:rFonts w:cs="Times New Roman"/>
          <w:b/>
          <w:sz w:val="18"/>
          <w:szCs w:val="18"/>
          <w:shd w:fill="FFFFFF" w:val="clear"/>
        </w:rPr>
        <w:t xml:space="preserve"> </w:t>
      </w:r>
    </w:p>
    <w:p>
      <w:pPr>
        <w:pStyle w:val="style0"/>
        <w:numPr>
          <w:ilvl w:val="0"/>
          <w:numId w:val="8"/>
        </w:numPr>
        <w:spacing w:after="57" w:before="0"/>
        <w:contextualSpacing w:val="false"/>
        <w:jc w:val="both"/>
        <w:rPr>
          <w:rFonts w:cs="Times New Roman"/>
          <w:sz w:val="18"/>
          <w:szCs w:val="18"/>
          <w:shd w:fill="FFFFFF" w:val="clear"/>
        </w:rPr>
      </w:pPr>
      <w:r>
        <w:rPr>
          <w:rFonts w:cs="Times New Roman"/>
          <w:sz w:val="18"/>
          <w:szCs w:val="18"/>
          <w:shd w:fill="FFFFFF" w:val="clear"/>
        </w:rPr>
        <w:t>ОПЕРАТОР СВЯЗИ оказывает АБОНЕНТУ услуги по передаче данных, а АБОНЕНТ обязуется их оплачивать в соответствии с условиями настоящего Договора.</w:t>
      </w:r>
    </w:p>
    <w:p>
      <w:pPr>
        <w:pStyle w:val="style0"/>
        <w:numPr>
          <w:ilvl w:val="0"/>
          <w:numId w:val="8"/>
        </w:numPr>
        <w:spacing w:after="57" w:before="0"/>
        <w:contextualSpacing w:val="false"/>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если они предусмотрены Приложениями к данному Заказу. Организация функционирования Услуги заключается в присвоении АБОНЕНТУ Персонального идентификационного номера (ПИН-код) для доступа к Услуге, установке (при необходимости) дополнительного оборудования ОПЕРАТОРА СВЯЗИ, первоначальной настройке оборудования ОПЕРАТОРА СВЯЗИ, обеспечение доступа АБОНЕНТУ к сети передачи данных и телематических служб ОПЕРАТОРА СВЯЗИ. Оплата АБОНЕНТОМ услуг по организации доступа, если такой платеж предусмотрен Приложениями к данному Заказу, происходит авансовым платежом в течение 5 рабочих дней с даты выставления счета. </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Срок организации функционирования Услуги: не позднее 10 рабочих дней с момента поступления единовременного платежа за предоставление доступа к сети передачи данных и телематических служб ОПЕРАТОРА СВЯЗИ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 если Сторонами не оговорено другое. В случае организации линии доступа полностью или частично силами АБОНЕНТА и/или установки каналообразующего оборудования АБОНЕНТА, настройка оборудования и его обслуживание производится АБОНЕНТОМ самостоятельно, если Сторонами не оговорено другое.</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АБОНЕНТУ предоставляется оговоренное в Приложении к данному Заказу количество точек подключения к сети ОПЕРАТОРА СВЯЗИ. Работы, связанные с построением внутренних локальных сетей АБОНЕНТА, в состав данного Договора не входят и оговариваются отдельно. </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Для пользования Услугой АБОНЕНТ приобретает самостоятельно необходимое оборудование (модем, сетевую карту и т.п.), если иное не описано Приложением к данному Заказу. Настройку персонального компьютера или локальной сети АБОНЕНТ производит своими силами, используя данные о подключении полученные у ОПЕРАТОРА СВЯЗИ, либо с привлечением специалистов ОПЕРАТОРА СВЯЗИ с оплатой проведенных работ согласно действующим на данный момент тарифам.</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Стороны обязуются соблюдать конфиденциальность информации о персональных кодах доступа (ПИН–кодах) АБОНЕНТА к Услуге. ПИН-код передается АБОНЕНТУ в запечатанном конверте. При передаче ПИН-кода 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В случае, если у АБОНЕНТА произошла утечка информации о ПИН–коде, АБОНЕНТ имеет право заблокировать данный ПИН–код, сообщив об этом ОПЕРАТОРУ СВЯЗИ по телефону с последующим подтверждением официальным письмом/заявлением. ОПЕРАТОР СВЯЗИ обязуется сменить ПИН–код по требованию АБОНЕНТА.</w:t>
      </w:r>
      <w:r>
        <w:rPr>
          <w:sz w:val="18"/>
        </w:rPr>
        <w:t xml:space="preserve"> </w:t>
      </w:r>
      <w:r>
        <w:rPr>
          <w:rFonts w:cs="Times New Roman"/>
          <w:sz w:val="18"/>
          <w:szCs w:val="18"/>
          <w:shd w:fill="FFFFFF" w:val="clear"/>
        </w:rPr>
        <w:t xml:space="preserve">АБОНЕНТ несет ответственность за сохранность втайне своего ПИН-кода и за потребленные с использованием ПИН-кода Услуги. </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Цена и порядок расчетов: </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 </w:t>
      </w:r>
    </w:p>
    <w:p>
      <w:pPr>
        <w:pStyle w:val="style0"/>
        <w:numPr>
          <w:ilvl w:val="1"/>
          <w:numId w:val="8"/>
        </w:numPr>
        <w:tabs>
          <w:tab w:leader="none" w:pos="681" w:val="left"/>
        </w:tabs>
        <w:spacing w:after="57" w:before="0"/>
        <w:ind w:hanging="360" w:left="709" w:right="0"/>
        <w:contextualSpacing w:val="false"/>
        <w:jc w:val="both"/>
        <w:rPr>
          <w:sz w:val="18"/>
          <w:szCs w:val="20"/>
        </w:rPr>
      </w:pPr>
      <w:r>
        <w:rPr>
          <w:rFonts w:cs="Times New Roman"/>
          <w:sz w:val="18"/>
          <w:szCs w:val="18"/>
          <w:shd w:fill="FFFFFF" w:val="clear"/>
        </w:rPr>
        <w:t xml:space="preserve">При прекращении действия настоящего Заказа </w:t>
      </w:r>
      <w:r>
        <w:rPr>
          <w:sz w:val="18"/>
          <w:szCs w:val="20"/>
        </w:rPr>
        <w:t xml:space="preserve">для урегулирования финансовых претензий Сторон между </w:t>
      </w:r>
      <w:r>
        <w:rPr>
          <w:iCs/>
          <w:sz w:val="18"/>
          <w:szCs w:val="20"/>
        </w:rPr>
        <w:t xml:space="preserve">ОПЕРАТОРОМ СВЯЗИ </w:t>
      </w:r>
      <w:r>
        <w:rPr>
          <w:sz w:val="18"/>
          <w:szCs w:val="20"/>
        </w:rPr>
        <w:t xml:space="preserve">и АБОНЕНТОМ составляется Акт взаиморасчетов. В случае положительного остатка на лицевом счете </w:t>
      </w:r>
      <w:r>
        <w:rPr>
          <w:iCs/>
          <w:sz w:val="18"/>
          <w:szCs w:val="20"/>
        </w:rPr>
        <w:t>АБОНЕНТА</w:t>
      </w:r>
      <w:r>
        <w:rPr>
          <w:sz w:val="18"/>
          <w:szCs w:val="20"/>
        </w:rPr>
        <w:t xml:space="preserve"> согласно Акту взаиморасчетов, остаток возвращается </w:t>
      </w:r>
      <w:r>
        <w:rPr>
          <w:iCs/>
          <w:sz w:val="18"/>
          <w:szCs w:val="20"/>
        </w:rPr>
        <w:t>ОПЕРАТОРОМ СВЯЗИ АБОНЕНТУ</w:t>
      </w:r>
      <w:r>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Pr>
          <w:iCs/>
          <w:sz w:val="18"/>
          <w:szCs w:val="20"/>
        </w:rPr>
        <w:t>АБОНЕНТА</w:t>
      </w:r>
      <w:r>
        <w:rPr>
          <w:sz w:val="18"/>
          <w:szCs w:val="20"/>
        </w:rPr>
        <w:t xml:space="preserve"> согласно Акту взаиморасчетов, </w:t>
      </w:r>
      <w:r>
        <w:rPr>
          <w:iCs/>
          <w:sz w:val="18"/>
          <w:szCs w:val="20"/>
        </w:rPr>
        <w:t>АБОНЕНТ</w:t>
      </w:r>
      <w:r>
        <w:rPr>
          <w:sz w:val="18"/>
          <w:szCs w:val="20"/>
        </w:rPr>
        <w:t xml:space="preserve"> выплачивает сумму задолженности </w:t>
      </w:r>
      <w:r>
        <w:rPr>
          <w:iCs/>
          <w:sz w:val="18"/>
          <w:szCs w:val="20"/>
        </w:rPr>
        <w:t>ОПЕРАТОРУ СВЯЗИ</w:t>
      </w:r>
      <w:r>
        <w:rPr>
          <w:sz w:val="18"/>
          <w:szCs w:val="20"/>
        </w:rPr>
        <w:t xml:space="preserve"> в течение 5 (Пяти) банковских дней с момента подписания Акта взаиморасчетов.</w:t>
      </w:r>
    </w:p>
    <w:p>
      <w:pPr>
        <w:pStyle w:val="style0"/>
        <w:numPr>
          <w:ilvl w:val="1"/>
          <w:numId w:val="8"/>
        </w:numPr>
        <w:tabs>
          <w:tab w:leader="none" w:pos="681" w:val="left"/>
        </w:tabs>
        <w:spacing w:after="57" w:before="0"/>
        <w:ind w:hanging="360" w:left="709" w:right="0"/>
        <w:contextualSpacing w:val="false"/>
        <w:jc w:val="both"/>
        <w:rPr>
          <w:sz w:val="18"/>
          <w:szCs w:val="20"/>
          <w:shd w:fill="00FFFF" w:val="clear"/>
        </w:rPr>
      </w:pPr>
      <w:r>
        <w:rPr>
          <w:rFonts w:cs="Times New Roman"/>
          <w:sz w:val="18"/>
          <w:szCs w:val="18"/>
          <w:shd w:fill="FFFFFF" w:val="clear"/>
        </w:rPr>
        <w:t xml:space="preserve">Настоящим Заказом предусмотрена </w:t>
      </w:r>
      <w:r>
        <w:rPr>
          <w:rFonts w:cs="Times New Roman"/>
          <w:b/>
          <w:sz w:val="18"/>
          <w:szCs w:val="18"/>
          <w:shd w:fill="FFFFFF" w:val="clear"/>
        </w:rPr>
        <w:t>авансовая форма расчетов</w:t>
      </w:r>
      <w:r>
        <w:rPr>
          <w:rFonts w:cs="Times New Roman"/>
          <w:sz w:val="18"/>
          <w:szCs w:val="18"/>
          <w:shd w:fill="FFFFFF" w:val="clear"/>
        </w:rPr>
        <w:t xml:space="preserve"> за Услуги. 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Pr>
          <w:sz w:val="18"/>
          <w:szCs w:val="20"/>
          <w:shd w:fill="00FFFF" w:val="clear"/>
        </w:rPr>
        <w:t xml:space="preserve">При отсутствии денежных средств (нулевого или отрицательного остатка) на счете </w:t>
      </w:r>
      <w:r>
        <w:rPr>
          <w:iCs/>
          <w:sz w:val="18"/>
          <w:szCs w:val="20"/>
          <w:shd w:fill="00FFFF" w:val="clear"/>
        </w:rPr>
        <w:t xml:space="preserve">АБОНЕНТА ОПЕРАТОР СВЯЗИ </w:t>
      </w:r>
      <w:r>
        <w:rPr>
          <w:sz w:val="18"/>
          <w:szCs w:val="20"/>
          <w:shd w:fill="00FFFF" w:val="clear"/>
        </w:rPr>
        <w:t xml:space="preserve">имеет право прекратить предоставление Услуг </w:t>
      </w:r>
      <w:r>
        <w:rPr>
          <w:iCs/>
          <w:sz w:val="18"/>
          <w:szCs w:val="20"/>
          <w:shd w:fill="00FFFF" w:val="clear"/>
        </w:rPr>
        <w:t>АБОНЕНТУ.</w:t>
      </w:r>
      <w:r>
        <w:rPr>
          <w:sz w:val="18"/>
          <w:szCs w:val="20"/>
          <w:shd w:fill="00FFFF" w:val="clear"/>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Pr>
          <w:rFonts w:cs="Times New Roman"/>
          <w:sz w:val="18"/>
          <w:szCs w:val="18"/>
          <w:shd w:fill="FFFFFF" w:val="clear"/>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Pr>
          <w:sz w:val="18"/>
          <w:szCs w:val="20"/>
          <w:shd w:fill="00FFFF" w:val="clear"/>
        </w:rPr>
        <w:t xml:space="preserve">. </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Стоимость услуг, предоставляемых АБОНЕНТУ, и тарифный план указаны в Приложениях к данному Заказу. 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СВЯЗИ обязуется вести учет объема оказанных Услуг и учитывать данную информацию на лицевом счете АБОНЕНТА (далее - Биллинговые данные). Для тарифных планов с учетом трафика Абонента, при начислении оплаты производится округление объема полученных или переданных  данных за отчетный период до полного Мбайта (1 Кбайт = 1024 байт,  1 Мбайт  = 1024 Кбайт, 1 Гбайт = 1024 Мбайт). Биллинговые данные считаются принятыми АБОНЕНТОМ, если в течение 10 (Десяти) дней после выставления счета он не направляет ОПЕРАТОРУ СВЯЗИ Протокол разногласий. Взаимосогласованные изменения Биллинговых данных, если таковые имеются в отчетном месяце, учитываются при оплате последующих счетов. В случае признания обоснованности претензий АБОНЕНТА ОПЕРАТОРОМ СВЯЗИ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Объем оказанных Услуг  за отчетный месяц отражается ОПЕРАТОРОМ СВЯЗИ в счетах-фактурах и актах выполненных работ, выставляемых АБОНЕНТУ не позднее 15 числа каждого месяца, следующего за отчетным, с использованием обычной почты или курьерской доставки по адресу, указанному в Приложении к Заказу, если Сторонами  не оговорен иной способ доставки документов. </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style0"/>
        <w:numPr>
          <w:ilvl w:val="0"/>
          <w:numId w:val="8"/>
        </w:numPr>
        <w:tabs>
          <w:tab w:leader="none" w:pos="472"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При необходимости установки дополнительного оборудования АБОНЕНТ обязуется обеспечить его бесперебойное энергоснабжение, исключающее импульсные помехи или скачки напряжения (с заземлением).</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pPr>
        <w:pStyle w:val="style0"/>
        <w:numPr>
          <w:ilvl w:val="0"/>
          <w:numId w:val="8"/>
        </w:numPr>
        <w:spacing w:after="57" w:before="0"/>
        <w:contextualSpacing w:val="false"/>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style0"/>
        <w:numPr>
          <w:ilvl w:val="0"/>
          <w:numId w:val="8"/>
        </w:numPr>
        <w:spacing w:after="57" w:before="0"/>
        <w:contextualSpacing w:val="false"/>
        <w:jc w:val="both"/>
        <w:rPr>
          <w:rFonts w:cs="Times New Roman"/>
          <w:sz w:val="18"/>
          <w:szCs w:val="18"/>
          <w:shd w:fill="FFFFFF" w:val="clear"/>
        </w:rPr>
      </w:pPr>
      <w:r>
        <w:rPr>
          <w:rFonts w:cs="Times New Roman"/>
          <w:sz w:val="18"/>
          <w:szCs w:val="18"/>
          <w:shd w:fill="FFFFFF" w:val="clear"/>
        </w:rPr>
        <w:t>АБОНЕНТ обязан самостоятельно ограничивать доступ до локальной сети АБОНЕНТА или его ПК, используя стандартные средства защиты от несанкционированного доступа. ОПЕРАТОР СВЯЗИ не несет ответственности за содержание информации, передаваемой и получаемой АБОНЕНТОМ.</w:t>
      </w:r>
    </w:p>
    <w:p>
      <w:pPr>
        <w:pStyle w:val="style0"/>
        <w:numPr>
          <w:ilvl w:val="0"/>
          <w:numId w:val="8"/>
        </w:numPr>
        <w:spacing w:after="57" w:before="0"/>
        <w:contextualSpacing w:val="false"/>
        <w:jc w:val="both"/>
        <w:rPr>
          <w:rFonts w:cs="Times New Roman"/>
          <w:sz w:val="18"/>
          <w:szCs w:val="18"/>
        </w:rPr>
      </w:pPr>
      <w:r>
        <w:rPr>
          <w:rFonts w:cs="Times New Roman"/>
          <w:sz w:val="18"/>
          <w:szCs w:val="18"/>
        </w:rPr>
        <w:t>АБОНЕНТ обязуется при использовании Услуги:</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ограничивать доступ других АБОНЕНТОВ к сети передачи данных;</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производить массовую рассылку рекламных, информационных и других материалов другим пользователям сети, кроме случаев, когда адресаты согласны получить эти материалы;</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производить самовольное (несанкционированное) проникновение в любые технологические компоненты (узлы), программы, базы данных и иные составляющие элементы сети передачи данных;</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передавать или делать доступной по сети любую информацию, распространение которой, так или иначе, противоречит российскому или международному праву;</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передавать любую информацию или программное обеспечение, которое содержит в себе вирусы или другие вредоносные компоненты;</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посылать, не передавать, не воспроизводить или не распространять любым способом полученные посредством Услуги программное обеспечение, или другие материалы, полностью или частично защищенные авторскими или другими правами, без разрешения владельца.</w:t>
      </w:r>
    </w:p>
    <w:p>
      <w:pPr>
        <w:pStyle w:val="style0"/>
        <w:numPr>
          <w:ilvl w:val="0"/>
          <w:numId w:val="8"/>
        </w:numPr>
        <w:spacing w:after="57" w:before="0"/>
        <w:contextualSpacing w:val="false"/>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style0"/>
        <w:numPr>
          <w:ilvl w:val="0"/>
          <w:numId w:val="8"/>
        </w:numPr>
        <w:spacing w:after="57" w:before="0"/>
        <w:contextualSpacing w:val="false"/>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style0"/>
        <w:ind w:hanging="0" w:left="397" w:right="0"/>
        <w:jc w:val="both"/>
        <w:rPr>
          <w:rFonts w:cs="Times New Roman"/>
          <w:sz w:val="18"/>
          <w:szCs w:val="18"/>
        </w:rPr>
      </w:pPr>
      <w:r>
        <w:rPr>
          <w:rFonts w:cs="Times New Roman"/>
          <w:sz w:val="18"/>
          <w:szCs w:val="18"/>
        </w:rPr>
      </w:r>
    </w:p>
    <w:p>
      <w:pPr>
        <w:pStyle w:val="style0"/>
        <w:ind w:hanging="0" w:left="397" w:right="0"/>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______________________________ / С.В.Гомберг /</w:t>
            </w:r>
          </w:p>
          <w:p>
            <w:pPr>
              <w:pStyle w:val="style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rPr>
          <w:rFonts w:cs="Times New Roman"/>
          <w:sz w:val="18"/>
          <w:szCs w:val="18"/>
        </w:rPr>
      </w:pPr>
      <w:r>
        <w:rPr>
          <w:rFonts w:cs="Times New Roman"/>
          <w:sz w:val="18"/>
          <w:szCs w:val="18"/>
        </w:rPr>
      </w:r>
    </w:p>
    <w:p>
      <w:pPr>
        <w:pStyle w:val="style0"/>
        <w:pageBreakBefore/>
        <w:jc w:val="center"/>
        <w:rPr>
          <w:rFonts w:cs="Times New Roman"/>
          <w:b/>
          <w:bCs/>
          <w:color w:val="000000"/>
          <w:sz w:val="18"/>
          <w:szCs w:val="18"/>
        </w:rPr>
      </w:pPr>
      <w:r>
        <w:rPr>
          <w:rFonts w:cs="Times New Roman"/>
          <w:b/>
          <w:bCs/>
          <w:color w:val="000000"/>
          <w:sz w:val="18"/>
          <w:szCs w:val="18"/>
        </w:rPr>
        <w:t>ПРИЛОЖЕНИЕ №1 к ЗАКАЗУ № /14/ИТ</w:t>
      </w:r>
    </w:p>
    <w:p>
      <w:pPr>
        <w:pStyle w:val="style0"/>
        <w:numPr>
          <w:ilvl w:val="0"/>
          <w:numId w:val="9"/>
        </w:numPr>
        <w:rPr>
          <w:rFonts w:cs="Times New Roman"/>
          <w:b/>
          <w:bCs/>
          <w:caps/>
          <w:color w:val="000000"/>
          <w:sz w:val="18"/>
          <w:szCs w:val="18"/>
        </w:rPr>
      </w:pPr>
      <w:r>
        <w:rPr>
          <w:rFonts w:cs="Times New Roman"/>
          <w:b/>
          <w:bCs/>
          <w:caps/>
          <w:color w:val="000000"/>
          <w:sz w:val="18"/>
          <w:szCs w:val="18"/>
        </w:rPr>
        <w:t>Приложение:</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8"/>
        <w:gridCol w:w="2318"/>
        <w:gridCol w:w="3342"/>
        <w:gridCol w:w="2559"/>
      </w:tblGrid>
      <w:tr>
        <w:trPr>
          <w:cantSplit w:val="false"/>
        </w:trPr>
        <w:tc>
          <w:tcPr>
            <w:tcW w:type="dxa" w:w="2228"/>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Дата составления:</w:t>
            </w:r>
          </w:p>
        </w:tc>
        <w:tc>
          <w:tcPr>
            <w:tcW w:type="dxa" w:w="2318"/>
            <w:tcBorders>
              <w:top w:color="00000A" w:space="0" w:sz="4" w:val="doub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Отменяет действие приложения</w:t>
            </w:r>
          </w:p>
        </w:tc>
        <w:tc>
          <w:tcPr>
            <w:tcW w:type="dxa" w:w="2559"/>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type="dxa" w:w="2228"/>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 xml:space="preserve">Вступает в действие с </w:t>
            </w:r>
          </w:p>
        </w:tc>
        <w:tc>
          <w:tcPr>
            <w:tcW w:type="dxa" w:w="2318"/>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Действует до</w:t>
            </w:r>
          </w:p>
        </w:tc>
        <w:tc>
          <w:tcPr>
            <w:tcW w:type="dxa" w:w="2559"/>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0"/>
        <w:numPr>
          <w:ilvl w:val="0"/>
          <w:numId w:val="9"/>
        </w:numPr>
        <w:rPr>
          <w:rFonts w:cs="Times New Roman"/>
          <w:b/>
          <w:bCs/>
          <w:caps/>
          <w:color w:val="000000"/>
          <w:sz w:val="18"/>
          <w:szCs w:val="18"/>
        </w:rPr>
      </w:pPr>
      <w:r>
        <w:rPr>
          <w:rFonts w:cs="Times New Roman"/>
          <w:b/>
          <w:bCs/>
          <w:caps/>
          <w:color w:val="000000"/>
          <w:sz w:val="18"/>
          <w:szCs w:val="18"/>
        </w:rPr>
        <w:t>Данные об АБОНЕНТе*:</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089"/>
        <w:gridCol w:w="8357"/>
      </w:tblGrid>
      <w:tr>
        <w:trPr>
          <w:cantSplit w:val="false"/>
        </w:trPr>
        <w:tc>
          <w:tcPr>
            <w:tcW w:type="dxa" w:w="2089"/>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 xml:space="preserve">Официальное наименование АБОНЕНТА </w:t>
            </w:r>
          </w:p>
        </w:tc>
        <w:tc>
          <w:tcPr>
            <w:tcW w:type="dxa" w:w="8357"/>
            <w:gridSpan w:val="4"/>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Ф.И.О. контактного лица, должность</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 xml:space="preserve">Контактный телефон, </w:t>
            </w:r>
          </w:p>
          <w:p>
            <w:pPr>
              <w:pStyle w:val="style0"/>
              <w:rPr>
                <w:rFonts w:cs="Times New Roman"/>
                <w:sz w:val="18"/>
                <w:szCs w:val="18"/>
              </w:rPr>
            </w:pPr>
            <w:r>
              <w:rPr>
                <w:rFonts w:cs="Times New Roman"/>
                <w:sz w:val="18"/>
                <w:szCs w:val="18"/>
              </w:rPr>
              <w:t>e-mail</w:t>
            </w:r>
          </w:p>
        </w:tc>
        <w:tc>
          <w:tcPr>
            <w:tcW w:type="dxa" w:w="4179"/>
            <w:gridSpan w:val="2"/>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60"/>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для почтовых отправлений*</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Индекс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Cs/>
                <w:sz w:val="18"/>
                <w:szCs w:val="18"/>
              </w:rPr>
            </w:pPr>
            <w:r>
              <w:rPr>
                <w:rFonts w:cs="Times New Roman"/>
                <w:bCs/>
                <w:sz w:val="18"/>
                <w:szCs w:val="18"/>
              </w:rPr>
              <w:t>Адрес фактического местонахождения</w:t>
            </w:r>
          </w:p>
        </w:tc>
        <w:tc>
          <w:tcPr>
            <w:tcW w:type="dxa" w:w="2090"/>
            <w:vMerge w:val="restart"/>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Город</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Улица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Дом</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Корпус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Офис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Аб/ящик</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Квартира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Способ доставки счета:*</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отдел (получение лично)</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Телефон*</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Почтовый адрес</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lang w:val="en-US"/>
              </w:rPr>
            </w:pPr>
            <w:r>
              <w:rPr>
                <w:rFonts w:cs="Times New Roman"/>
                <w:sz w:val="18"/>
                <w:szCs w:val="18"/>
                <w:lang w:val="en-US"/>
              </w:rPr>
              <w:t>V</w:t>
            </w:r>
          </w:p>
        </w:tc>
      </w:tr>
      <w:tr>
        <w:trPr>
          <w:cantSplit w:val="false"/>
        </w:trPr>
        <w:tc>
          <w:tcPr>
            <w:tcW w:type="dxa" w:w="2089"/>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sz w:val="18"/>
                <w:szCs w:val="18"/>
              </w:rPr>
            </w:pPr>
            <w:r>
              <w:rPr>
                <w:rFonts w:cs="Times New Roman"/>
                <w:sz w:val="18"/>
                <w:szCs w:val="18"/>
              </w:rPr>
              <w:t>Факс*</w:t>
            </w:r>
          </w:p>
        </w:tc>
        <w:tc>
          <w:tcPr>
            <w:tcW w:type="dxa" w:w="2089"/>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ящик в ОПС</w:t>
            </w:r>
          </w:p>
        </w:tc>
        <w:tc>
          <w:tcPr>
            <w:tcW w:type="dxa" w:w="209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198"/>
        <w:spacing w:after="0" w:before="0" w:line="100" w:lineRule="atLeast"/>
        <w:ind w:hanging="0" w:left="0" w:right="0"/>
        <w:contextualSpacing w:val="false"/>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style0"/>
        <w:numPr>
          <w:ilvl w:val="0"/>
          <w:numId w:val="9"/>
        </w:numPr>
        <w:rPr>
          <w:rFonts w:cs="Times New Roman"/>
          <w:b/>
          <w:bCs/>
          <w:sz w:val="18"/>
          <w:szCs w:val="18"/>
        </w:rPr>
      </w:pPr>
      <w:r>
        <w:rPr>
          <w:rFonts w:cs="Times New Roman"/>
          <w:b/>
          <w:bCs/>
          <w:sz w:val="18"/>
          <w:szCs w:val="18"/>
        </w:rPr>
        <w:t>ДАННЫЕ ОБ УСЛУГЕ:</w:t>
      </w:r>
    </w:p>
    <w:tbl>
      <w:tblPr>
        <w:jc w:val="left"/>
        <w:tblInd w:type="dxa" w:w="-119"/>
        <w:tblBorders>
          <w:top w:color="00000A" w:space="0" w:sz="4" w:val="double"/>
          <w:left w:color="00000A" w:space="0" w:sz="4" w:val="double"/>
          <w:bottom w:color="000001" w:space="0" w:sz="12" w:val="single"/>
          <w:insideH w:color="000001" w:space="0" w:sz="12" w:val="single"/>
          <w:right w:color="000001" w:space="0" w:sz="4" w:val="single"/>
          <w:insideV w:color="000001" w:space="0" w:sz="4" w:val="single"/>
        </w:tblBorders>
        <w:tblCellMar>
          <w:top w:type="dxa" w:w="0"/>
          <w:left w:type="dxa" w:w="-13"/>
          <w:bottom w:type="dxa" w:w="0"/>
          <w:right w:type="dxa" w:w="108"/>
        </w:tblCellMar>
      </w:tblPr>
      <w:tblGrid>
        <w:gridCol w:w="1734"/>
        <w:gridCol w:w="1734"/>
        <w:gridCol w:w="1735"/>
        <w:gridCol w:w="5203"/>
      </w:tblGrid>
      <w:tr>
        <w:trPr>
          <w:cantSplit w:val="false"/>
        </w:trPr>
        <w:tc>
          <w:tcPr>
            <w:tcW w:type="dxa" w:w="1734"/>
            <w:tcBorders>
              <w:top w:color="00000A" w:space="0" w:sz="4" w:val="double"/>
              <w:left w:color="00000A" w:space="0" w:sz="4" w:val="double"/>
              <w:bottom w:color="000001" w:space="0" w:sz="12"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Название тарифного плана</w:t>
            </w:r>
          </w:p>
        </w:tc>
        <w:tc>
          <w:tcPr>
            <w:tcW w:type="dxa" w:w="1734"/>
            <w:tcBorders>
              <w:top w:color="00000A" w:space="0" w:sz="4" w:val="double"/>
              <w:left w:color="000001" w:space="0" w:sz="4" w:val="single"/>
              <w:bottom w:color="000001" w:space="0" w:sz="12"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r>
          </w:p>
        </w:tc>
        <w:tc>
          <w:tcPr>
            <w:tcW w:type="dxa" w:w="1735"/>
            <w:tcBorders>
              <w:top w:color="00000A" w:space="0" w:sz="4" w:val="double"/>
              <w:left w:color="000001" w:space="0" w:sz="4" w:val="single"/>
              <w:bottom w:color="000001" w:space="0" w:sz="12" w:val="single"/>
              <w:right w:color="000001" w:space="0" w:sz="4" w:val="single"/>
            </w:tcBorders>
            <w:shd w:fill="BFBFBF" w:val="clear"/>
            <w:tcMar>
              <w:left w:type="dxa" w:w="77"/>
            </w:tcMar>
          </w:tcPr>
          <w:p>
            <w:pPr>
              <w:pStyle w:val="style0"/>
              <w:ind w:hanging="0" w:left="-108" w:right="-152"/>
              <w:jc w:val="center"/>
              <w:rPr>
                <w:rFonts w:cs="Times New Roman"/>
                <w:b/>
                <w:bCs/>
                <w:sz w:val="18"/>
                <w:szCs w:val="18"/>
              </w:rPr>
            </w:pPr>
            <w:r>
              <w:rPr>
                <w:rFonts w:cs="Times New Roman"/>
                <w:b/>
                <w:bCs/>
                <w:sz w:val="18"/>
                <w:szCs w:val="18"/>
              </w:rPr>
              <w:t>Тип включения (</w:t>
            </w:r>
            <w:r>
              <w:rPr>
                <w:rFonts w:cs="Times New Roman"/>
                <w:b/>
                <w:bCs/>
                <w:i/>
                <w:sz w:val="18"/>
                <w:szCs w:val="18"/>
              </w:rPr>
              <w:t>ADSL/Ethernet</w:t>
            </w:r>
            <w:r>
              <w:rPr>
                <w:rFonts w:cs="Times New Roman"/>
                <w:b/>
                <w:bCs/>
                <w:sz w:val="18"/>
                <w:szCs w:val="18"/>
              </w:rPr>
              <w:t>)</w:t>
            </w:r>
          </w:p>
        </w:tc>
        <w:tc>
          <w:tcPr>
            <w:tcW w:type="dxa" w:w="5203"/>
            <w:gridSpan w:val="3"/>
            <w:tcBorders>
              <w:top w:color="00000A" w:space="0" w:sz="4" w:val="double"/>
              <w:left w:color="000001" w:space="0" w:sz="4" w:val="single"/>
              <w:bottom w:color="000001" w:space="0" w:sz="12" w:val="single"/>
              <w:right w:color="00000A" w:space="0" w:sz="4" w:val="double"/>
            </w:tcBorders>
            <w:shd w:fill="FFFFFF" w:val="clear"/>
            <w:tcMar>
              <w:left w:type="dxa" w:w="77"/>
            </w:tcMar>
          </w:tcPr>
          <w:p>
            <w:pPr>
              <w:pStyle w:val="style0"/>
              <w:jc w:val="center"/>
              <w:rPr>
                <w:rFonts w:cs="Times New Roman"/>
                <w:b/>
                <w:bCs/>
                <w:sz w:val="18"/>
                <w:szCs w:val="18"/>
                <w:lang w:val="en-US"/>
              </w:rPr>
            </w:pPr>
            <w:r>
              <w:rPr>
                <w:rFonts w:cs="Times New Roman"/>
                <w:b/>
                <w:bCs/>
                <w:sz w:val="18"/>
                <w:szCs w:val="18"/>
                <w:lang w:val="en-US"/>
              </w:rPr>
            </w:r>
          </w:p>
        </w:tc>
      </w:tr>
      <w:tr>
        <w:trPr>
          <w:cantSplit w:val="false"/>
        </w:trPr>
        <w:tc>
          <w:tcPr>
            <w:tcW w:type="dxa" w:w="1734"/>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Организация линии доступа (</w:t>
            </w:r>
            <w:r>
              <w:rPr>
                <w:rFonts w:cs="Times New Roman"/>
                <w:b/>
                <w:bCs/>
                <w:i/>
                <w:sz w:val="18"/>
                <w:szCs w:val="18"/>
              </w:rPr>
              <w:t>Номер абон.линии/канал связи</w:t>
            </w:r>
            <w:r>
              <w:rPr>
                <w:rFonts w:cs="Times New Roman"/>
                <w:b/>
                <w:bCs/>
                <w:sz w:val="18"/>
                <w:szCs w:val="18"/>
              </w:rPr>
              <w:t xml:space="preserve">) </w:t>
            </w:r>
          </w:p>
        </w:tc>
        <w:tc>
          <w:tcPr>
            <w:tcW w:type="dxa" w:w="1734"/>
            <w:tcBorders>
              <w:top w:color="000001" w:space="0" w:sz="12" w:val="single"/>
              <w:left w:color="000001" w:space="0" w:sz="4" w:val="single"/>
              <w:bottom w:color="000001" w:space="0" w:sz="4" w:val="single"/>
              <w:right w:val="nil"/>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r>
          </w:p>
        </w:tc>
        <w:tc>
          <w:tcPr>
            <w:tcW w:type="dxa" w:w="1735"/>
            <w:tcBorders>
              <w:top w:color="000001" w:space="0" w:sz="12" w:val="single"/>
              <w:left w:val="nil"/>
              <w:bottom w:color="000001" w:space="0" w:sz="4" w:val="single"/>
              <w:right w:color="000001" w:space="0" w:sz="4" w:val="single"/>
            </w:tcBorders>
            <w:shd w:fill="FFFFFF" w:val="clear"/>
            <w:tcMar>
              <w:left w:type="dxa" w:w="122"/>
            </w:tcMar>
            <w:vAlign w:val="center"/>
          </w:tcPr>
          <w:p>
            <w:pPr>
              <w:pStyle w:val="style0"/>
              <w:rPr>
                <w:rFonts w:cs="Times New Roman"/>
                <w:b/>
                <w:bCs/>
                <w:sz w:val="18"/>
                <w:szCs w:val="18"/>
              </w:rPr>
            </w:pPr>
            <w:r>
              <w:rPr>
                <w:rFonts w:cs="Times New Roman"/>
                <w:b/>
                <w:bCs/>
                <w:sz w:val="18"/>
                <w:szCs w:val="18"/>
              </w:rPr>
            </w:r>
          </w:p>
        </w:tc>
        <w:tc>
          <w:tcPr>
            <w:tcW w:type="dxa" w:w="1734"/>
            <w:tcBorders>
              <w:top w:color="000001" w:space="0" w:sz="12"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bCs/>
                <w:sz w:val="18"/>
                <w:szCs w:val="18"/>
              </w:rPr>
            </w:pPr>
            <w:r>
              <w:rPr>
                <w:rFonts w:cs="Times New Roman"/>
                <w:b/>
                <w:bCs/>
                <w:sz w:val="18"/>
                <w:szCs w:val="18"/>
              </w:rPr>
              <w:t>Пропускная способность порта на оборудовании ОПЕРАТОРА СВЯЗИ до</w:t>
            </w:r>
          </w:p>
        </w:tc>
        <w:tc>
          <w:tcPr>
            <w:tcW w:type="dxa" w:w="1735"/>
            <w:tcBorders>
              <w:top w:color="000001" w:space="0" w:sz="12" w:val="single"/>
              <w:left w:color="000001" w:space="0" w:sz="4" w:val="single"/>
              <w:bottom w:color="000001" w:space="0" w:sz="4" w:val="single"/>
              <w:right w:val="nil"/>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c>
          <w:tcPr>
            <w:tcW w:type="dxa" w:w="1734"/>
            <w:tcBorders>
              <w:top w:color="000001" w:space="0" w:sz="12" w:val="single"/>
              <w:left w:val="nil"/>
              <w:bottom w:color="000001" w:space="0" w:sz="4" w:val="single"/>
              <w:right w:color="00000A" w:space="0" w:sz="4" w:val="double"/>
            </w:tcBorders>
            <w:shd w:fill="FFFFFF" w:val="clear"/>
            <w:tcMar>
              <w:left w:type="dxa" w:w="122"/>
            </w:tcMar>
            <w:vAlign w:val="center"/>
          </w:tcPr>
          <w:p>
            <w:pPr>
              <w:pStyle w:val="style0"/>
              <w:rPr>
                <w:rFonts w:cs="Times New Roman"/>
                <w:b/>
                <w:bCs/>
                <w:sz w:val="18"/>
                <w:szCs w:val="18"/>
              </w:rPr>
            </w:pPr>
            <w:r>
              <w:rPr>
                <w:rFonts w:cs="Times New Roman"/>
                <w:b/>
                <w:bCs/>
                <w:sz w:val="18"/>
                <w:szCs w:val="18"/>
              </w:rPr>
              <w:t>Мбит/с</w:t>
            </w:r>
          </w:p>
        </w:tc>
      </w:tr>
      <w:tr>
        <w:trPr>
          <w:cantSplit w:val="false"/>
        </w:trPr>
        <w:tc>
          <w:tcPr>
            <w:tcW w:type="dxa" w:w="1734"/>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Зона ответственности ОПЕРАТОРА СВЯЗИ за линию доступа/канал связи (</w:t>
            </w:r>
            <w:r>
              <w:rPr>
                <w:rFonts w:cs="Times New Roman"/>
                <w:b/>
                <w:bCs/>
                <w:i/>
                <w:sz w:val="18"/>
                <w:szCs w:val="18"/>
              </w:rPr>
              <w:t>от и до</w:t>
            </w:r>
            <w:r>
              <w:rPr>
                <w:rFonts w:cs="Times New Roman"/>
                <w:b/>
                <w:bCs/>
                <w:sz w:val="18"/>
                <w:szCs w:val="18"/>
              </w:rPr>
              <w:t>)</w:t>
            </w:r>
          </w:p>
        </w:tc>
        <w:tc>
          <w:tcPr>
            <w:tcW w:type="dxa" w:w="1734"/>
            <w:tcBorders>
              <w:top w:color="000001" w:space="0" w:sz="12" w:val="single"/>
              <w:left w:color="000001" w:space="0" w:sz="4" w:val="single"/>
              <w:bottom w:color="000001" w:space="0" w:sz="4" w:val="single"/>
              <w:right w:color="000001" w:space="0" w:sz="4" w:val="single"/>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c>
          <w:tcPr>
            <w:tcW w:type="dxa" w:w="1735"/>
            <w:tcBorders>
              <w:top w:color="000001" w:space="0" w:sz="12"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bCs/>
                <w:sz w:val="18"/>
                <w:szCs w:val="18"/>
              </w:rPr>
            </w:pPr>
            <w:r>
              <w:rPr>
                <w:rFonts w:cs="Times New Roman"/>
                <w:b/>
                <w:bCs/>
                <w:sz w:val="18"/>
                <w:szCs w:val="18"/>
              </w:rPr>
              <w:t>Базовый объем трафика, включенный в абонентскую плату за порт доступа (и</w:t>
            </w:r>
            <w:r>
              <w:rPr>
                <w:rFonts w:cs="Times New Roman"/>
                <w:b/>
                <w:bCs/>
                <w:i/>
                <w:sz w:val="18"/>
                <w:szCs w:val="18"/>
              </w:rPr>
              <w:t>ли без ограничения</w:t>
            </w:r>
            <w:r>
              <w:rPr>
                <w:rFonts w:cs="Times New Roman"/>
                <w:b/>
                <w:bCs/>
                <w:sz w:val="18"/>
                <w:szCs w:val="18"/>
              </w:rPr>
              <w:t>)</w:t>
            </w:r>
          </w:p>
        </w:tc>
        <w:tc>
          <w:tcPr>
            <w:tcW w:type="dxa" w:w="1734"/>
            <w:tcBorders>
              <w:top w:color="000001" w:space="0" w:sz="12" w:val="single"/>
              <w:left w:color="000001" w:space="0" w:sz="4" w:val="single"/>
              <w:bottom w:color="000001" w:space="0" w:sz="4" w:val="single"/>
              <w:right w:val="nil"/>
            </w:tcBorders>
            <w:shd w:fill="FFFFFF" w:val="clear"/>
            <w:tcMar>
              <w:left w:type="dxa" w:w="77"/>
            </w:tcMar>
            <w:vAlign w:val="center"/>
          </w:tcPr>
          <w:p>
            <w:pPr>
              <w:pStyle w:val="style0"/>
              <w:rPr>
                <w:rFonts w:cs="Times New Roman"/>
                <w:b/>
                <w:bCs/>
                <w:i/>
                <w:sz w:val="18"/>
                <w:szCs w:val="18"/>
              </w:rPr>
            </w:pPr>
            <w:r>
              <w:rPr>
                <w:rFonts w:cs="Times New Roman"/>
                <w:b/>
                <w:bCs/>
                <w:i/>
                <w:sz w:val="18"/>
                <w:szCs w:val="18"/>
              </w:rPr>
              <w:t>без ограничения</w:t>
            </w:r>
          </w:p>
        </w:tc>
        <w:tc>
          <w:tcPr>
            <w:tcW w:type="dxa" w:w="3469"/>
            <w:gridSpan w:val="2"/>
            <w:tcBorders>
              <w:top w:color="000001" w:space="0" w:sz="12" w:val="single"/>
              <w:left w:val="nil"/>
              <w:bottom w:color="000001" w:space="0" w:sz="4" w:val="single"/>
              <w:right w:color="00000A" w:space="0" w:sz="4" w:val="double"/>
            </w:tcBorders>
            <w:shd w:fill="FFFFFF" w:val="clear"/>
            <w:tcMar>
              <w:left w:type="dxa" w:w="122"/>
            </w:tcMar>
            <w:vAlign w:val="center"/>
          </w:tcPr>
          <w:p>
            <w:pPr>
              <w:pStyle w:val="style0"/>
              <w:rPr>
                <w:rFonts w:cs="Times New Roman"/>
                <w:b/>
                <w:bCs/>
                <w:sz w:val="18"/>
                <w:szCs w:val="18"/>
              </w:rPr>
            </w:pPr>
            <w:r>
              <w:rPr>
                <w:rFonts w:cs="Times New Roman"/>
                <w:b/>
                <w:bCs/>
                <w:sz w:val="18"/>
                <w:szCs w:val="18"/>
              </w:rPr>
            </w:r>
          </w:p>
        </w:tc>
      </w:tr>
      <w:tr>
        <w:trPr>
          <w:cantSplit w:val="false"/>
        </w:trPr>
        <w:tc>
          <w:tcPr>
            <w:tcW w:type="dxa" w:w="1734"/>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Абонентское оборудование (</w:t>
            </w:r>
            <w:r>
              <w:rPr>
                <w:rFonts w:cs="Times New Roman"/>
                <w:b/>
                <w:bCs/>
                <w:i/>
                <w:sz w:val="18"/>
                <w:szCs w:val="18"/>
              </w:rPr>
              <w:t>ADSL-модем/ПК с сетевой картой/маршрутизатор</w:t>
            </w:r>
            <w:r>
              <w:rPr>
                <w:rFonts w:cs="Times New Roman"/>
                <w:b/>
                <w:bCs/>
                <w:sz w:val="18"/>
                <w:szCs w:val="18"/>
              </w:rPr>
              <w:t>)</w:t>
            </w:r>
          </w:p>
        </w:tc>
        <w:tc>
          <w:tcPr>
            <w:tcW w:type="dxa" w:w="1734"/>
            <w:tcBorders>
              <w:top w:color="000001" w:space="0" w:sz="12"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r>
          </w:p>
        </w:tc>
        <w:tc>
          <w:tcPr>
            <w:tcW w:type="dxa" w:w="1735"/>
            <w:tcBorders>
              <w:top w:color="000001" w:space="0" w:sz="12" w:val="sing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r>
          </w:p>
        </w:tc>
        <w:tc>
          <w:tcPr>
            <w:tcW w:type="dxa" w:w="5203"/>
            <w:gridSpan w:val="3"/>
            <w:tcBorders>
              <w:top w:color="000001" w:space="0" w:sz="12"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r>
          </w:p>
        </w:tc>
      </w:tr>
      <w:tr>
        <w:trPr>
          <w:cantSplit w:val="false"/>
        </w:trPr>
        <w:tc>
          <w:tcPr>
            <w:tcW w:type="dxa" w:w="1734"/>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Срок организации услуги, дней</w:t>
            </w:r>
          </w:p>
        </w:tc>
        <w:tc>
          <w:tcPr>
            <w:tcW w:type="dxa" w:w="1734"/>
            <w:tcBorders>
              <w:top w:color="000001" w:space="0" w:sz="12"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t>10</w:t>
            </w:r>
          </w:p>
        </w:tc>
        <w:tc>
          <w:tcPr>
            <w:tcW w:type="dxa" w:w="1735"/>
            <w:tcBorders>
              <w:top w:color="000001" w:space="0" w:sz="12" w:val="sing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Планируемая дата начала пользования Услугой:</w:t>
            </w:r>
          </w:p>
        </w:tc>
        <w:tc>
          <w:tcPr>
            <w:tcW w:type="dxa" w:w="5203"/>
            <w:gridSpan w:val="3"/>
            <w:tcBorders>
              <w:top w:color="000001" w:space="0" w:sz="12"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r>
          </w:p>
        </w:tc>
      </w:tr>
      <w:tr>
        <w:trPr>
          <w:cantSplit w:val="false"/>
        </w:trPr>
        <w:tc>
          <w:tcPr>
            <w:tcW w:type="dxa" w:w="1734"/>
            <w:tcBorders>
              <w:top w:color="000001" w:space="0" w:sz="12" w:val="single"/>
              <w:left w:color="00000A" w:space="0" w:sz="4" w:val="double"/>
              <w:bottom w:color="00000A" w:space="0" w:sz="4" w:val="doub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Особые условия:</w:t>
            </w:r>
          </w:p>
        </w:tc>
        <w:tc>
          <w:tcPr>
            <w:tcW w:type="dxa" w:w="8672"/>
            <w:gridSpan w:val="5"/>
            <w:tcBorders>
              <w:top w:color="000001" w:space="0" w:sz="12"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bCs/>
                <w:sz w:val="18"/>
                <w:szCs w:val="18"/>
              </w:rPr>
            </w:pPr>
            <w:r>
              <w:rPr>
                <w:rFonts w:cs="Times New Roman"/>
                <w:b/>
                <w:bCs/>
                <w:sz w:val="18"/>
                <w:szCs w:val="18"/>
              </w:rPr>
            </w:r>
          </w:p>
        </w:tc>
      </w:tr>
    </w:tbl>
    <w:p>
      <w:pPr>
        <w:pStyle w:val="style0"/>
        <w:numPr>
          <w:ilvl w:val="0"/>
          <w:numId w:val="9"/>
        </w:numPr>
        <w:rPr>
          <w:rFonts w:cs="Times New Roman"/>
          <w:b/>
          <w:bCs/>
          <w:sz w:val="18"/>
          <w:szCs w:val="18"/>
        </w:rPr>
      </w:pPr>
      <w:r>
        <w:rPr>
          <w:rFonts w:cs="Times New Roman"/>
          <w:b/>
          <w:bCs/>
          <w:sz w:val="18"/>
          <w:szCs w:val="18"/>
        </w:rPr>
        <w:t>ПЛАТЕЖИ ЗА УСЛУГУ (ЕДИНОВРЕМЕННО), в рублях, без учета НДС</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6290"/>
        <w:gridCol w:w="1365"/>
        <w:gridCol w:w="1367"/>
        <w:gridCol w:w="1380"/>
      </w:tblGrid>
      <w:tr>
        <w:trPr>
          <w:cantSplit w:val="false"/>
        </w:trPr>
        <w:tc>
          <w:tcPr>
            <w:tcW w:type="dxa" w:w="6290"/>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1365"/>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Количество</w:t>
            </w:r>
          </w:p>
        </w:tc>
        <w:tc>
          <w:tcPr>
            <w:tcW w:type="dxa" w:w="1367"/>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Цена</w:t>
            </w:r>
          </w:p>
        </w:tc>
        <w:tc>
          <w:tcPr>
            <w:tcW w:type="dxa" w:w="1380"/>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Всего</w:t>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Инсталляция порта доступа к сети передачи данных</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Организация линии доступа/канала связи</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 xml:space="preserve">Первоначальная настройка оборудования АБОНЕНТА, указанного в п.3 Приложения </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1365"/>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67"/>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8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r>
    </w:tbl>
    <w:p>
      <w:pPr>
        <w:pStyle w:val="style0"/>
        <w:numPr>
          <w:ilvl w:val="0"/>
          <w:numId w:val="9"/>
        </w:numPr>
        <w:rPr>
          <w:rFonts w:cs="Times New Roman"/>
          <w:b/>
          <w:bCs/>
          <w:sz w:val="18"/>
          <w:szCs w:val="18"/>
        </w:rPr>
      </w:pPr>
      <w:r>
        <w:rPr>
          <w:rFonts w:cs="Times New Roman"/>
          <w:b/>
          <w:bCs/>
          <w:sz w:val="18"/>
          <w:szCs w:val="18"/>
        </w:rPr>
        <w:t>ПЛАТЕЖИ ЗА УСЛУГУ (ЕЖЕМЕСЯЧНО) на дату подписания Приложения, в рублях, без учета НДС</w:t>
      </w:r>
    </w:p>
    <w:tbl>
      <w:tblPr>
        <w:jc w:val="left"/>
        <w:tblInd w:type="dxa" w:w="-119"/>
        <w:tblBorders>
          <w:top w:color="00000A" w:space="0" w:sz="4" w:val="double"/>
          <w:left w:color="00000A" w:space="0" w:sz="4" w:val="double"/>
          <w:bottom w:color="000001" w:space="0" w:sz="4" w:val="single"/>
          <w:insideH w:color="000001" w:space="0" w:sz="4" w:val="single"/>
          <w:right w:color="00000A" w:space="0" w:sz="4" w:val="double"/>
          <w:insideV w:color="00000A" w:space="0" w:sz="4" w:val="double"/>
        </w:tblBorders>
        <w:tblCellMar>
          <w:top w:type="dxa" w:w="0"/>
          <w:left w:type="dxa" w:w="-13"/>
          <w:bottom w:type="dxa" w:w="0"/>
          <w:right w:type="dxa" w:w="108"/>
        </w:tblCellMar>
      </w:tblPr>
      <w:tblGrid>
        <w:gridCol w:w="2091"/>
        <w:gridCol w:w="2091"/>
        <w:gridCol w:w="6274"/>
      </w:tblGrid>
      <w:tr>
        <w:trPr>
          <w:cantSplit w:val="false"/>
        </w:trPr>
        <w:tc>
          <w:tcPr>
            <w:tcW w:type="dxa" w:w="2091"/>
            <w:vMerge w:val="restart"/>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2091"/>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Фиксированные платежи</w:t>
            </w:r>
          </w:p>
        </w:tc>
        <w:tc>
          <w:tcPr>
            <w:tcW w:type="dxa" w:w="6274"/>
            <w:gridSpan w:val="3"/>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Переменные платежи</w:t>
            </w:r>
          </w:p>
        </w:tc>
      </w:tr>
      <w:tr>
        <w:trPr>
          <w:cantSplit w:val="false"/>
        </w:trPr>
        <w:tc>
          <w:tcPr>
            <w:tcW w:type="dxa" w:w="2091"/>
            <w:vMerge w:val="continue"/>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ind w:hanging="0" w:left="-108" w:right="-141"/>
              <w:jc w:val="center"/>
              <w:rPr>
                <w:rFonts w:cs="Times New Roman"/>
                <w:b/>
                <w:sz w:val="18"/>
                <w:szCs w:val="18"/>
              </w:rPr>
            </w:pPr>
            <w:r>
              <w:rPr>
                <w:rFonts w:cs="Times New Roman"/>
                <w:b/>
                <w:sz w:val="18"/>
                <w:szCs w:val="18"/>
              </w:rPr>
              <w:t>Кол-во</w:t>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Цена</w:t>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Всего</w:t>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ind w:hanging="0" w:left="-108" w:right="-180"/>
              <w:jc w:val="center"/>
              <w:rPr>
                <w:rFonts w:cs="Times New Roman"/>
                <w:b/>
                <w:sz w:val="18"/>
                <w:szCs w:val="18"/>
              </w:rPr>
            </w:pPr>
            <w:r>
              <w:rPr>
                <w:rFonts w:cs="Times New Roman"/>
                <w:b/>
                <w:sz w:val="18"/>
                <w:szCs w:val="18"/>
              </w:rPr>
              <w:t>Цена</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 xml:space="preserve">Предоставление порта доступа к сети передачи данных, абонентская плата за один порт </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Предоставление линии доступа </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Плата за использование оборудования ОПЕРАТОРА</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Плата за превышение объема трафика, включенного в абонентскую плату за порт доступа, за 1 Мбайт </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2091"/>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c>
          <w:tcPr>
            <w:tcW w:type="dxa" w:w="2092"/>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w:t>
            </w:r>
          </w:p>
        </w:tc>
      </w:tr>
    </w:tbl>
    <w:p>
      <w:pPr>
        <w:pStyle w:val="style0"/>
        <w:rPr>
          <w:rFonts w:cs="Times New Roman"/>
          <w:b/>
          <w:bCs/>
          <w:sz w:val="18"/>
          <w:szCs w:val="18"/>
        </w:rPr>
      </w:pPr>
      <w:r>
        <w:rPr>
          <w:rFonts w:cs="Times New Roman"/>
          <w:b/>
          <w:bCs/>
          <w:sz w:val="18"/>
          <w:szCs w:val="18"/>
        </w:rPr>
      </w:r>
    </w:p>
    <w:tbl>
      <w:tblPr>
        <w:jc w:val="center"/>
        <w:tblInd w:type="dxa" w:w="0"/>
        <w:tblBorders>
          <w:top w:color="000001" w:space="0" w:sz="2" w:val="double"/>
          <w:left w:color="000001" w:space="0" w:sz="2" w:val="double"/>
          <w:bottom w:color="000001" w:space="0" w:sz="4" w:val="single"/>
          <w:insideH w:color="000001" w:space="0" w:sz="4" w:val="single"/>
          <w:right w:val="nil"/>
          <w:insideV w:val="nil"/>
        </w:tblBorders>
        <w:tblCellMar>
          <w:top w:type="dxa" w:w="0"/>
          <w:left w:type="dxa" w:w="41"/>
          <w:bottom w:type="dxa" w:w="0"/>
          <w:right w:type="dxa" w:w="108"/>
        </w:tblCellMar>
      </w:tblPr>
      <w:tblGrid>
        <w:gridCol w:w="1166"/>
        <w:gridCol w:w="1621"/>
        <w:gridCol w:w="2543"/>
        <w:gridCol w:w="3113"/>
        <w:gridCol w:w="2026"/>
      </w:tblGrid>
      <w:tr>
        <w:trPr>
          <w:trHeight w:hRule="exact" w:val="252"/>
          <w:cantSplit w:val="true"/>
        </w:trPr>
        <w:tc>
          <w:tcPr>
            <w:tcW w:type="dxa" w:w="1166"/>
            <w:vMerge w:val="restart"/>
            <w:tcBorders>
              <w:top w:color="000001" w:space="0" w:sz="2" w:val="double"/>
              <w:left w:color="000001" w:space="0" w:sz="2" w:val="double"/>
              <w:bottom w:color="000001" w:space="0" w:sz="4" w:val="single"/>
              <w:right w:val="nil"/>
            </w:tcBorders>
            <w:shd w:fill="BFBFBF" w:val="clear"/>
            <w:tcMar>
              <w:left w:type="dxa" w:w="41"/>
            </w:tcMar>
            <w:vAlign w:val="center"/>
          </w:tcPr>
          <w:p>
            <w:pPr>
              <w:pStyle w:val="style0"/>
              <w:rPr>
                <w:rFonts w:cs="Times New Roman"/>
                <w:sz w:val="18"/>
                <w:szCs w:val="18"/>
              </w:rPr>
            </w:pPr>
            <w:r>
              <w:rPr>
                <w:rFonts w:cs="Times New Roman"/>
                <w:sz w:val="18"/>
                <w:szCs w:val="18"/>
              </w:rPr>
              <w:t>Заказ принял:</w:t>
            </w:r>
          </w:p>
        </w:tc>
        <w:tc>
          <w:tcPr>
            <w:tcW w:type="dxa" w:w="1621"/>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Подпись</w:t>
            </w:r>
          </w:p>
        </w:tc>
        <w:tc>
          <w:tcPr>
            <w:tcW w:type="dxa" w:w="254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Фамилия</w:t>
            </w:r>
          </w:p>
        </w:tc>
        <w:tc>
          <w:tcPr>
            <w:tcW w:type="dxa" w:w="311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Должность</w:t>
            </w:r>
          </w:p>
        </w:tc>
        <w:tc>
          <w:tcPr>
            <w:tcW w:type="dxa" w:w="2026"/>
            <w:tcBorders>
              <w:top w:color="000001" w:space="0" w:sz="2" w:val="double"/>
              <w:left w:color="000001" w:space="0" w:sz="4" w:val="single"/>
              <w:bottom w:color="000001" w:space="0" w:sz="4" w:val="single"/>
              <w:right w:color="000001" w:space="0" w:sz="2" w:val="double"/>
            </w:tcBorders>
            <w:shd w:fill="BFBFBF" w:val="clear"/>
            <w:tcMar>
              <w:left w:type="dxa" w:w="63"/>
            </w:tcMar>
            <w:vAlign w:val="center"/>
          </w:tcPr>
          <w:p>
            <w:pPr>
              <w:pStyle w:val="style0"/>
              <w:jc w:val="center"/>
              <w:rPr>
                <w:rFonts w:cs="Times New Roman"/>
                <w:sz w:val="18"/>
                <w:szCs w:val="18"/>
              </w:rPr>
            </w:pPr>
            <w:r>
              <w:rPr>
                <w:rFonts w:cs="Times New Roman"/>
                <w:sz w:val="18"/>
                <w:szCs w:val="18"/>
              </w:rPr>
              <w:t>Дата</w:t>
            </w:r>
          </w:p>
        </w:tc>
      </w:tr>
      <w:tr>
        <w:trPr>
          <w:cantSplit w:val="true"/>
        </w:trPr>
        <w:tc>
          <w:tcPr>
            <w:tcW w:type="dxa" w:w="1166"/>
            <w:vMerge w:val="continue"/>
            <w:tcBorders>
              <w:top w:color="000001" w:space="0" w:sz="2" w:val="double"/>
              <w:left w:color="000001" w:space="0" w:sz="2" w:val="double"/>
              <w:bottom w:color="000001" w:space="0" w:sz="4" w:val="single"/>
              <w:right w:val="nil"/>
            </w:tcBorders>
            <w:shd w:fill="E5E5E5" w:val="clear"/>
            <w:tcMar>
              <w:left w:type="dxa" w:w="41"/>
            </w:tcMar>
            <w:vAlign w:val="center"/>
          </w:tcPr>
          <w:p>
            <w:pPr>
              <w:pStyle w:val="style0"/>
              <w:rPr>
                <w:rFonts w:cs="Times New Roman"/>
                <w:sz w:val="18"/>
                <w:szCs w:val="18"/>
              </w:rPr>
            </w:pPr>
            <w:r>
              <w:rPr>
                <w:rFonts w:cs="Times New Roman"/>
                <w:sz w:val="18"/>
                <w:szCs w:val="18"/>
              </w:rPr>
            </w:r>
          </w:p>
        </w:tc>
        <w:tc>
          <w:tcPr>
            <w:tcW w:type="dxa" w:w="1621"/>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jc w:val="center"/>
              <w:rPr>
                <w:rFonts w:cs="Times New Roman"/>
                <w:sz w:val="18"/>
                <w:szCs w:val="18"/>
              </w:rPr>
            </w:pPr>
            <w:r>
              <w:rPr>
                <w:rFonts w:cs="Times New Roman"/>
                <w:sz w:val="18"/>
                <w:szCs w:val="18"/>
              </w:rPr>
            </w:r>
          </w:p>
        </w:tc>
        <w:tc>
          <w:tcPr>
            <w:tcW w:type="dxa" w:w="254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t>Захаров В.А.</w:t>
            </w:r>
          </w:p>
        </w:tc>
        <w:tc>
          <w:tcPr>
            <w:tcW w:type="dxa" w:w="311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b/>
                <w:bCs/>
                <w:i/>
                <w:iCs/>
                <w:sz w:val="18"/>
                <w:szCs w:val="18"/>
              </w:rPr>
            </w:pPr>
            <w:r>
              <w:rPr>
                <w:rFonts w:cs="Times New Roman"/>
                <w:b/>
                <w:bCs/>
                <w:i/>
                <w:iCs/>
                <w:sz w:val="18"/>
                <w:szCs w:val="18"/>
              </w:rPr>
            </w:r>
          </w:p>
        </w:tc>
        <w:tc>
          <w:tcPr>
            <w:tcW w:type="dxa" w:w="2026"/>
            <w:tcBorders>
              <w:top w:color="000001" w:space="0" w:sz="4" w:val="single"/>
              <w:left w:color="000001" w:space="0" w:sz="4" w:val="single"/>
              <w:bottom w:color="000001" w:space="0" w:sz="4" w:val="single"/>
              <w:right w:color="000001" w:space="0" w:sz="2" w:val="double"/>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r>
    </w:tbl>
    <w:p>
      <w:pPr>
        <w:pStyle w:val="style0"/>
        <w:tabs>
          <w:tab w:leader="none" w:pos="284" w:val="left"/>
        </w:tabs>
        <w:ind w:hanging="0" w:left="0" w:right="1"/>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72" w:val="left"/>
              </w:tabs>
              <w:ind w:hanging="0" w:left="-108" w:right="0"/>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ind w:hanging="0" w:left="-108" w:right="0"/>
              <w:rPr>
                <w:rFonts w:cs="Times New Roman"/>
                <w:sz w:val="18"/>
                <w:szCs w:val="18"/>
              </w:rPr>
            </w:pPr>
            <w:r>
              <w:rPr>
                <w:rFonts w:cs="Times New Roman"/>
                <w:sz w:val="18"/>
                <w:szCs w:val="18"/>
              </w:rPr>
              <w:t>______________________________ / С.В. Гомберг /</w:t>
            </w:r>
          </w:p>
          <w:p>
            <w:pPr>
              <w:pStyle w:val="style0"/>
              <w:ind w:hanging="0" w:left="-108" w:right="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tabs>
          <w:tab w:leader="none" w:pos="5220" w:val="left"/>
        </w:tabs>
        <w:rPr>
          <w:rFonts w:ascii="Arial" w:cs="Arial" w:hAnsi="Arial"/>
          <w:sz w:val="16"/>
          <w:szCs w:val="16"/>
        </w:rPr>
      </w:pPr>
      <w:r>
        <w:rPr>
          <w:rFonts w:ascii="Arial" w:cs="Arial" w:hAnsi="Arial"/>
          <w:sz w:val="16"/>
          <w:szCs w:val="16"/>
        </w:rPr>
        <w:t xml:space="preserve"> </w:t>
      </w:r>
    </w:p>
    <w:p>
      <w:pPr>
        <w:pStyle w:val="style0"/>
        <w:suppressAutoHyphens w:val="false"/>
        <w:rPr>
          <w:lang w:val="en-US"/>
        </w:rPr>
      </w:pPr>
      <w:r>
        <w:rPr>
          <w:lang w:val="en-US"/>
        </w:rPr>
      </w:r>
    </w:p>
    <w:p>
      <w:pPr>
        <w:pStyle w:val="style180"/>
        <w:pageBreakBefore/>
        <w:ind w:hanging="0" w:left="0" w:right="282"/>
        <w:jc w:val="center"/>
        <w:rPr>
          <w:rFonts w:cs="Times New Roman"/>
          <w:b/>
          <w:sz w:val="18"/>
          <w:szCs w:val="18"/>
          <w:shd w:fill="FFFFFF" w:val="clear"/>
        </w:rPr>
      </w:pPr>
      <w:r>
        <w:rPr>
          <w:rFonts w:cs="Times New Roman"/>
          <w:b/>
          <w:sz w:val="18"/>
          <w:szCs w:val="18"/>
          <w:shd w:fill="FFFFFF" w:val="clear"/>
        </w:rPr>
        <w:t>ЗАКАЗ № /14/ДН от «»  2014 г.</w:t>
      </w:r>
    </w:p>
    <w:p>
      <w:pPr>
        <w:pStyle w:val="style180"/>
        <w:ind w:hanging="0" w:left="0" w:right="282"/>
        <w:jc w:val="center"/>
        <w:rPr>
          <w:rFonts w:cs="Times New Roman"/>
          <w:b/>
          <w:sz w:val="18"/>
          <w:szCs w:val="18"/>
          <w:shd w:fill="FFFFFF" w:val="clear"/>
        </w:rPr>
      </w:pPr>
      <w:r>
        <w:rPr>
          <w:rFonts w:cs="Times New Roman"/>
          <w:b/>
          <w:sz w:val="18"/>
          <w:szCs w:val="18"/>
          <w:shd w:fill="FFFFFF" w:val="clear"/>
        </w:rPr>
        <w:t>к ДОГОВОРУ № /14 от «»  2014г.</w:t>
      </w:r>
    </w:p>
    <w:p>
      <w:pPr>
        <w:pStyle w:val="style180"/>
        <w:ind w:hanging="0" w:left="0" w:right="282"/>
        <w:jc w:val="center"/>
        <w:rPr>
          <w:rFonts w:cs="Times New Roman"/>
          <w:b/>
          <w:sz w:val="18"/>
          <w:szCs w:val="18"/>
          <w:shd w:fill="FFFFFF" w:val="clear"/>
        </w:rPr>
      </w:pPr>
      <w:r>
        <w:rPr>
          <w:rFonts w:cs="Times New Roman"/>
          <w:b/>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местной телефонной связи с выделением дополнительного абонентского номера (услуга «Универсальный номер»)</w:t>
      </w:r>
    </w:p>
    <w:p>
      <w:pPr>
        <w:pStyle w:val="style180"/>
        <w:ind w:hanging="0" w:left="0" w:right="282"/>
        <w:jc w:val="center"/>
        <w:rPr>
          <w:rFonts w:cs="Times New Roman"/>
          <w:b/>
          <w:bCs/>
          <w:color w:val="000000"/>
          <w:sz w:val="18"/>
          <w:szCs w:val="18"/>
          <w:shd w:fill="FFFFFF" w:val="clear"/>
        </w:rPr>
      </w:pPr>
      <w:r>
        <w:rPr>
          <w:rFonts w:cs="Times New Roman"/>
          <w:b/>
          <w:bCs/>
          <w:color w:val="000000"/>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bCs/>
          <w:color w:val="000000"/>
          <w:sz w:val="18"/>
          <w:szCs w:val="18"/>
          <w:shd w:fill="FFFFFF" w:val="clear"/>
        </w:rPr>
      </w:r>
    </w:p>
    <w:p>
      <w:pPr>
        <w:pStyle w:val="style0"/>
        <w:jc w:val="both"/>
        <w:rPr>
          <w:rFonts w:cs="Times New Roman"/>
          <w:b/>
          <w:sz w:val="18"/>
          <w:szCs w:val="18"/>
          <w:shd w:fill="FFFFFF" w:val="clear"/>
        </w:rPr>
      </w:pPr>
      <w:r>
        <w:rPr>
          <w:rFonts w:cs="Times New Roman"/>
          <w:b/>
          <w:sz w:val="18"/>
          <w:szCs w:val="18"/>
          <w:shd w:fill="FFFFFF" w:val="clear"/>
        </w:rPr>
        <w:t xml:space="preserve"> </w:t>
      </w:r>
    </w:p>
    <w:p>
      <w:pPr>
        <w:pStyle w:val="style0"/>
        <w:numPr>
          <w:ilvl w:val="0"/>
          <w:numId w:val="5"/>
        </w:numPr>
        <w:spacing w:after="57" w:before="0"/>
        <w:contextualSpacing w:val="false"/>
        <w:jc w:val="both"/>
        <w:rPr>
          <w:rFonts w:cs="Times New Roman"/>
          <w:sz w:val="18"/>
          <w:szCs w:val="18"/>
          <w:shd w:fill="FFFFFF" w:val="clear"/>
        </w:rPr>
      </w:pPr>
      <w:r>
        <w:rPr>
          <w:rFonts w:cs="Times New Roman"/>
          <w:sz w:val="18"/>
          <w:szCs w:val="18"/>
          <w:shd w:fill="FFFFFF" w:val="clear"/>
        </w:rPr>
        <w:t>ОПЕРАТОР СВЯЗИ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 указанных в Приложениях к настоящему Заказу, для автоматического обслуживания входящих вызовов.</w:t>
      </w:r>
    </w:p>
    <w:p>
      <w:pPr>
        <w:pStyle w:val="style0"/>
        <w:numPr>
          <w:ilvl w:val="0"/>
          <w:numId w:val="5"/>
        </w:numPr>
        <w:spacing w:after="57" w:before="0"/>
        <w:contextualSpacing w:val="false"/>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Организация функционирования Услуги заключается в выделении дополнительного абонентского номера, первоначальной настройке оборудования ОПЕРАТОРА СВЯЗИ для автоматического обслуживания входящих вызовов, поступающих на дополнительный абонентский номер. Оплата АБОНЕНТОМ услуг по организации доступа происходит авансовым платежом в течение 5 рабочих дней с даты выставления счета. </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Срок организации функционирования Услуги: не позднее 10 рабочих дней с момента поступления единовременного платежа за выделение дополнительного абонентского номера. </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Количество одновременных соединений с дополнительным абонентским номером указывается в Приложениях к Заказу. При оплате первоначального предоставления дополнительного абонентского номера количество соединительных линий принимается равным одному.</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АБОНЕНТУ по его требованию могут быть включены Дополнительные Виды Обслуживания (далее - «ДВО») из списка предоставляемых ОПЕРАТОРОМ СВЯЗИ.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Изменение правил автоматического обслуживания входящих вызовов производится в течение 1 рабочего дня с момента получения ОПЕРАТОРОМ СВЯЗИ письменного заявления, подписанного уполномоченным лицом АБОНЕНТА. </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style0"/>
        <w:numPr>
          <w:ilvl w:val="0"/>
          <w:numId w:val="5"/>
        </w:numPr>
        <w:tabs>
          <w:tab w:leader="none" w:pos="472"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style0"/>
        <w:numPr>
          <w:ilvl w:val="0"/>
          <w:numId w:val="5"/>
        </w:numPr>
        <w:spacing w:after="57" w:before="0"/>
        <w:contextualSpacing w:val="false"/>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style0"/>
        <w:numPr>
          <w:ilvl w:val="0"/>
          <w:numId w:val="5"/>
        </w:numPr>
        <w:spacing w:after="57" w:before="0"/>
        <w:contextualSpacing w:val="false"/>
        <w:jc w:val="both"/>
        <w:rPr>
          <w:rFonts w:cs="Times New Roman"/>
          <w:sz w:val="18"/>
          <w:szCs w:val="18"/>
        </w:rPr>
      </w:pPr>
      <w:r>
        <w:rPr>
          <w:rFonts w:cs="Times New Roman"/>
          <w:sz w:val="18"/>
          <w:szCs w:val="18"/>
        </w:rPr>
        <w:t>АБОНЕНТ обязуется не использовать предоставленное оборудование и услуги для проведения лотерей, голосования и других интерактивных технологий, а также оказания услуг связи без согласования с ОПЕРАТОРОМ СВЯЗИ.</w:t>
      </w:r>
    </w:p>
    <w:p>
      <w:pPr>
        <w:pStyle w:val="style0"/>
        <w:numPr>
          <w:ilvl w:val="0"/>
          <w:numId w:val="5"/>
        </w:numPr>
        <w:spacing w:after="57" w:before="0"/>
        <w:contextualSpacing w:val="false"/>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style0"/>
        <w:numPr>
          <w:ilvl w:val="0"/>
          <w:numId w:val="5"/>
        </w:numPr>
        <w:spacing w:after="57" w:before="0"/>
        <w:contextualSpacing w:val="false"/>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style0"/>
        <w:ind w:hanging="0" w:left="397" w:right="0"/>
        <w:jc w:val="both"/>
        <w:rPr>
          <w:rFonts w:cs="Times New Roman"/>
          <w:sz w:val="18"/>
          <w:szCs w:val="18"/>
        </w:rPr>
      </w:pPr>
      <w:r>
        <w:rPr>
          <w:rFonts w:cs="Times New Roman"/>
          <w:sz w:val="18"/>
          <w:szCs w:val="18"/>
        </w:rPr>
      </w:r>
    </w:p>
    <w:p>
      <w:pPr>
        <w:pStyle w:val="style0"/>
        <w:ind w:hanging="0" w:left="397" w:right="0"/>
        <w:jc w:val="center"/>
        <w:rPr>
          <w:rFonts w:cs="Times New Roman"/>
          <w:b/>
          <w:sz w:val="18"/>
          <w:szCs w:val="18"/>
        </w:rPr>
      </w:pPr>
      <w:r>
        <w:rPr>
          <w:rFonts w:cs="Times New Roman"/>
          <w:b/>
          <w:sz w:val="18"/>
          <w:szCs w:val="18"/>
        </w:rPr>
        <w:t>ПОДПИСИ СТОРОН:</w:t>
      </w:r>
    </w:p>
    <w:p>
      <w:pPr>
        <w:pStyle w:val="style0"/>
        <w:tabs>
          <w:tab w:leader="none" w:pos="1191" w:val="left"/>
        </w:tabs>
        <w:ind w:hanging="0" w:left="397" w:right="0"/>
        <w:jc w:val="both"/>
        <w:rPr>
          <w:rFonts w:cs="Times New Roman"/>
          <w:sz w:val="18"/>
          <w:szCs w:val="18"/>
        </w:rPr>
      </w:pPr>
      <w:r>
        <w:rPr>
          <w:rFonts w:cs="Times New Roman"/>
          <w:sz w:val="18"/>
          <w:szCs w:val="18"/>
        </w:rPr>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______________________________ / С.В.Гомберг /</w:t>
            </w:r>
          </w:p>
          <w:p>
            <w:pPr>
              <w:pStyle w:val="style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pPr>
        <w:pStyle w:val="style180"/>
        <w:ind w:hanging="0" w:left="0" w:right="282"/>
        <w:rPr>
          <w:rFonts w:cs="Times New Roman"/>
          <w:sz w:val="18"/>
          <w:szCs w:val="18"/>
        </w:rPr>
      </w:pPr>
      <w:r>
        <w:rPr>
          <w:rFonts w:cs="Times New Roman"/>
          <w:sz w:val="18"/>
          <w:szCs w:val="18"/>
        </w:rPr>
        <w:tab/>
        <w:tab/>
        <w:tab/>
        <w:tab/>
        <w:tab/>
        <w:tab/>
        <w:tab/>
      </w:r>
    </w:p>
    <w:p>
      <w:pPr>
        <w:pStyle w:val="style180"/>
        <w:ind w:firstLine="708" w:left="4248" w:right="282"/>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/__________________/</w:t>
      </w:r>
    </w:p>
    <w:p>
      <w:pPr>
        <w:pStyle w:val="style180"/>
        <w:ind w:firstLine="708" w:left="4248" w:right="282"/>
        <w:rPr>
          <w:rFonts w:cs="Times New Roman"/>
          <w:sz w:val="18"/>
          <w:szCs w:val="18"/>
        </w:rPr>
      </w:pPr>
      <w:r>
        <w:rPr>
          <w:rFonts w:cs="Times New Roman"/>
          <w:sz w:val="18"/>
          <w:szCs w:val="18"/>
        </w:rPr>
        <w:t xml:space="preserve">                             </w:t>
      </w:r>
      <w:r>
        <w:rPr>
          <w:rFonts w:cs="Times New Roman"/>
          <w:sz w:val="18"/>
          <w:szCs w:val="18"/>
        </w:rPr>
        <w:t>м.п.</w:t>
      </w:r>
    </w:p>
    <w:p>
      <w:pPr>
        <w:pStyle w:val="style180"/>
        <w:ind w:hanging="0" w:left="0" w:right="282"/>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pPr>
        <w:pStyle w:val="style180"/>
        <w:ind w:hanging="0" w:left="0" w:right="0"/>
        <w:rPr>
          <w:rFonts w:cs="Times New Roman"/>
          <w:sz w:val="18"/>
          <w:szCs w:val="18"/>
        </w:rPr>
      </w:pPr>
      <w:r>
        <w:rPr>
          <w:rFonts w:cs="Times New Roman"/>
          <w:sz w:val="18"/>
          <w:szCs w:val="18"/>
        </w:rPr>
        <w:tab/>
        <w:tab/>
        <w:tab/>
        <w:tab/>
        <w:tab/>
        <w:tab/>
        <w:tab/>
      </w:r>
    </w:p>
    <w:p>
      <w:pPr>
        <w:pStyle w:val="style180"/>
        <w:ind w:firstLine="708" w:left="4248" w:right="0"/>
        <w:rPr>
          <w:rFonts w:cs="Times New Roman"/>
          <w:color w:val="000000"/>
          <w:sz w:val="18"/>
          <w:szCs w:val="18"/>
        </w:rPr>
      </w:pPr>
      <w:r>
        <w:rPr>
          <w:rFonts w:cs="Times New Roman"/>
          <w:color w:val="000000"/>
          <w:sz w:val="18"/>
          <w:szCs w:val="18"/>
        </w:rPr>
        <w:t>АБОНЕНТ:  ____________________ /__________________/</w:t>
      </w:r>
    </w:p>
    <w:p>
      <w:pPr>
        <w:pStyle w:val="style180"/>
        <w:ind w:firstLine="708" w:left="4248" w:right="0"/>
        <w:rPr>
          <w:rFonts w:cs="Times New Roman"/>
          <w:color w:val="000000"/>
          <w:sz w:val="18"/>
          <w:szCs w:val="18"/>
        </w:rPr>
      </w:pPr>
      <w:r>
        <w:rPr>
          <w:rFonts w:cs="Times New Roman"/>
          <w:color w:val="000000"/>
          <w:sz w:val="18"/>
          <w:szCs w:val="18"/>
        </w:rPr>
        <w:t xml:space="preserve">                                      </w:t>
      </w:r>
      <w:r>
        <w:rPr>
          <w:rFonts w:cs="Times New Roman"/>
          <w:color w:val="000000"/>
          <w:sz w:val="18"/>
          <w:szCs w:val="18"/>
        </w:rPr>
        <w:t>м.п.</w:t>
      </w:r>
    </w:p>
    <w:p>
      <w:pPr>
        <w:pStyle w:val="style0"/>
        <w:pageBreakBefore/>
        <w:jc w:val="center"/>
        <w:rPr>
          <w:rFonts w:cs="Times New Roman"/>
          <w:b/>
          <w:bCs/>
          <w:color w:val="000000"/>
          <w:sz w:val="18"/>
          <w:szCs w:val="18"/>
        </w:rPr>
      </w:pPr>
      <w:r>
        <w:rPr>
          <w:rFonts w:cs="Times New Roman"/>
          <w:b/>
          <w:bCs/>
          <w:color w:val="000000"/>
          <w:sz w:val="18"/>
          <w:szCs w:val="18"/>
        </w:rPr>
        <w:t>ПРИЛОЖЕНИЕ №1 к ЗАКАЗУ № /14/ДН</w:t>
      </w:r>
    </w:p>
    <w:p>
      <w:pPr>
        <w:pStyle w:val="style0"/>
        <w:jc w:val="center"/>
        <w:rPr>
          <w:rFonts w:cs="Times New Roman"/>
          <w:b/>
          <w:bCs/>
          <w:color w:val="000000"/>
          <w:sz w:val="18"/>
          <w:szCs w:val="18"/>
        </w:rPr>
      </w:pPr>
      <w:r>
        <w:rPr>
          <w:rFonts w:cs="Times New Roman"/>
          <w:b/>
          <w:bCs/>
          <w:color w:val="000000"/>
          <w:sz w:val="18"/>
          <w:szCs w:val="18"/>
        </w:rPr>
        <w:t xml:space="preserve"> </w:t>
      </w:r>
    </w:p>
    <w:p>
      <w:pPr>
        <w:pStyle w:val="style0"/>
        <w:rPr>
          <w:rFonts w:cs="Times New Roman"/>
          <w:b/>
          <w:bCs/>
          <w:caps/>
          <w:color w:val="000000"/>
          <w:sz w:val="18"/>
          <w:szCs w:val="18"/>
        </w:rPr>
      </w:pPr>
      <w:r>
        <w:rPr>
          <w:rFonts w:cs="Times New Roman"/>
          <w:b/>
          <w:bCs/>
          <w:caps/>
          <w:color w:val="000000"/>
          <w:sz w:val="18"/>
          <w:szCs w:val="18"/>
        </w:rPr>
        <w:t>1. Приложение:</w:t>
      </w:r>
    </w:p>
    <w:p>
      <w:pPr>
        <w:pStyle w:val="style0"/>
        <w:ind w:hanging="0" w:left="720" w:right="0"/>
        <w:rPr>
          <w:rFonts w:cs="Times New Roman"/>
          <w:b/>
          <w:bCs/>
          <w:caps/>
          <w:sz w:val="18"/>
          <w:szCs w:val="18"/>
        </w:rPr>
      </w:pPr>
      <w:r>
        <w:rPr>
          <w:rFonts w:cs="Times New Roman"/>
          <w:b/>
          <w:bCs/>
          <w:cap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8"/>
        <w:gridCol w:w="2318"/>
        <w:gridCol w:w="3342"/>
        <w:gridCol w:w="2559"/>
      </w:tblGrid>
      <w:tr>
        <w:trPr>
          <w:cantSplit w:val="false"/>
        </w:trPr>
        <w:tc>
          <w:tcPr>
            <w:tcW w:type="dxa" w:w="2228"/>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Дата составления:</w:t>
            </w:r>
          </w:p>
        </w:tc>
        <w:tc>
          <w:tcPr>
            <w:tcW w:type="dxa" w:w="2318"/>
            <w:tcBorders>
              <w:top w:color="00000A" w:space="0" w:sz="4" w:val="doub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Отменяет действие приложения</w:t>
            </w:r>
          </w:p>
        </w:tc>
        <w:tc>
          <w:tcPr>
            <w:tcW w:type="dxa" w:w="2559"/>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type="dxa" w:w="2228"/>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 xml:space="preserve">Вступает в действие с </w:t>
            </w:r>
          </w:p>
        </w:tc>
        <w:tc>
          <w:tcPr>
            <w:tcW w:type="dxa" w:w="2318"/>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Действует до</w:t>
            </w:r>
          </w:p>
        </w:tc>
        <w:tc>
          <w:tcPr>
            <w:tcW w:type="dxa" w:w="2559"/>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0"/>
        <w:rPr>
          <w:rFonts w:cs="Times New Roman"/>
          <w:vanish/>
          <w:sz w:val="18"/>
          <w:szCs w:val="18"/>
        </w:rPr>
      </w:pPr>
      <w:r>
        <w:rPr>
          <w:rFonts w:cs="Times New Roman"/>
          <w:vanish/>
          <w:sz w:val="18"/>
          <w:szCs w:val="18"/>
        </w:rPr>
      </w:r>
    </w:p>
    <w:p>
      <w:pPr>
        <w:pStyle w:val="style0"/>
        <w:rPr>
          <w:rFonts w:cs="Times New Roman"/>
          <w:b/>
          <w:bCs/>
          <w:caps/>
          <w:color w:val="000000"/>
          <w:sz w:val="18"/>
          <w:szCs w:val="18"/>
        </w:rPr>
      </w:pPr>
      <w:r>
        <w:rPr>
          <w:rFonts w:cs="Times New Roman"/>
          <w:b/>
          <w:bCs/>
          <w:caps/>
          <w:color w:val="000000"/>
          <w:sz w:val="18"/>
          <w:szCs w:val="18"/>
        </w:rPr>
        <w:t>2. Данные об АБОНЕНТе*:</w:t>
      </w:r>
    </w:p>
    <w:p>
      <w:pPr>
        <w:pStyle w:val="style0"/>
        <w:rPr>
          <w:rFonts w:cs="Times New Roman"/>
          <w:b/>
          <w:bCs/>
          <w:caps/>
          <w:color w:val="000000"/>
          <w:sz w:val="18"/>
          <w:szCs w:val="18"/>
        </w:rPr>
      </w:pPr>
      <w:r>
        <w:rPr>
          <w:rFonts w:cs="Times New Roman"/>
          <w:b/>
          <w:bCs/>
          <w:caps/>
          <w:color w:val="000000"/>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089"/>
        <w:gridCol w:w="8357"/>
      </w:tblGrid>
      <w:tr>
        <w:trPr>
          <w:cantSplit w:val="false"/>
        </w:trPr>
        <w:tc>
          <w:tcPr>
            <w:tcW w:type="dxa" w:w="2089"/>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 xml:space="preserve">Официальное наименование АБОНЕНТА </w:t>
            </w:r>
          </w:p>
        </w:tc>
        <w:tc>
          <w:tcPr>
            <w:tcW w:type="dxa" w:w="8357"/>
            <w:gridSpan w:val="4"/>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Ф.И.О. контактного лица, должность</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 xml:space="preserve">Контактный телефон, </w:t>
            </w:r>
          </w:p>
          <w:p>
            <w:pPr>
              <w:pStyle w:val="style0"/>
              <w:rPr>
                <w:rFonts w:cs="Times New Roman"/>
                <w:sz w:val="18"/>
                <w:szCs w:val="18"/>
              </w:rPr>
            </w:pPr>
            <w:r>
              <w:rPr>
                <w:rFonts w:cs="Times New Roman"/>
                <w:sz w:val="18"/>
                <w:szCs w:val="18"/>
              </w:rPr>
              <w:t>e-mail</w:t>
            </w:r>
          </w:p>
        </w:tc>
        <w:tc>
          <w:tcPr>
            <w:tcW w:type="dxa" w:w="4179"/>
            <w:gridSpan w:val="2"/>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60"/>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для почтовых отправлений*</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Индекс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Cs/>
                <w:sz w:val="18"/>
                <w:szCs w:val="18"/>
              </w:rPr>
            </w:pPr>
            <w:r>
              <w:rPr>
                <w:rFonts w:cs="Times New Roman"/>
                <w:bCs/>
                <w:sz w:val="18"/>
                <w:szCs w:val="18"/>
              </w:rPr>
              <w:t>Адрес фактического местонахождения</w:t>
            </w:r>
          </w:p>
        </w:tc>
        <w:tc>
          <w:tcPr>
            <w:tcW w:type="dxa" w:w="2090"/>
            <w:vMerge w:val="restart"/>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Город</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Улица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Дом</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Корпус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Офис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Аб/ящик</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Квартира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Способ доставки счета:*</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отдел (получение лично)</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Телефон*</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Почтовый адрес</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lang w:val="en-US"/>
              </w:rPr>
            </w:pPr>
            <w:r>
              <w:rPr>
                <w:rFonts w:cs="Times New Roman"/>
                <w:sz w:val="18"/>
                <w:szCs w:val="18"/>
                <w:lang w:val="en-US"/>
              </w:rPr>
              <w:t>V</w:t>
            </w:r>
          </w:p>
        </w:tc>
      </w:tr>
      <w:tr>
        <w:trPr>
          <w:cantSplit w:val="false"/>
        </w:trPr>
        <w:tc>
          <w:tcPr>
            <w:tcW w:type="dxa" w:w="2089"/>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sz w:val="18"/>
                <w:szCs w:val="18"/>
              </w:rPr>
            </w:pPr>
            <w:r>
              <w:rPr>
                <w:rFonts w:cs="Times New Roman"/>
                <w:sz w:val="18"/>
                <w:szCs w:val="18"/>
              </w:rPr>
              <w:t>Факс*</w:t>
            </w:r>
          </w:p>
        </w:tc>
        <w:tc>
          <w:tcPr>
            <w:tcW w:type="dxa" w:w="2089"/>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ящик в ОПС</w:t>
            </w:r>
          </w:p>
        </w:tc>
        <w:tc>
          <w:tcPr>
            <w:tcW w:type="dxa" w:w="209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198"/>
        <w:spacing w:after="0" w:before="0" w:line="100" w:lineRule="atLeast"/>
        <w:ind w:hanging="0" w:left="0" w:right="0"/>
        <w:contextualSpacing w:val="false"/>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3. ДАННЫЕ ОБ УСЛУГЕ:</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792"/>
        <w:gridCol w:w="1412"/>
        <w:gridCol w:w="2126"/>
        <w:gridCol w:w="2407"/>
        <w:gridCol w:w="1719"/>
      </w:tblGrid>
      <w:tr>
        <w:trPr>
          <w:cantSplit w:val="false"/>
        </w:trPr>
        <w:tc>
          <w:tcPr>
            <w:tcW w:type="dxa" w:w="2792"/>
            <w:tcBorders>
              <w:top w:color="00000A" w:space="0" w:sz="4" w:val="doub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Устройство (</w:t>
            </w:r>
            <w:r>
              <w:rPr>
                <w:rFonts w:cs="Times New Roman"/>
                <w:b/>
                <w:bCs/>
                <w:i/>
                <w:sz w:val="18"/>
                <w:szCs w:val="18"/>
              </w:rPr>
              <w:t>номер</w:t>
            </w:r>
            <w:r>
              <w:rPr>
                <w:rFonts w:cs="Times New Roman"/>
                <w:b/>
                <w:bCs/>
                <w:sz w:val="18"/>
                <w:szCs w:val="18"/>
              </w:rPr>
              <w:t>)</w:t>
            </w:r>
          </w:p>
        </w:tc>
        <w:tc>
          <w:tcPr>
            <w:tcW w:type="dxa" w:w="1412"/>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Схема включения</w:t>
            </w:r>
          </w:p>
        </w:tc>
        <w:tc>
          <w:tcPr>
            <w:tcW w:type="dxa" w:w="2126"/>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ind w:hanging="0" w:left="-78" w:right="-108"/>
              <w:jc w:val="center"/>
              <w:rPr>
                <w:rFonts w:cs="Times New Roman"/>
                <w:b/>
                <w:sz w:val="18"/>
                <w:szCs w:val="18"/>
              </w:rPr>
            </w:pPr>
            <w:r>
              <w:rPr>
                <w:rFonts w:cs="Times New Roman"/>
                <w:b/>
                <w:sz w:val="18"/>
                <w:szCs w:val="18"/>
              </w:rPr>
              <w:t>Вид соединения</w:t>
            </w:r>
          </w:p>
        </w:tc>
        <w:tc>
          <w:tcPr>
            <w:tcW w:type="dxa" w:w="2407"/>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 xml:space="preserve">Зона обслуживания/ граница ответственности </w:t>
            </w:r>
          </w:p>
        </w:tc>
        <w:tc>
          <w:tcPr>
            <w:tcW w:type="dxa" w:w="1719"/>
            <w:tcBorders>
              <w:top w:color="00000A" w:space="0" w:sz="4" w:val="double"/>
              <w:left w:color="000001" w:space="0" w:sz="4" w:val="single"/>
              <w:bottom w:color="000001" w:space="0" w:sz="4" w:val="single"/>
              <w:right w:color="00000A" w:space="0" w:sz="4" w:val="doub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Кол-во соедини-тельных линий</w:t>
            </w:r>
          </w:p>
        </w:tc>
      </w:tr>
      <w:tr>
        <w:trPr>
          <w:trHeight w:hRule="atLeast" w:val="552"/>
          <w:cantSplit w:val="false"/>
        </w:trPr>
        <w:tc>
          <w:tcPr>
            <w:tcW w:type="dxa" w:w="2792"/>
            <w:tcBorders>
              <w:top w:color="000001" w:space="0" w:sz="4" w:val="single"/>
              <w:left w:color="00000A" w:space="0" w:sz="4" w:val="double"/>
              <w:bottom w:color="000001" w:space="0" w:sz="4" w:val="single"/>
              <w:right w:color="000001" w:space="0" w:sz="4" w:val="single"/>
            </w:tcBorders>
            <w:shd w:fill="FFFFFF" w:val="clear"/>
            <w:tcMar>
              <w:left w:type="dxa" w:w="-13"/>
            </w:tcMar>
            <w:vAlign w:val="center"/>
          </w:tcPr>
          <w:p>
            <w:pPr>
              <w:pStyle w:val="style0"/>
              <w:jc w:val="center"/>
              <w:rPr>
                <w:rFonts w:cs="Times New Roman"/>
                <w:sz w:val="16"/>
                <w:szCs w:val="16"/>
              </w:rPr>
            </w:pPr>
            <w:r>
              <w:rPr>
                <w:rFonts w:cs="Times New Roman"/>
                <w:sz w:val="16"/>
                <w:szCs w:val="16"/>
              </w:rPr>
            </w:r>
          </w:p>
        </w:tc>
        <w:tc>
          <w:tcPr>
            <w:tcW w:type="dxa" w:w="1412"/>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Дополнительный абонентский номер</w:t>
            </w:r>
          </w:p>
        </w:tc>
        <w:tc>
          <w:tcPr>
            <w:tcW w:type="dxa" w:w="2126"/>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Входящий, переадресация</w:t>
            </w:r>
          </w:p>
        </w:tc>
        <w:tc>
          <w:tcPr>
            <w:tcW w:type="dxa" w:w="2407"/>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г.Саратов, ул.Московская, д.66</w:t>
            </w:r>
          </w:p>
        </w:tc>
        <w:tc>
          <w:tcPr>
            <w:tcW w:type="dxa" w:w="1719"/>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6"/>
                <w:szCs w:val="16"/>
              </w:rPr>
            </w:pPr>
            <w:r>
              <w:rPr>
                <w:rFonts w:cs="Times New Roman"/>
                <w:sz w:val="16"/>
                <w:szCs w:val="16"/>
              </w:rPr>
            </w:r>
          </w:p>
        </w:tc>
      </w:tr>
      <w:tr>
        <w:trPr>
          <w:trHeight w:hRule="atLeast" w:val="552"/>
          <w:cantSplit w:val="false"/>
        </w:trPr>
        <w:tc>
          <w:tcPr>
            <w:tcW w:type="dxa" w:w="2792"/>
            <w:tcBorders>
              <w:top w:color="000001" w:space="0" w:sz="4" w:val="single"/>
              <w:left w:color="00000A" w:space="0" w:sz="4" w:val="double"/>
              <w:bottom w:color="00000A" w:space="0" w:sz="4" w:val="doub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Срок организации услуги, дней</w:t>
            </w:r>
          </w:p>
        </w:tc>
        <w:tc>
          <w:tcPr>
            <w:tcW w:type="dxa" w:w="1412"/>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10</w:t>
            </w:r>
          </w:p>
        </w:tc>
        <w:tc>
          <w:tcPr>
            <w:tcW w:type="dxa" w:w="4533"/>
            <w:gridSpan w:val="2"/>
            <w:tcBorders>
              <w:top w:color="000001" w:space="0" w:sz="4" w:val="single"/>
              <w:left w:color="000001" w:space="0" w:sz="4" w:val="single"/>
              <w:bottom w:color="00000A" w:space="0" w:sz="4" w:val="double"/>
              <w:right w:color="000001" w:space="0" w:sz="4" w:val="single"/>
            </w:tcBorders>
            <w:shd w:fill="BFBFBF" w:val="clear"/>
            <w:tcMar>
              <w:left w:type="dxa" w:w="77"/>
            </w:tcMar>
            <w:vAlign w:val="center"/>
          </w:tcPr>
          <w:p>
            <w:pPr>
              <w:pStyle w:val="style0"/>
              <w:jc w:val="right"/>
              <w:rPr>
                <w:rFonts w:cs="Times New Roman"/>
                <w:b/>
                <w:sz w:val="18"/>
                <w:szCs w:val="18"/>
              </w:rPr>
            </w:pPr>
            <w:r>
              <w:rPr>
                <w:rFonts w:cs="Times New Roman"/>
                <w:b/>
                <w:sz w:val="18"/>
                <w:szCs w:val="18"/>
              </w:rPr>
              <w:t>Планируемая дата окончания работ:</w:t>
            </w:r>
          </w:p>
        </w:tc>
        <w:tc>
          <w:tcPr>
            <w:tcW w:type="dxa" w:w="1719"/>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r>
    </w:tbl>
    <w:p>
      <w:pPr>
        <w:pStyle w:val="style0"/>
        <w:rPr>
          <w:rFonts w:cs="Times New Roman"/>
          <w:b/>
          <w:bCs/>
          <w:sz w:val="18"/>
          <w:szCs w:val="18"/>
          <w:lang w:val="en-US"/>
        </w:rPr>
      </w:pPr>
      <w:r>
        <w:rPr>
          <w:rFonts w:cs="Times New Roman"/>
          <w:b/>
          <w:bCs/>
          <w:sz w:val="18"/>
          <w:szCs w:val="18"/>
          <w:lang w:val="en-US"/>
        </w:rPr>
      </w:r>
    </w:p>
    <w:p>
      <w:pPr>
        <w:pStyle w:val="style0"/>
        <w:rPr>
          <w:rFonts w:cs="Times New Roman"/>
          <w:b/>
          <w:bCs/>
          <w:sz w:val="18"/>
          <w:szCs w:val="18"/>
        </w:rPr>
      </w:pPr>
      <w:r>
        <w:rPr>
          <w:rFonts w:cs="Times New Roman"/>
          <w:b/>
          <w:bCs/>
          <w:sz w:val="18"/>
          <w:szCs w:val="18"/>
        </w:rPr>
        <w:t>4. ПЛАТЕЖИ ЗА УСЛУГУ (ЕДИНОВРЕМЕННО), в рублях, без учета НДС</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6290"/>
        <w:gridCol w:w="1365"/>
        <w:gridCol w:w="1367"/>
        <w:gridCol w:w="1380"/>
      </w:tblGrid>
      <w:tr>
        <w:trPr>
          <w:cantSplit w:val="false"/>
        </w:trPr>
        <w:tc>
          <w:tcPr>
            <w:tcW w:type="dxa" w:w="6290"/>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1365"/>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Количество</w:t>
            </w:r>
          </w:p>
        </w:tc>
        <w:tc>
          <w:tcPr>
            <w:tcW w:type="dxa" w:w="1367"/>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Цена</w:t>
            </w:r>
          </w:p>
        </w:tc>
        <w:tc>
          <w:tcPr>
            <w:tcW w:type="dxa" w:w="1380"/>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Всего</w:t>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Выделение дополнительного абонентского номера</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sz w:val="18"/>
                <w:szCs w:val="18"/>
              </w:rPr>
            </w:pPr>
            <w:r>
              <w:rPr>
                <w:rFonts w:cs="Times New Roman"/>
                <w:sz w:val="18"/>
                <w:szCs w:val="18"/>
              </w:rPr>
              <w:t>Выделение дополнительной соединительной линии для обеспечения автоматического обслуживания входящих вызовов</w:t>
            </w:r>
            <w:r>
              <w:rPr>
                <w:sz w:val="18"/>
                <w:szCs w:val="18"/>
              </w:rPr>
              <w:t>, за соединительную линию</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1365"/>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67"/>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8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r>
    </w:tbl>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A" w:space="0" w:sz="4" w:val="double"/>
          <w:insideV w:color="00000A" w:space="0" w:sz="4" w:val="double"/>
        </w:tblBorders>
        <w:tblCellMar>
          <w:top w:type="dxa" w:w="0"/>
          <w:left w:type="dxa" w:w="-13"/>
          <w:bottom w:type="dxa" w:w="0"/>
          <w:right w:type="dxa" w:w="108"/>
        </w:tblCellMar>
      </w:tblPr>
      <w:tblGrid>
        <w:gridCol w:w="2091"/>
        <w:gridCol w:w="2091"/>
        <w:gridCol w:w="6274"/>
      </w:tblGrid>
      <w:tr>
        <w:trPr>
          <w:cantSplit w:val="false"/>
        </w:trPr>
        <w:tc>
          <w:tcPr>
            <w:tcW w:type="dxa" w:w="2091"/>
            <w:vMerge w:val="restart"/>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2091"/>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Фиксированные платежи</w:t>
            </w:r>
          </w:p>
        </w:tc>
        <w:tc>
          <w:tcPr>
            <w:tcW w:type="dxa" w:w="6274"/>
            <w:gridSpan w:val="3"/>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Переменные платежи</w:t>
            </w:r>
          </w:p>
        </w:tc>
      </w:tr>
      <w:tr>
        <w:trPr>
          <w:cantSplit w:val="false"/>
        </w:trPr>
        <w:tc>
          <w:tcPr>
            <w:tcW w:type="dxa" w:w="2091"/>
            <w:vMerge w:val="continue"/>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ind w:hanging="0" w:left="-108" w:right="-141"/>
              <w:jc w:val="center"/>
              <w:rPr>
                <w:rFonts w:cs="Times New Roman"/>
                <w:b/>
                <w:sz w:val="18"/>
                <w:szCs w:val="18"/>
              </w:rPr>
            </w:pPr>
            <w:r>
              <w:rPr>
                <w:rFonts w:cs="Times New Roman"/>
                <w:b/>
                <w:sz w:val="18"/>
                <w:szCs w:val="18"/>
              </w:rPr>
              <w:t>Кол-во</w:t>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Цена</w:t>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Всего</w:t>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ind w:hanging="0" w:left="-108" w:right="-180"/>
              <w:jc w:val="center"/>
              <w:rPr>
                <w:rFonts w:cs="Times New Roman"/>
                <w:b/>
                <w:sz w:val="18"/>
                <w:szCs w:val="18"/>
              </w:rPr>
            </w:pPr>
            <w:r>
              <w:rPr>
                <w:rFonts w:cs="Times New Roman"/>
                <w:b/>
                <w:sz w:val="18"/>
                <w:szCs w:val="18"/>
              </w:rPr>
              <w:t>Цена</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Предоставление дополнительного абонентского номера (тариф «Базовый)</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Обслуживание дополнительной соединительной линии (тариф «Базовый»)</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Переадресация на саратовский номер вида 8452 ХХХ ХХХ, за мин (тариф «Базовый»)</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0,51</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 xml:space="preserve">1,44* </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tabs>
                <w:tab w:leader="none" w:pos="195" w:val="left"/>
                <w:tab w:leader="none" w:pos="388" w:val="center"/>
              </w:tabs>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в зависимости от направления**</w:t>
            </w:r>
          </w:p>
        </w:tc>
      </w:tr>
      <w:tr>
        <w:trPr>
          <w:cantSplit w:val="false"/>
        </w:trPr>
        <w:tc>
          <w:tcPr>
            <w:tcW w:type="dxa" w:w="2091"/>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2091"/>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c>
          <w:tcPr>
            <w:tcW w:type="dxa" w:w="2092"/>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w:t>
            </w:r>
          </w:p>
        </w:tc>
      </w:tr>
    </w:tbl>
    <w:p>
      <w:pPr>
        <w:pStyle w:val="style0"/>
        <w:ind w:hanging="0" w:left="360" w:right="0"/>
        <w:rPr>
          <w:rFonts w:cs="Times New Roman"/>
          <w:bCs/>
          <w:sz w:val="16"/>
          <w:szCs w:val="16"/>
        </w:rPr>
      </w:pPr>
      <w:r>
        <w:rPr>
          <w:rFonts w:cs="Times New Roman"/>
          <w:bCs/>
          <w:sz w:val="16"/>
          <w:szCs w:val="16"/>
        </w:rPr>
        <w:t>* - услуга предоставляется оператором внутризоновой связи</w:t>
      </w:r>
    </w:p>
    <w:p>
      <w:pPr>
        <w:pStyle w:val="style0"/>
        <w:ind w:hanging="0" w:left="360" w:right="0"/>
        <w:rPr>
          <w:rFonts w:cs="Times New Roman"/>
          <w:bCs/>
          <w:sz w:val="16"/>
          <w:szCs w:val="16"/>
        </w:rPr>
      </w:pPr>
      <w:r>
        <w:rPr>
          <w:rFonts w:cs="Times New Roman"/>
          <w:bCs/>
          <w:sz w:val="16"/>
          <w:szCs w:val="16"/>
        </w:rPr>
        <w:t>** - услуга предоставляется оператором междугородной и международной связи</w:t>
      </w:r>
    </w:p>
    <w:p>
      <w:pPr>
        <w:pStyle w:val="style0"/>
        <w:ind w:hanging="0" w:left="284" w:right="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6. НАЧАЛЬНЫЕ НАСТРОЙКИ ПЕРЕАДРЕСАЦИИ</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6"/>
        <w:gridCol w:w="4107"/>
        <w:gridCol w:w="4123"/>
      </w:tblGrid>
      <w:tr>
        <w:trPr>
          <w:cantSplit w:val="false"/>
        </w:trPr>
        <w:tc>
          <w:tcPr>
            <w:tcW w:type="dxa" w:w="2226"/>
            <w:tcBorders>
              <w:top w:color="00000A" w:space="0" w:sz="4" w:val="doub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Дополнительный абонентский номер</w:t>
            </w:r>
          </w:p>
        </w:tc>
        <w:tc>
          <w:tcPr>
            <w:tcW w:type="dxa" w:w="4107"/>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 xml:space="preserve">Код </w:t>
            </w:r>
          </w:p>
        </w:tc>
        <w:tc>
          <w:tcPr>
            <w:tcW w:type="dxa" w:w="4123"/>
            <w:tcBorders>
              <w:top w:color="00000A" w:space="0" w:sz="4" w:val="double"/>
              <w:left w:color="000001" w:space="0" w:sz="4" w:val="single"/>
              <w:bottom w:color="000001" w:space="0" w:sz="4" w:val="single"/>
              <w:right w:color="00000A" w:space="0" w:sz="4" w:val="doub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Номер телефона</w:t>
            </w:r>
          </w:p>
        </w:tc>
      </w:tr>
      <w:tr>
        <w:trPr>
          <w:trHeight w:hRule="atLeast" w:val="552"/>
          <w:cantSplit w:val="false"/>
        </w:trPr>
        <w:tc>
          <w:tcPr>
            <w:tcW w:type="dxa" w:w="2226"/>
            <w:tcBorders>
              <w:top w:color="000001" w:space="0" w:sz="4" w:val="single"/>
              <w:left w:color="00000A" w:space="0" w:sz="4" w:val="double"/>
              <w:bottom w:color="00000A" w:space="0" w:sz="4" w:val="double"/>
              <w:right w:color="000001" w:space="0" w:sz="4" w:val="single"/>
            </w:tcBorders>
            <w:shd w:fill="FFFFFF" w:val="clear"/>
            <w:tcMar>
              <w:left w:type="dxa" w:w="-13"/>
            </w:tcMar>
            <w:vAlign w:val="center"/>
          </w:tcPr>
          <w:p>
            <w:pPr>
              <w:pStyle w:val="style0"/>
              <w:jc w:val="center"/>
              <w:rPr>
                <w:rFonts w:cs="Times New Roman"/>
                <w:bCs/>
                <w:sz w:val="16"/>
                <w:szCs w:val="16"/>
              </w:rPr>
            </w:pPr>
            <w:r>
              <w:rPr>
                <w:rFonts w:cs="Times New Roman"/>
                <w:bCs/>
                <w:sz w:val="16"/>
                <w:szCs w:val="16"/>
              </w:rPr>
              <w:t>748-ХХХ</w:t>
            </w:r>
          </w:p>
        </w:tc>
        <w:tc>
          <w:tcPr>
            <w:tcW w:type="dxa" w:w="4107"/>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r>
          </w:p>
        </w:tc>
        <w:tc>
          <w:tcPr>
            <w:tcW w:type="dxa" w:w="4123"/>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6"/>
                <w:szCs w:val="16"/>
              </w:rPr>
            </w:pPr>
            <w:r>
              <w:rPr>
                <w:rFonts w:cs="Times New Roman"/>
                <w:sz w:val="16"/>
                <w:szCs w:val="16"/>
              </w:rPr>
            </w:r>
          </w:p>
        </w:tc>
      </w:tr>
    </w:tbl>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r>
    </w:p>
    <w:tbl>
      <w:tblPr>
        <w:jc w:val="center"/>
        <w:tblInd w:type="dxa" w:w="0"/>
        <w:tblBorders>
          <w:top w:color="000001" w:space="0" w:sz="2" w:val="double"/>
          <w:left w:color="000001" w:space="0" w:sz="2" w:val="double"/>
          <w:bottom w:color="000001" w:space="0" w:sz="4" w:val="single"/>
          <w:insideH w:color="000001" w:space="0" w:sz="4" w:val="single"/>
          <w:right w:val="nil"/>
          <w:insideV w:val="nil"/>
        </w:tblBorders>
        <w:tblCellMar>
          <w:top w:type="dxa" w:w="0"/>
          <w:left w:type="dxa" w:w="41"/>
          <w:bottom w:type="dxa" w:w="0"/>
          <w:right w:type="dxa" w:w="108"/>
        </w:tblCellMar>
      </w:tblPr>
      <w:tblGrid>
        <w:gridCol w:w="1166"/>
        <w:gridCol w:w="1621"/>
        <w:gridCol w:w="2543"/>
        <w:gridCol w:w="3113"/>
        <w:gridCol w:w="2026"/>
      </w:tblGrid>
      <w:tr>
        <w:trPr>
          <w:trHeight w:hRule="exact" w:val="252"/>
          <w:cantSplit w:val="true"/>
        </w:trPr>
        <w:tc>
          <w:tcPr>
            <w:tcW w:type="dxa" w:w="1166"/>
            <w:vMerge w:val="restart"/>
            <w:tcBorders>
              <w:top w:color="000001" w:space="0" w:sz="2" w:val="double"/>
              <w:left w:color="000001" w:space="0" w:sz="2" w:val="double"/>
              <w:bottom w:color="000001" w:space="0" w:sz="4" w:val="single"/>
              <w:right w:val="nil"/>
            </w:tcBorders>
            <w:shd w:fill="BFBFBF" w:val="clear"/>
            <w:tcMar>
              <w:left w:type="dxa" w:w="41"/>
            </w:tcMar>
            <w:vAlign w:val="center"/>
          </w:tcPr>
          <w:p>
            <w:pPr>
              <w:pStyle w:val="style0"/>
              <w:rPr>
                <w:rFonts w:cs="Times New Roman"/>
                <w:sz w:val="18"/>
                <w:szCs w:val="18"/>
              </w:rPr>
            </w:pPr>
            <w:r>
              <w:rPr>
                <w:rFonts w:cs="Times New Roman"/>
                <w:sz w:val="18"/>
                <w:szCs w:val="18"/>
              </w:rPr>
              <w:t>Заказ принял:</w:t>
            </w:r>
          </w:p>
        </w:tc>
        <w:tc>
          <w:tcPr>
            <w:tcW w:type="dxa" w:w="1621"/>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Подпись</w:t>
            </w:r>
          </w:p>
        </w:tc>
        <w:tc>
          <w:tcPr>
            <w:tcW w:type="dxa" w:w="254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Фамилия</w:t>
            </w:r>
          </w:p>
        </w:tc>
        <w:tc>
          <w:tcPr>
            <w:tcW w:type="dxa" w:w="311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Должность</w:t>
            </w:r>
          </w:p>
        </w:tc>
        <w:tc>
          <w:tcPr>
            <w:tcW w:type="dxa" w:w="2026"/>
            <w:tcBorders>
              <w:top w:color="000001" w:space="0" w:sz="2" w:val="double"/>
              <w:left w:color="000001" w:space="0" w:sz="4" w:val="single"/>
              <w:bottom w:color="000001" w:space="0" w:sz="4" w:val="single"/>
              <w:right w:color="000001" w:space="0" w:sz="2" w:val="double"/>
            </w:tcBorders>
            <w:shd w:fill="BFBFBF" w:val="clear"/>
            <w:tcMar>
              <w:left w:type="dxa" w:w="63"/>
            </w:tcMar>
            <w:vAlign w:val="center"/>
          </w:tcPr>
          <w:p>
            <w:pPr>
              <w:pStyle w:val="style0"/>
              <w:jc w:val="center"/>
              <w:rPr>
                <w:rFonts w:cs="Times New Roman"/>
                <w:sz w:val="18"/>
                <w:szCs w:val="18"/>
              </w:rPr>
            </w:pPr>
            <w:r>
              <w:rPr>
                <w:rFonts w:cs="Times New Roman"/>
                <w:sz w:val="18"/>
                <w:szCs w:val="18"/>
              </w:rPr>
              <w:t>Дата</w:t>
            </w:r>
          </w:p>
        </w:tc>
      </w:tr>
      <w:tr>
        <w:trPr>
          <w:cantSplit w:val="true"/>
        </w:trPr>
        <w:tc>
          <w:tcPr>
            <w:tcW w:type="dxa" w:w="1166"/>
            <w:vMerge w:val="continue"/>
            <w:tcBorders>
              <w:top w:color="000001" w:space="0" w:sz="2" w:val="double"/>
              <w:left w:color="000001" w:space="0" w:sz="2" w:val="double"/>
              <w:bottom w:color="000001" w:space="0" w:sz="4" w:val="single"/>
              <w:right w:val="nil"/>
            </w:tcBorders>
            <w:shd w:fill="E5E5E5" w:val="clear"/>
            <w:tcMar>
              <w:left w:type="dxa" w:w="41"/>
            </w:tcMar>
            <w:vAlign w:val="center"/>
          </w:tcPr>
          <w:p>
            <w:pPr>
              <w:pStyle w:val="style0"/>
              <w:rPr>
                <w:rFonts w:cs="Times New Roman"/>
                <w:sz w:val="18"/>
                <w:szCs w:val="18"/>
              </w:rPr>
            </w:pPr>
            <w:r>
              <w:rPr>
                <w:rFonts w:cs="Times New Roman"/>
                <w:sz w:val="18"/>
                <w:szCs w:val="18"/>
              </w:rPr>
            </w:r>
          </w:p>
        </w:tc>
        <w:tc>
          <w:tcPr>
            <w:tcW w:type="dxa" w:w="1621"/>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jc w:val="center"/>
              <w:rPr>
                <w:rFonts w:cs="Times New Roman"/>
                <w:sz w:val="18"/>
                <w:szCs w:val="18"/>
              </w:rPr>
            </w:pPr>
            <w:r>
              <w:rPr>
                <w:rFonts w:cs="Times New Roman"/>
                <w:sz w:val="18"/>
                <w:szCs w:val="18"/>
              </w:rPr>
            </w:r>
          </w:p>
        </w:tc>
        <w:tc>
          <w:tcPr>
            <w:tcW w:type="dxa" w:w="254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t>Захаров В.А.</w:t>
            </w:r>
          </w:p>
        </w:tc>
        <w:tc>
          <w:tcPr>
            <w:tcW w:type="dxa" w:w="311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b/>
                <w:bCs/>
                <w:i/>
                <w:iCs/>
                <w:sz w:val="18"/>
                <w:szCs w:val="18"/>
              </w:rPr>
            </w:pPr>
            <w:r>
              <w:rPr>
                <w:rFonts w:cs="Times New Roman"/>
                <w:b/>
                <w:bCs/>
                <w:i/>
                <w:iCs/>
                <w:sz w:val="18"/>
                <w:szCs w:val="18"/>
              </w:rPr>
            </w:r>
          </w:p>
        </w:tc>
        <w:tc>
          <w:tcPr>
            <w:tcW w:type="dxa" w:w="2026"/>
            <w:tcBorders>
              <w:top w:color="000001" w:space="0" w:sz="4" w:val="single"/>
              <w:left w:color="000001" w:space="0" w:sz="4" w:val="single"/>
              <w:bottom w:color="000001" w:space="0" w:sz="4" w:val="single"/>
              <w:right w:color="000001" w:space="0" w:sz="2" w:val="double"/>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r>
    </w:tbl>
    <w:p>
      <w:pPr>
        <w:pStyle w:val="style0"/>
        <w:spacing w:line="240" w:lineRule="atLeast"/>
        <w:rPr>
          <w:rFonts w:cs="Times New Roman"/>
          <w:sz w:val="18"/>
          <w:szCs w:val="18"/>
        </w:rPr>
      </w:pPr>
      <w:r>
        <w:rPr>
          <w:rFonts w:cs="Times New Roman"/>
          <w:sz w:val="18"/>
          <w:szCs w:val="18"/>
        </w:rPr>
      </w:r>
    </w:p>
    <w:p>
      <w:pPr>
        <w:pStyle w:val="style0"/>
        <w:tabs>
          <w:tab w:leader="none" w:pos="284" w:val="left"/>
        </w:tabs>
        <w:ind w:hanging="0" w:left="0" w:right="1"/>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72" w:val="left"/>
              </w:tabs>
              <w:ind w:hanging="0" w:left="-108" w:right="0"/>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ind w:hanging="0" w:left="-108" w:right="0"/>
              <w:rPr>
                <w:rFonts w:cs="Times New Roman"/>
                <w:sz w:val="18"/>
                <w:szCs w:val="18"/>
              </w:rPr>
            </w:pPr>
            <w:r>
              <w:rPr>
                <w:rFonts w:cs="Times New Roman"/>
                <w:sz w:val="18"/>
                <w:szCs w:val="18"/>
              </w:rPr>
              <w:t>______________________________ / С.В. Гомберг /</w:t>
            </w:r>
          </w:p>
          <w:p>
            <w:pPr>
              <w:pStyle w:val="style0"/>
              <w:ind w:hanging="0" w:left="-108" w:right="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tabs>
          <w:tab w:leader="none" w:pos="5220" w:val="left"/>
        </w:tabs>
        <w:rPr>
          <w:lang w:val="en-US"/>
        </w:rPr>
      </w:pPr>
      <w:r>
        <w:rPr>
          <w:lang w:val="en-US"/>
        </w:rPr>
      </w:r>
    </w:p>
    <w:p>
      <w:pPr>
        <w:pStyle w:val="style0"/>
        <w:suppressAutoHyphens w:val="false"/>
        <w:rPr>
          <w:lang w:val="en-US"/>
        </w:rPr>
      </w:pPr>
      <w:r>
        <w:rPr>
          <w:lang w:val="en-US"/>
        </w:rPr>
      </w:r>
    </w:p>
    <w:p>
      <w:pPr>
        <w:pStyle w:val="style180"/>
        <w:pageBreakBefore/>
        <w:ind w:hanging="0" w:left="0" w:right="282"/>
        <w:jc w:val="center"/>
        <w:rPr>
          <w:rFonts w:cs="Times New Roman"/>
          <w:b/>
          <w:sz w:val="18"/>
          <w:szCs w:val="18"/>
          <w:shd w:fill="FFFFFF" w:val="clear"/>
        </w:rPr>
      </w:pPr>
      <w:r>
        <w:rPr>
          <w:rFonts w:cs="Times New Roman"/>
          <w:b/>
          <w:sz w:val="18"/>
          <w:szCs w:val="18"/>
          <w:shd w:fill="FFFFFF" w:val="clear"/>
        </w:rPr>
        <w:t>ЗАКАЗ № ____/14/ВА от «___» __ 2014 г.</w:t>
      </w:r>
    </w:p>
    <w:p>
      <w:pPr>
        <w:pStyle w:val="style180"/>
        <w:ind w:hanging="0" w:left="0" w:right="282"/>
        <w:jc w:val="center"/>
        <w:rPr>
          <w:rFonts w:cs="Times New Roman"/>
          <w:b/>
          <w:sz w:val="18"/>
          <w:szCs w:val="18"/>
          <w:shd w:fill="FFFFFF" w:val="clear"/>
        </w:rPr>
      </w:pPr>
      <w:r>
        <w:rPr>
          <w:rFonts w:cs="Times New Roman"/>
          <w:b/>
          <w:sz w:val="18"/>
          <w:szCs w:val="18"/>
          <w:shd w:fill="FFFFFF" w:val="clear"/>
        </w:rPr>
        <w:t>к ДОГОВОРУ № ________________от «__»______20__г.</w:t>
      </w:r>
    </w:p>
    <w:p>
      <w:pPr>
        <w:pStyle w:val="style180"/>
        <w:ind w:hanging="0" w:left="0" w:right="282"/>
        <w:jc w:val="center"/>
        <w:rPr>
          <w:rFonts w:cs="Times New Roman"/>
          <w:b/>
          <w:sz w:val="18"/>
          <w:szCs w:val="18"/>
          <w:shd w:fill="FFFFFF" w:val="clear"/>
        </w:rPr>
      </w:pPr>
      <w:r>
        <w:rPr>
          <w:rFonts w:cs="Times New Roman"/>
          <w:b/>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местной телефонной связи с выделением дополнительного абонентского номера (услуга «Виртуальная АТС»)</w:t>
      </w:r>
    </w:p>
    <w:p>
      <w:pPr>
        <w:pStyle w:val="style0"/>
        <w:jc w:val="both"/>
        <w:rPr>
          <w:rFonts w:cs="Times New Roman"/>
          <w:b/>
          <w:sz w:val="18"/>
          <w:szCs w:val="18"/>
          <w:shd w:fill="FFFFFF" w:val="clear"/>
        </w:rPr>
      </w:pPr>
      <w:r>
        <w:rPr>
          <w:rFonts w:cs="Times New Roman"/>
          <w:b/>
          <w:sz w:val="18"/>
          <w:szCs w:val="18"/>
          <w:shd w:fill="FFFFFF" w:val="clear"/>
        </w:rPr>
        <w:t xml:space="preserve"> </w:t>
      </w:r>
    </w:p>
    <w:p>
      <w:pPr>
        <w:pStyle w:val="style0"/>
        <w:numPr>
          <w:ilvl w:val="0"/>
          <w:numId w:val="11"/>
        </w:numPr>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ОПЕРАТОР СВЯЗИ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 указанных в Приложениях к настоящему Заказу, для автоматического обслуживания входящих вызовов.</w:t>
      </w:r>
    </w:p>
    <w:p>
      <w:pPr>
        <w:pStyle w:val="style0"/>
        <w:numPr>
          <w:ilvl w:val="0"/>
          <w:numId w:val="11"/>
        </w:numPr>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Организация функционирования Услуги заключается в выделении дополнительного абонентского номера (далее «Городской номер»), первоначальной настройке выделенной АБОНЕНТУ Части Программно-Аппаратного Комплекса (далее «ПАК») ОПЕРАТОРА СВЯЗИ, предназначенного для оказания АБОНЕНТАМ услуги «Виртуальная АТС», а именно: установка персонифицированного звукового приветствия, настройка правил автоматического обслуживания входящих вызовов, поступающих на Городской номер. Оплата АБОНЕНТОМ услуг по организации доступа происходит авансовым платежом в течение 5 рабочих дней с даты выставления счета. </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АБОНЕНТУ по его заявлению могут быть включены Дополнительные Виды Обслуживания (далее - «ДВО») из списка предоставляемых ОПЕРАТОРОМ СВЯЗИ при наличии технической возможности их включения для выбранных АБОНЕНТОМ параметров настройки ПАК.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 Оплата АБОНЕНТОМ услуг по включению ДВО происходит авансовым платежом в течение 5 рабочих дней с даты выставления счета. Основные ДВО:</w:t>
      </w:r>
    </w:p>
    <w:p>
      <w:pPr>
        <w:pStyle w:val="style0"/>
        <w:tabs>
          <w:tab w:leader="none" w:pos="681" w:val="left"/>
        </w:tabs>
        <w:spacing w:after="57" w:before="0"/>
        <w:ind w:hanging="0" w:left="726" w:right="0"/>
        <w:contextualSpacing w:val="false"/>
        <w:jc w:val="both"/>
        <w:rPr>
          <w:rFonts w:cs="Times New Roman"/>
          <w:sz w:val="18"/>
          <w:szCs w:val="18"/>
          <w:shd w:fill="FFFFFF" w:val="clear"/>
        </w:rPr>
      </w:pPr>
      <w:r>
        <w:rPr>
          <w:rFonts w:cs="Times New Roman"/>
          <w:sz w:val="18"/>
          <w:szCs w:val="18"/>
          <w:u w:val="single"/>
          <w:shd w:fill="FFFFFF" w:val="clear"/>
        </w:rPr>
        <w:t>Переадресация вызова на другой номер телефона</w:t>
      </w:r>
      <w:r>
        <w:rPr>
          <w:rFonts w:cs="Times New Roman"/>
          <w:sz w:val="18"/>
          <w:szCs w:val="18"/>
          <w:shd w:fill="FFFFFF" w:val="clear"/>
        </w:rPr>
        <w:t xml:space="preserve"> – настройки ПАК, позволяющие осуществлять безусловное перенаправление вызова, поступившего на Городской номер, на номер фиксированной или подвижной связи, указанный АБОНЕНТОМ, при подключении ДВО. Услуга переадресации предоставляется АБОНЕНТУ на основе тарификации, указанной в Приложении к Заказу, и в зависимости от направления переадресации предоставляется оператором местной, внутризоновой, междугородной и международной связи. Изменение номера для безусловной переадресации производится в течение 1 рабочего дня с момента получения ОПЕРАТОРОМ СВЯЗИ письменного заявления, подписанного уполномоченным лицом АБОНЕНТА.</w:t>
      </w:r>
    </w:p>
    <w:p>
      <w:pPr>
        <w:pStyle w:val="style0"/>
        <w:tabs>
          <w:tab w:leader="none" w:pos="681" w:val="left"/>
        </w:tabs>
        <w:spacing w:after="57" w:before="0"/>
        <w:ind w:hanging="0" w:left="726" w:right="0"/>
        <w:contextualSpacing w:val="false"/>
        <w:jc w:val="both"/>
        <w:rPr>
          <w:rFonts w:cs="Times New Roman"/>
          <w:sz w:val="18"/>
          <w:szCs w:val="18"/>
          <w:shd w:fill="FFFFFF" w:val="clear"/>
        </w:rPr>
      </w:pPr>
      <w:r>
        <w:rPr>
          <w:rFonts w:cs="Times New Roman"/>
          <w:sz w:val="18"/>
          <w:szCs w:val="18"/>
          <w:u w:val="single"/>
          <w:shd w:fill="FFFFFF" w:val="clear"/>
        </w:rPr>
        <w:t>SIP-регистрация</w:t>
      </w:r>
      <w:r>
        <w:rPr>
          <w:rFonts w:cs="Times New Roman"/>
          <w:sz w:val="18"/>
          <w:szCs w:val="18"/>
          <w:shd w:fill="FFFFFF" w:val="clear"/>
        </w:rPr>
        <w:t xml:space="preserve"> – настройки ПАК, заключающиеся в регистрации в ПАК SIP-устройства АБОНЕНТА, выделении SIP-устройству короткого внутреннего номера для возможности переадресации на SIP-устройство вызовов, поступающих на Городской номер, а также вызовов между </w:t>
      </w:r>
      <w:r>
        <w:rPr>
          <w:rFonts w:cs="Times New Roman"/>
          <w:sz w:val="18"/>
          <w:szCs w:val="18"/>
          <w:shd w:fill="FFFFFF" w:val="clear"/>
          <w:lang w:val="en-US"/>
        </w:rPr>
        <w:t>SIP</w:t>
      </w:r>
      <w:r>
        <w:rPr>
          <w:rFonts w:cs="Times New Roman"/>
          <w:sz w:val="18"/>
          <w:szCs w:val="18"/>
          <w:shd w:fill="FFFFFF" w:val="clear"/>
        </w:rPr>
        <w:t xml:space="preserve">-устройствами, зарегистрированными за одним АБОНЕНТОМ в ПАК ОПЕРАТОРА СВЯЗИ. Под SIP-устройством понимается любое программно-аппаратное устройство (USB-телефон, телефонный адаптер, голосовой шлюз), поддерживающее протокол SIP и кодек G729 для передачи голосовой информации. Авторизация </w:t>
      </w:r>
      <w:r>
        <w:rPr>
          <w:rFonts w:cs="Times New Roman"/>
          <w:sz w:val="18"/>
          <w:szCs w:val="18"/>
          <w:shd w:fill="FFFFFF" w:val="clear"/>
          <w:lang w:val="en-US"/>
        </w:rPr>
        <w:t>SIP</w:t>
      </w:r>
      <w:r>
        <w:rPr>
          <w:rFonts w:cs="Times New Roman"/>
          <w:sz w:val="18"/>
          <w:szCs w:val="18"/>
          <w:shd w:fill="FFFFFF" w:val="clear"/>
        </w:rPr>
        <w:t xml:space="preserve">-устройства на ПАК ОПЕРАТОРА СВЯЗИ происходит при наличии у Абонента статического IP-адреса с использованием логина и пароля, предоставляемого АБОНЕНТУ на каждое SIP-устройство.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Согласием Абонента на  Включение данного ДВО является получение логина и пароля для доступа к Услуге. Абонентская плата за данный ДВО включает в себя поддержание </w:t>
      </w:r>
      <w:r>
        <w:rPr>
          <w:rFonts w:cs="Times New Roman"/>
          <w:sz w:val="18"/>
          <w:szCs w:val="18"/>
          <w:shd w:fill="FFFFFF" w:val="clear"/>
          <w:lang w:val="en-US"/>
        </w:rPr>
        <w:t>SIP</w:t>
      </w:r>
      <w:r>
        <w:rPr>
          <w:rFonts w:cs="Times New Roman"/>
          <w:sz w:val="18"/>
          <w:szCs w:val="18"/>
          <w:shd w:fill="FFFFFF" w:val="clear"/>
        </w:rPr>
        <w:t>-регистрации в ПАК для маршрутизации входящих на Городской номер вызовов на SIP-устройство и вызовов между SIP-устройствами АБОНЕНТА, но не включает поддержание функционирования самого SIP-устройства АБОНЕНТА, если Приложением к Заказу не оговорено другое. Количество одновременных соединений с SIP-устройством с использованием одного логина принимается равным одному.</w:t>
      </w:r>
    </w:p>
    <w:p>
      <w:pPr>
        <w:pStyle w:val="style0"/>
        <w:tabs>
          <w:tab w:leader="none" w:pos="681" w:val="left"/>
        </w:tabs>
        <w:spacing w:after="57" w:before="0"/>
        <w:ind w:hanging="0" w:left="726" w:right="0"/>
        <w:contextualSpacing w:val="false"/>
        <w:jc w:val="both"/>
        <w:rPr>
          <w:rFonts w:cs="Times New Roman"/>
          <w:sz w:val="18"/>
          <w:szCs w:val="18"/>
          <w:shd w:fill="FFFFFF" w:val="clear"/>
        </w:rPr>
      </w:pPr>
      <w:r>
        <w:rPr>
          <w:rFonts w:cs="Times New Roman"/>
          <w:sz w:val="18"/>
          <w:szCs w:val="18"/>
          <w:u w:val="single"/>
          <w:shd w:fill="FFFFFF" w:val="clear"/>
        </w:rPr>
        <w:t>Интерактивное голосовое меню (IVR)</w:t>
      </w:r>
      <w:r>
        <w:rPr>
          <w:rFonts w:cs="Times New Roman"/>
          <w:sz w:val="18"/>
          <w:szCs w:val="18"/>
          <w:shd w:fill="FFFFFF" w:val="clear"/>
        </w:rPr>
        <w:t xml:space="preserve"> – настройки ПАК, позволяющие осуществить управление поступающими на Городской номер вызовами в интерактивном режиме путем набора клавиш, предлагаемых голосовым меню, и последующей переадресацией на стационарный телефон, SIP-устройство, голосовой сервер для прослушивания рекламной информации АБОНЕНТА, а также другие ДВО («Виртуальный факс», «Голосовая почта»). Интерактивное голосовое меню может быть одноуровневым, двухуровневым и многоуровневым. Первоначальные настройки ПАК производятся при включении ДВО на основе утвержденного АБОНЕНТОМ технического задания. Запись отдельных элементов голосового меню может быть произведена по согласованию сторон АБОНЕНТОМ или ОПЕРАТОРОМ СВЯЗИ, при этом формат голосовых файлов определяется ОПЕРАТОРОМ СВЯЗИ.</w:t>
      </w:r>
    </w:p>
    <w:p>
      <w:pPr>
        <w:pStyle w:val="style0"/>
        <w:tabs>
          <w:tab w:leader="none" w:pos="681" w:val="left"/>
        </w:tabs>
        <w:spacing w:after="57" w:before="0"/>
        <w:ind w:hanging="0" w:left="726" w:right="0"/>
        <w:contextualSpacing w:val="false"/>
        <w:jc w:val="both"/>
        <w:rPr>
          <w:rFonts w:cs="Times New Roman"/>
          <w:sz w:val="18"/>
          <w:szCs w:val="18"/>
          <w:shd w:fill="FFFFFF" w:val="clear"/>
        </w:rPr>
      </w:pPr>
      <w:r>
        <w:rPr>
          <w:rFonts w:cs="Times New Roman"/>
          <w:sz w:val="18"/>
          <w:szCs w:val="18"/>
          <w:u w:val="single"/>
          <w:shd w:fill="FFFFFF" w:val="clear"/>
        </w:rPr>
        <w:t xml:space="preserve">Виртуальный факс </w:t>
      </w:r>
      <w:r>
        <w:rPr>
          <w:rFonts w:cs="Times New Roman"/>
          <w:sz w:val="18"/>
          <w:szCs w:val="18"/>
          <w:shd w:fill="FFFFFF" w:val="clear"/>
        </w:rPr>
        <w:t xml:space="preserve">– настройки ПАК, позволяющие перенаправлять вызов, поступающий на Городской номер,  на специальный сервер для приемки факсимильных сообщений и последующей их пересылки в оцифрованном виде  на адрес электронной почты АБОНЕНТА, указанный при включении ДВО. Количество одновременных входящих соединений для приемки факсимильных сообщений равно одному. </w:t>
      </w:r>
    </w:p>
    <w:p>
      <w:pPr>
        <w:pStyle w:val="style0"/>
        <w:tabs>
          <w:tab w:leader="none" w:pos="681" w:val="left"/>
        </w:tabs>
        <w:spacing w:after="57" w:before="0"/>
        <w:ind w:hanging="0" w:left="726" w:right="0"/>
        <w:contextualSpacing w:val="false"/>
        <w:jc w:val="both"/>
        <w:rPr>
          <w:rFonts w:cs="Times New Roman"/>
          <w:sz w:val="18"/>
          <w:szCs w:val="18"/>
          <w:shd w:fill="FFFFFF" w:val="clear"/>
        </w:rPr>
      </w:pPr>
      <w:r>
        <w:rPr>
          <w:rFonts w:cs="Times New Roman"/>
          <w:sz w:val="18"/>
          <w:szCs w:val="18"/>
          <w:u w:val="single"/>
          <w:shd w:fill="FFFFFF" w:val="clear"/>
        </w:rPr>
        <w:t xml:space="preserve">Голосовая почта </w:t>
      </w:r>
      <w:r>
        <w:rPr>
          <w:rFonts w:cs="Times New Roman"/>
          <w:sz w:val="18"/>
          <w:szCs w:val="18"/>
          <w:shd w:fill="FFFFFF" w:val="clear"/>
        </w:rPr>
        <w:t xml:space="preserve">– настройки ПАК, позволяющие перенаправлять вызов, поступающий на Городской номер и/или короткий номер SIP-устройства,  на специальный сервер для приемки голосовых сообщений и их хранения на сервере в течение 10 суток после получения. При этом сотрудник АБОНЕНТА имеет возможность прослушивания оставленных для него голосовых сообщений при помощи набора Городского номера и персонального кода доступа к своему ящику голосовой почты. </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Срок организации функционирования Услуги/включения ДВО: не позднее 10 рабочих дней с момента поступления единовременного платежа за выделение дополнительного абонентского номера и получения ОПЕРАТОРОМ СВЯЗИ подписанного АБОНЕНТОМ технического задания по первоначальной настройке ПАК или включения ДВО.</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Последующие изменения настроек ПАК или параметров ДВО производятся ОПЕРАТОРОМ СВЯЗИ при наличии технической возможности их реализации на платной основе в согласованные с АБОНЕНТОМ сроки, но не ранее 3 рабочих дней с момента получения ОПЕРАТОРОМ СВЯЗИ подписанного АБОНЕНТОМ технического задания.</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 xml:space="preserve">Количество одновременных входящих соединений с дополнительным абонентским номером указывается в Приложениях к Заказу. </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При обеспечении АБОНЕНТУ возможности самостоятельного управления Услугой и/или ДВО и изменения настроек ПАК, АБОНЕНТ несет полную ответственность за работоспособность ПАК и недостатки в его работе, вызванные действиями АБОНЕНТА.</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 xml:space="preserve">По завершении работ по организации доступа к Услуге (в т.ч. изменение настроек ПАК, параметров ДВО)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 </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style0"/>
        <w:numPr>
          <w:ilvl w:val="0"/>
          <w:numId w:val="11"/>
        </w:numPr>
        <w:tabs>
          <w:tab w:leader="none" w:pos="472" w:val="left"/>
        </w:tabs>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style0"/>
        <w:numPr>
          <w:ilvl w:val="0"/>
          <w:numId w:val="11"/>
        </w:numPr>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style0"/>
        <w:numPr>
          <w:ilvl w:val="0"/>
          <w:numId w:val="11"/>
        </w:numPr>
        <w:spacing w:after="57" w:before="0"/>
        <w:ind w:hanging="357" w:left="726" w:right="0"/>
        <w:contextualSpacing w:val="false"/>
        <w:jc w:val="both"/>
        <w:rPr>
          <w:rFonts w:cs="Times New Roman"/>
          <w:sz w:val="18"/>
          <w:szCs w:val="18"/>
        </w:rPr>
      </w:pPr>
      <w:r>
        <w:rPr>
          <w:rFonts w:cs="Times New Roman"/>
          <w:sz w:val="18"/>
          <w:szCs w:val="18"/>
        </w:rPr>
        <w:t>АБОНЕНТ обязуется не использовать предоставленное оборудование и услуги для проведения лотерей, голосования и других интерактивных технологий, а также оказания услуг связи без согласования с ОПЕРАТОРОМ СВЯЗИ.</w:t>
      </w:r>
    </w:p>
    <w:p>
      <w:pPr>
        <w:pStyle w:val="style0"/>
        <w:numPr>
          <w:ilvl w:val="0"/>
          <w:numId w:val="11"/>
        </w:numPr>
        <w:spacing w:after="57" w:before="0"/>
        <w:ind w:hanging="357" w:left="726" w:right="0"/>
        <w:contextualSpacing w:val="false"/>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style0"/>
        <w:numPr>
          <w:ilvl w:val="0"/>
          <w:numId w:val="11"/>
        </w:numPr>
        <w:spacing w:after="57" w:before="0"/>
        <w:ind w:hanging="357" w:left="726" w:right="0"/>
        <w:contextualSpacing w:val="false"/>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style0"/>
        <w:ind w:hanging="0" w:left="397" w:right="0"/>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____________________________________________</w:t>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______________________________ / С.В.Гомберг /</w:t>
            </w:r>
          </w:p>
          <w:p>
            <w:pPr>
              <w:pStyle w:val="style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/_________________________/</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rPr>
          <w:rFonts w:cs="Times New Roman"/>
          <w:sz w:val="18"/>
          <w:szCs w:val="18"/>
        </w:rPr>
      </w:pPr>
      <w:r>
        <w:rPr>
          <w:rFonts w:cs="Times New Roman"/>
          <w:sz w:val="18"/>
          <w:szCs w:val="18"/>
        </w:rPr>
      </w:r>
    </w:p>
    <w:p>
      <w:pPr>
        <w:pStyle w:val="style0"/>
        <w:tabs>
          <w:tab w:leader="none" w:pos="5220" w:val="left"/>
        </w:tabs>
        <w:jc w:val="right"/>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pPr>
        <w:pStyle w:val="style180"/>
        <w:ind w:hanging="0" w:left="0" w:right="282"/>
        <w:rPr>
          <w:rFonts w:cs="Times New Roman"/>
          <w:sz w:val="18"/>
          <w:szCs w:val="18"/>
        </w:rPr>
      </w:pPr>
      <w:r>
        <w:rPr>
          <w:rFonts w:cs="Times New Roman"/>
          <w:sz w:val="18"/>
          <w:szCs w:val="18"/>
        </w:rPr>
        <w:tab/>
        <w:tab/>
        <w:tab/>
        <w:tab/>
        <w:tab/>
        <w:tab/>
        <w:tab/>
      </w:r>
    </w:p>
    <w:p>
      <w:pPr>
        <w:pStyle w:val="style180"/>
        <w:ind w:firstLine="708" w:left="4248" w:right="282"/>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/__________________/</w:t>
      </w:r>
    </w:p>
    <w:p>
      <w:pPr>
        <w:pStyle w:val="style180"/>
        <w:ind w:firstLine="708" w:left="4248" w:right="282"/>
        <w:rPr>
          <w:rFonts w:cs="Times New Roman"/>
          <w:sz w:val="18"/>
          <w:szCs w:val="18"/>
        </w:rPr>
      </w:pPr>
      <w:r>
        <w:rPr>
          <w:rFonts w:cs="Times New Roman"/>
          <w:sz w:val="18"/>
          <w:szCs w:val="18"/>
        </w:rPr>
        <w:t xml:space="preserve">                             </w:t>
      </w:r>
      <w:r>
        <w:rPr>
          <w:rFonts w:cs="Times New Roman"/>
          <w:sz w:val="18"/>
          <w:szCs w:val="18"/>
        </w:rPr>
        <w:t>м.п.</w:t>
      </w:r>
    </w:p>
    <w:p>
      <w:pPr>
        <w:pStyle w:val="style180"/>
        <w:ind w:hanging="0" w:left="0" w:right="282"/>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pPr>
        <w:pStyle w:val="style180"/>
        <w:ind w:hanging="0" w:left="0" w:right="0"/>
        <w:rPr>
          <w:rFonts w:cs="Times New Roman"/>
          <w:sz w:val="18"/>
          <w:szCs w:val="18"/>
        </w:rPr>
      </w:pPr>
      <w:r>
        <w:rPr>
          <w:rFonts w:cs="Times New Roman"/>
          <w:sz w:val="18"/>
          <w:szCs w:val="18"/>
        </w:rPr>
        <w:tab/>
        <w:tab/>
        <w:tab/>
        <w:tab/>
        <w:tab/>
        <w:tab/>
        <w:tab/>
      </w:r>
    </w:p>
    <w:p>
      <w:pPr>
        <w:pStyle w:val="style180"/>
        <w:ind w:firstLine="708" w:left="4248" w:right="0"/>
        <w:rPr>
          <w:rFonts w:cs="Times New Roman"/>
          <w:color w:val="000000"/>
          <w:sz w:val="18"/>
          <w:szCs w:val="18"/>
        </w:rPr>
      </w:pPr>
      <w:r>
        <w:rPr>
          <w:rFonts w:cs="Times New Roman"/>
          <w:color w:val="000000"/>
          <w:sz w:val="18"/>
          <w:szCs w:val="18"/>
        </w:rPr>
        <w:t>АБОНЕНТ:  ____________________ /__________________/</w:t>
      </w:r>
    </w:p>
    <w:p>
      <w:pPr>
        <w:pStyle w:val="style180"/>
        <w:ind w:firstLine="708" w:left="4248" w:right="0"/>
        <w:rPr>
          <w:rFonts w:cs="Times New Roman"/>
          <w:color w:val="000000"/>
          <w:sz w:val="18"/>
          <w:szCs w:val="18"/>
        </w:rPr>
      </w:pPr>
      <w:r>
        <w:rPr>
          <w:rFonts w:cs="Times New Roman"/>
          <w:color w:val="000000"/>
          <w:sz w:val="18"/>
          <w:szCs w:val="18"/>
        </w:rPr>
        <w:t xml:space="preserve">                                      </w:t>
      </w:r>
      <w:r>
        <w:rPr>
          <w:rFonts w:cs="Times New Roman"/>
          <w:color w:val="000000"/>
          <w:sz w:val="18"/>
          <w:szCs w:val="18"/>
        </w:rPr>
        <w:t>м.п.</w:t>
      </w:r>
    </w:p>
    <w:p>
      <w:pPr>
        <w:pStyle w:val="style0"/>
        <w:pageBreakBefore/>
        <w:jc w:val="center"/>
        <w:rPr>
          <w:rFonts w:cs="Times New Roman"/>
          <w:b/>
          <w:bCs/>
          <w:color w:val="000000"/>
          <w:sz w:val="18"/>
          <w:szCs w:val="18"/>
        </w:rPr>
      </w:pPr>
      <w:r>
        <w:rPr>
          <w:rFonts w:cs="Times New Roman"/>
          <w:b/>
          <w:bCs/>
          <w:color w:val="000000"/>
          <w:sz w:val="18"/>
          <w:szCs w:val="18"/>
        </w:rPr>
        <w:t>ПРИЛОЖЕНИЕ №1 к ЗАКАЗУ № __________/ВА</w:t>
      </w:r>
    </w:p>
    <w:p>
      <w:pPr>
        <w:pStyle w:val="style0"/>
        <w:jc w:val="center"/>
        <w:rPr>
          <w:rFonts w:cs="Times New Roman"/>
          <w:b/>
          <w:bCs/>
          <w:color w:val="000000"/>
          <w:sz w:val="18"/>
          <w:szCs w:val="18"/>
        </w:rPr>
      </w:pPr>
      <w:r>
        <w:rPr>
          <w:rFonts w:cs="Times New Roman"/>
          <w:b/>
          <w:bCs/>
          <w:color w:val="000000"/>
          <w:sz w:val="18"/>
          <w:szCs w:val="18"/>
        </w:rPr>
      </w:r>
    </w:p>
    <w:p>
      <w:pPr>
        <w:pStyle w:val="style0"/>
        <w:jc w:val="center"/>
        <w:rPr>
          <w:rFonts w:cs="Times New Roman"/>
          <w:b/>
          <w:bCs/>
          <w:color w:val="000000"/>
          <w:sz w:val="18"/>
          <w:szCs w:val="18"/>
        </w:rPr>
      </w:pPr>
      <w:r>
        <w:rPr>
          <w:rFonts w:cs="Times New Roman"/>
          <w:b/>
          <w:bCs/>
          <w:color w:val="000000"/>
          <w:sz w:val="18"/>
          <w:szCs w:val="18"/>
        </w:rPr>
        <w:t xml:space="preserve"> </w:t>
      </w:r>
    </w:p>
    <w:p>
      <w:pPr>
        <w:pStyle w:val="style0"/>
        <w:rPr>
          <w:rFonts w:cs="Times New Roman"/>
          <w:b/>
          <w:bCs/>
          <w:caps/>
          <w:color w:val="000000"/>
          <w:sz w:val="18"/>
          <w:szCs w:val="18"/>
        </w:rPr>
      </w:pPr>
      <w:r>
        <w:rPr>
          <w:rFonts w:cs="Times New Roman"/>
          <w:b/>
          <w:bCs/>
          <w:caps/>
          <w:color w:val="000000"/>
          <w:sz w:val="18"/>
          <w:szCs w:val="18"/>
        </w:rPr>
        <w:t>1. Приложение:</w:t>
      </w:r>
    </w:p>
    <w:p>
      <w:pPr>
        <w:pStyle w:val="style0"/>
        <w:ind w:hanging="0" w:left="720" w:right="0"/>
        <w:rPr>
          <w:rFonts w:cs="Times New Roman"/>
          <w:b/>
          <w:bCs/>
          <w:caps/>
          <w:sz w:val="18"/>
          <w:szCs w:val="18"/>
        </w:rPr>
      </w:pPr>
      <w:r>
        <w:rPr>
          <w:rFonts w:cs="Times New Roman"/>
          <w:b/>
          <w:bCs/>
          <w:cap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8"/>
        <w:gridCol w:w="2318"/>
        <w:gridCol w:w="3342"/>
        <w:gridCol w:w="2559"/>
      </w:tblGrid>
      <w:tr>
        <w:trPr>
          <w:cantSplit w:val="false"/>
        </w:trPr>
        <w:tc>
          <w:tcPr>
            <w:tcW w:type="dxa" w:w="2228"/>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Дата составления:</w:t>
            </w:r>
          </w:p>
        </w:tc>
        <w:tc>
          <w:tcPr>
            <w:tcW w:type="dxa" w:w="2318"/>
            <w:tcBorders>
              <w:top w:color="00000A" w:space="0" w:sz="4" w:val="doub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Отменяет действие приложения</w:t>
            </w:r>
          </w:p>
        </w:tc>
        <w:tc>
          <w:tcPr>
            <w:tcW w:type="dxa" w:w="2559"/>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type="dxa" w:w="2228"/>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 xml:space="preserve">Вступает в действие с </w:t>
            </w:r>
          </w:p>
        </w:tc>
        <w:tc>
          <w:tcPr>
            <w:tcW w:type="dxa" w:w="2318"/>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Действует до</w:t>
            </w:r>
          </w:p>
        </w:tc>
        <w:tc>
          <w:tcPr>
            <w:tcW w:type="dxa" w:w="2559"/>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0"/>
        <w:rPr>
          <w:rFonts w:cs="Times New Roman"/>
          <w:sz w:val="18"/>
          <w:szCs w:val="18"/>
        </w:rPr>
      </w:pPr>
      <w:r>
        <w:rPr>
          <w:rFonts w:cs="Times New Roman"/>
          <w:sz w:val="18"/>
          <w:szCs w:val="18"/>
        </w:rPr>
      </w:r>
    </w:p>
    <w:p>
      <w:pPr>
        <w:pStyle w:val="style0"/>
        <w:rPr>
          <w:rFonts w:cs="Times New Roman"/>
          <w:vanish/>
          <w:sz w:val="18"/>
          <w:szCs w:val="18"/>
        </w:rPr>
      </w:pPr>
      <w:r>
        <w:rPr>
          <w:rFonts w:cs="Times New Roman"/>
          <w:vanish/>
          <w:sz w:val="18"/>
          <w:szCs w:val="18"/>
        </w:rPr>
      </w:r>
    </w:p>
    <w:p>
      <w:pPr>
        <w:pStyle w:val="style0"/>
        <w:rPr>
          <w:rFonts w:cs="Times New Roman"/>
          <w:b/>
          <w:bCs/>
          <w:caps/>
          <w:color w:val="000000"/>
          <w:sz w:val="18"/>
          <w:szCs w:val="18"/>
        </w:rPr>
      </w:pPr>
      <w:r>
        <w:rPr>
          <w:rFonts w:cs="Times New Roman"/>
          <w:b/>
          <w:bCs/>
          <w:caps/>
          <w:color w:val="000000"/>
          <w:sz w:val="18"/>
          <w:szCs w:val="18"/>
        </w:rPr>
        <w:t>2. Данные об АБОНЕНТе*:</w:t>
      </w:r>
    </w:p>
    <w:p>
      <w:pPr>
        <w:pStyle w:val="style0"/>
        <w:rPr>
          <w:rFonts w:cs="Times New Roman"/>
          <w:b/>
          <w:bCs/>
          <w:caps/>
          <w:color w:val="000000"/>
          <w:sz w:val="18"/>
          <w:szCs w:val="18"/>
        </w:rPr>
      </w:pPr>
      <w:r>
        <w:rPr>
          <w:rFonts w:cs="Times New Roman"/>
          <w:b/>
          <w:bCs/>
          <w:caps/>
          <w:color w:val="000000"/>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089"/>
        <w:gridCol w:w="8357"/>
      </w:tblGrid>
      <w:tr>
        <w:trPr>
          <w:cantSplit w:val="false"/>
        </w:trPr>
        <w:tc>
          <w:tcPr>
            <w:tcW w:type="dxa" w:w="2089"/>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 xml:space="preserve">Официальное наименование АБОНЕНТА </w:t>
            </w:r>
          </w:p>
        </w:tc>
        <w:tc>
          <w:tcPr>
            <w:tcW w:type="dxa" w:w="8357"/>
            <w:gridSpan w:val="4"/>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Ф.И.О. контактного лица, должность</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 xml:space="preserve">Контактный телефон, </w:t>
            </w:r>
          </w:p>
          <w:p>
            <w:pPr>
              <w:pStyle w:val="style0"/>
              <w:rPr>
                <w:rFonts w:cs="Times New Roman"/>
                <w:sz w:val="18"/>
                <w:szCs w:val="18"/>
              </w:rPr>
            </w:pPr>
            <w:r>
              <w:rPr>
                <w:rFonts w:cs="Times New Roman"/>
                <w:sz w:val="18"/>
                <w:szCs w:val="18"/>
              </w:rPr>
              <w:t>e-mail</w:t>
            </w:r>
          </w:p>
        </w:tc>
        <w:tc>
          <w:tcPr>
            <w:tcW w:type="dxa" w:w="4179"/>
            <w:gridSpan w:val="2"/>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60"/>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для почтовых отправлений*</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Индекс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Cs/>
                <w:sz w:val="18"/>
                <w:szCs w:val="18"/>
              </w:rPr>
            </w:pPr>
            <w:r>
              <w:rPr>
                <w:rFonts w:cs="Times New Roman"/>
                <w:bCs/>
                <w:sz w:val="18"/>
                <w:szCs w:val="18"/>
              </w:rPr>
              <w:t>Адрес фактического местонахождения</w:t>
            </w:r>
          </w:p>
        </w:tc>
        <w:tc>
          <w:tcPr>
            <w:tcW w:type="dxa" w:w="2090"/>
            <w:vMerge w:val="restart"/>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Город</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Улица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Дом</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Корпус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Офис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Аб/ящик</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Квартира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Способ доставки счета:*</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отдел (получение лично)</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Телефон*</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Почтовый адрес</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lang w:val="en-US"/>
              </w:rPr>
            </w:pPr>
            <w:r>
              <w:rPr>
                <w:rFonts w:cs="Times New Roman"/>
                <w:sz w:val="18"/>
                <w:szCs w:val="18"/>
                <w:lang w:val="en-US"/>
              </w:rPr>
              <w:t>V</w:t>
            </w:r>
          </w:p>
        </w:tc>
      </w:tr>
      <w:tr>
        <w:trPr>
          <w:cantSplit w:val="false"/>
        </w:trPr>
        <w:tc>
          <w:tcPr>
            <w:tcW w:type="dxa" w:w="2089"/>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sz w:val="18"/>
                <w:szCs w:val="18"/>
              </w:rPr>
            </w:pPr>
            <w:r>
              <w:rPr>
                <w:rFonts w:cs="Times New Roman"/>
                <w:sz w:val="18"/>
                <w:szCs w:val="18"/>
              </w:rPr>
              <w:t>Факс*</w:t>
            </w:r>
          </w:p>
        </w:tc>
        <w:tc>
          <w:tcPr>
            <w:tcW w:type="dxa" w:w="2089"/>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ящик в ОПС</w:t>
            </w:r>
          </w:p>
        </w:tc>
        <w:tc>
          <w:tcPr>
            <w:tcW w:type="dxa" w:w="209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198"/>
        <w:spacing w:after="0" w:before="0" w:line="100" w:lineRule="atLeast"/>
        <w:ind w:hanging="0" w:left="0" w:right="0"/>
        <w:contextualSpacing w:val="false"/>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3. ДАННЫЕ ОБ УСЛУГЕ:</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792"/>
        <w:gridCol w:w="1412"/>
        <w:gridCol w:w="2126"/>
        <w:gridCol w:w="2407"/>
        <w:gridCol w:w="1719"/>
      </w:tblGrid>
      <w:tr>
        <w:trPr>
          <w:cantSplit w:val="false"/>
        </w:trPr>
        <w:tc>
          <w:tcPr>
            <w:tcW w:type="dxa" w:w="2792"/>
            <w:tcBorders>
              <w:top w:color="00000A" w:space="0" w:sz="4" w:val="doub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Устройство (</w:t>
            </w:r>
            <w:r>
              <w:rPr>
                <w:rFonts w:cs="Times New Roman"/>
                <w:b/>
                <w:bCs/>
                <w:i/>
                <w:sz w:val="18"/>
                <w:szCs w:val="18"/>
              </w:rPr>
              <w:t>номер</w:t>
            </w:r>
            <w:r>
              <w:rPr>
                <w:rFonts w:cs="Times New Roman"/>
                <w:b/>
                <w:bCs/>
                <w:sz w:val="18"/>
                <w:szCs w:val="18"/>
              </w:rPr>
              <w:t>)</w:t>
            </w:r>
          </w:p>
        </w:tc>
        <w:tc>
          <w:tcPr>
            <w:tcW w:type="dxa" w:w="1412"/>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Схема включения</w:t>
            </w:r>
          </w:p>
        </w:tc>
        <w:tc>
          <w:tcPr>
            <w:tcW w:type="dxa" w:w="2126"/>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ind w:hanging="0" w:left="-78" w:right="-108"/>
              <w:jc w:val="center"/>
              <w:rPr>
                <w:rFonts w:cs="Times New Roman"/>
                <w:b/>
                <w:sz w:val="18"/>
                <w:szCs w:val="18"/>
              </w:rPr>
            </w:pPr>
            <w:r>
              <w:rPr>
                <w:rFonts w:cs="Times New Roman"/>
                <w:b/>
                <w:sz w:val="18"/>
                <w:szCs w:val="18"/>
              </w:rPr>
              <w:t>Вид соединения</w:t>
            </w:r>
          </w:p>
        </w:tc>
        <w:tc>
          <w:tcPr>
            <w:tcW w:type="dxa" w:w="2407"/>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 xml:space="preserve">Зона обслуживания/ граница ответственности </w:t>
            </w:r>
          </w:p>
        </w:tc>
        <w:tc>
          <w:tcPr>
            <w:tcW w:type="dxa" w:w="1719"/>
            <w:tcBorders>
              <w:top w:color="00000A" w:space="0" w:sz="4" w:val="double"/>
              <w:left w:color="000001" w:space="0" w:sz="4" w:val="single"/>
              <w:bottom w:color="000001" w:space="0" w:sz="4" w:val="single"/>
              <w:right w:color="00000A" w:space="0" w:sz="4" w:val="doub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Кол-во соедини-тельных линий</w:t>
            </w:r>
          </w:p>
        </w:tc>
      </w:tr>
      <w:tr>
        <w:trPr>
          <w:trHeight w:hRule="atLeast" w:val="552"/>
          <w:cantSplit w:val="false"/>
        </w:trPr>
        <w:tc>
          <w:tcPr>
            <w:tcW w:type="dxa" w:w="2792"/>
            <w:tcBorders>
              <w:top w:color="000001" w:space="0" w:sz="4" w:val="single"/>
              <w:left w:color="00000A" w:space="0" w:sz="4" w:val="double"/>
              <w:bottom w:color="000001" w:space="0" w:sz="4" w:val="single"/>
              <w:right w:color="000001" w:space="0" w:sz="4" w:val="single"/>
            </w:tcBorders>
            <w:shd w:fill="FFFFFF" w:val="clear"/>
            <w:tcMar>
              <w:left w:type="dxa" w:w="-13"/>
            </w:tcMar>
            <w:vAlign w:val="center"/>
          </w:tcPr>
          <w:p>
            <w:pPr>
              <w:pStyle w:val="style0"/>
              <w:jc w:val="center"/>
              <w:rPr>
                <w:rFonts w:cs="Times New Roman"/>
                <w:sz w:val="16"/>
                <w:szCs w:val="16"/>
              </w:rPr>
            </w:pPr>
            <w:r>
              <w:rPr>
                <w:rFonts w:cs="Times New Roman"/>
                <w:sz w:val="16"/>
                <w:szCs w:val="16"/>
              </w:rPr>
              <w:t>8452 742 - ХХХ</w:t>
            </w:r>
          </w:p>
        </w:tc>
        <w:tc>
          <w:tcPr>
            <w:tcW w:type="dxa" w:w="1412"/>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Дополнительный абонентский номер</w:t>
            </w:r>
          </w:p>
        </w:tc>
        <w:tc>
          <w:tcPr>
            <w:tcW w:type="dxa" w:w="2126"/>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Входящий, переадресация</w:t>
            </w:r>
          </w:p>
        </w:tc>
        <w:tc>
          <w:tcPr>
            <w:tcW w:type="dxa" w:w="2407"/>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г.Саратов, ул.Московская, д.66</w:t>
            </w:r>
          </w:p>
        </w:tc>
        <w:tc>
          <w:tcPr>
            <w:tcW w:type="dxa" w:w="1719"/>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6"/>
                <w:szCs w:val="16"/>
              </w:rPr>
            </w:pPr>
            <w:r>
              <w:rPr>
                <w:rFonts w:cs="Times New Roman"/>
                <w:sz w:val="16"/>
                <w:szCs w:val="16"/>
              </w:rPr>
            </w:r>
          </w:p>
        </w:tc>
      </w:tr>
      <w:tr>
        <w:trPr>
          <w:trHeight w:hRule="atLeast" w:val="552"/>
          <w:cantSplit w:val="false"/>
        </w:trPr>
        <w:tc>
          <w:tcPr>
            <w:tcW w:type="dxa" w:w="2792"/>
            <w:tcBorders>
              <w:top w:color="000001" w:space="0" w:sz="4" w:val="single"/>
              <w:left w:color="00000A" w:space="0" w:sz="4" w:val="double"/>
              <w:bottom w:color="000001" w:space="0" w:sz="4" w:val="single"/>
              <w:right w:color="000001" w:space="0" w:sz="4" w:val="single"/>
            </w:tcBorders>
            <w:shd w:fill="FFFFFF" w:val="clear"/>
            <w:tcMar>
              <w:left w:type="dxa" w:w="-13"/>
            </w:tcMar>
            <w:vAlign w:val="center"/>
          </w:tcPr>
          <w:p>
            <w:pPr>
              <w:pStyle w:val="style0"/>
              <w:jc w:val="center"/>
              <w:rPr>
                <w:rFonts w:cs="Times New Roman"/>
                <w:sz w:val="16"/>
                <w:szCs w:val="16"/>
              </w:rPr>
            </w:pPr>
            <w:r>
              <w:rPr>
                <w:rFonts w:cs="Times New Roman"/>
                <w:sz w:val="16"/>
                <w:szCs w:val="16"/>
              </w:rPr>
              <w:t>8453 ХХХ - ХХХ</w:t>
            </w:r>
          </w:p>
        </w:tc>
        <w:tc>
          <w:tcPr>
            <w:tcW w:type="dxa" w:w="1412"/>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Дополнительный абонентский номер</w:t>
            </w:r>
          </w:p>
        </w:tc>
        <w:tc>
          <w:tcPr>
            <w:tcW w:type="dxa" w:w="2126"/>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Входящий, переадресация</w:t>
            </w:r>
          </w:p>
        </w:tc>
        <w:tc>
          <w:tcPr>
            <w:tcW w:type="dxa" w:w="2407"/>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г.Энгельс, пр.Строителей, д.64</w:t>
            </w:r>
          </w:p>
        </w:tc>
        <w:tc>
          <w:tcPr>
            <w:tcW w:type="dxa" w:w="1719"/>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6"/>
                <w:szCs w:val="16"/>
                <w:shd w:fill="FFFF00" w:val="clear"/>
              </w:rPr>
            </w:pPr>
            <w:r>
              <w:rPr>
                <w:rFonts w:cs="Times New Roman"/>
                <w:sz w:val="16"/>
                <w:szCs w:val="16"/>
                <w:shd w:fill="FFFF00" w:val="clear"/>
              </w:rPr>
            </w:r>
          </w:p>
        </w:tc>
      </w:tr>
      <w:tr>
        <w:trPr>
          <w:trHeight w:hRule="atLeast" w:val="552"/>
          <w:cantSplit w:val="false"/>
        </w:trPr>
        <w:tc>
          <w:tcPr>
            <w:tcW w:type="dxa" w:w="2792"/>
            <w:tcBorders>
              <w:top w:color="000001" w:space="0" w:sz="4" w:val="single"/>
              <w:left w:color="00000A" w:space="0" w:sz="4" w:val="double"/>
              <w:bottom w:color="00000A" w:space="0" w:sz="4" w:val="doub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Срок организации услуги, дней</w:t>
            </w:r>
          </w:p>
        </w:tc>
        <w:tc>
          <w:tcPr>
            <w:tcW w:type="dxa" w:w="1412"/>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c>
          <w:tcPr>
            <w:tcW w:type="dxa" w:w="4533"/>
            <w:gridSpan w:val="2"/>
            <w:tcBorders>
              <w:top w:color="000001" w:space="0" w:sz="4" w:val="single"/>
              <w:left w:color="000001" w:space="0" w:sz="4" w:val="single"/>
              <w:bottom w:color="00000A" w:space="0" w:sz="4" w:val="double"/>
              <w:right w:color="000001" w:space="0" w:sz="4" w:val="single"/>
            </w:tcBorders>
            <w:shd w:fill="BFBFBF" w:val="clear"/>
            <w:tcMar>
              <w:left w:type="dxa" w:w="77"/>
            </w:tcMar>
            <w:vAlign w:val="center"/>
          </w:tcPr>
          <w:p>
            <w:pPr>
              <w:pStyle w:val="style0"/>
              <w:jc w:val="right"/>
              <w:rPr>
                <w:rFonts w:cs="Times New Roman"/>
                <w:b/>
                <w:sz w:val="18"/>
                <w:szCs w:val="18"/>
              </w:rPr>
            </w:pPr>
            <w:r>
              <w:rPr>
                <w:rFonts w:cs="Times New Roman"/>
                <w:b/>
                <w:sz w:val="18"/>
                <w:szCs w:val="18"/>
              </w:rPr>
              <w:t>Планируемая дата окончания работ:</w:t>
            </w:r>
          </w:p>
        </w:tc>
        <w:tc>
          <w:tcPr>
            <w:tcW w:type="dxa" w:w="1719"/>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r>
    </w:tbl>
    <w:p>
      <w:pPr>
        <w:pStyle w:val="style0"/>
        <w:rPr>
          <w:rFonts w:cs="Times New Roman"/>
          <w:b/>
          <w:bCs/>
          <w:sz w:val="18"/>
          <w:szCs w:val="18"/>
          <w:lang w:val="en-US"/>
        </w:rPr>
      </w:pPr>
      <w:r>
        <w:rPr>
          <w:rFonts w:cs="Times New Roman"/>
          <w:b/>
          <w:bCs/>
          <w:sz w:val="18"/>
          <w:szCs w:val="18"/>
          <w:lang w:val="en-US"/>
        </w:rPr>
      </w:r>
    </w:p>
    <w:p>
      <w:pPr>
        <w:pStyle w:val="style0"/>
        <w:rPr>
          <w:rFonts w:cs="Times New Roman"/>
          <w:b/>
          <w:bCs/>
          <w:sz w:val="18"/>
          <w:szCs w:val="18"/>
        </w:rPr>
      </w:pPr>
      <w:r>
        <w:rPr>
          <w:rFonts w:cs="Times New Roman"/>
          <w:b/>
          <w:bCs/>
          <w:sz w:val="18"/>
          <w:szCs w:val="18"/>
        </w:rPr>
        <w:t>4. ПЛАТЕЖИ ЗА УСЛУГУ (ЕДИНОВРЕМЕННО), в рублях, без учета НДС</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6265"/>
        <w:gridCol w:w="1364"/>
        <w:gridCol w:w="1394"/>
        <w:gridCol w:w="1377"/>
      </w:tblGrid>
      <w:tr>
        <w:trPr>
          <w:cantSplit w:val="false"/>
        </w:trPr>
        <w:tc>
          <w:tcPr>
            <w:tcW w:type="dxa" w:w="6265"/>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1364"/>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Количество</w:t>
            </w:r>
          </w:p>
        </w:tc>
        <w:tc>
          <w:tcPr>
            <w:tcW w:type="dxa" w:w="1394"/>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Цена</w:t>
            </w:r>
          </w:p>
        </w:tc>
        <w:tc>
          <w:tcPr>
            <w:tcW w:type="dxa" w:w="1377"/>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Всего</w:t>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Предоставление доступа к услуге «Виртуальная АТС» с выделением дополнительного абонентского номера</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2000</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sz w:val="18"/>
                <w:szCs w:val="18"/>
              </w:rPr>
            </w:pPr>
            <w:r>
              <w:rPr>
                <w:rFonts w:cs="Times New Roman"/>
                <w:sz w:val="18"/>
                <w:szCs w:val="18"/>
              </w:rPr>
              <w:t>Выделение дополнительной соединительной линии для обеспечения автоматического обслуживания входящих вызовов</w:t>
            </w:r>
            <w:r>
              <w:rPr>
                <w:sz w:val="18"/>
                <w:szCs w:val="18"/>
              </w:rPr>
              <w:t>, за соединительную линию</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250</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ДВО: Переадресация безусловная на другой номер телефона</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 xml:space="preserve">ДВО: Регистрация </w:t>
            </w:r>
            <w:r>
              <w:rPr>
                <w:rFonts w:cs="Times New Roman"/>
                <w:sz w:val="18"/>
                <w:szCs w:val="18"/>
                <w:lang w:val="en-US"/>
              </w:rPr>
              <w:t>SIP</w:t>
            </w:r>
            <w:r>
              <w:rPr>
                <w:rFonts w:cs="Times New Roman"/>
                <w:sz w:val="18"/>
                <w:szCs w:val="18"/>
              </w:rPr>
              <w:t>-устройств АБОНЕНТА, включая выделение короткого номера, за каждое устройство</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200</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ДВО: Организация «Интерактивного голосового меню»(IVR) одноуровневое/двухуровневое/многоуровневое (без учета стоимости записи голосовых файлов)</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1000-3000/ 2000-5000/ индивидуально</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ДВО: «Виртуальный факс»</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100</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ДВО: «Голосовая почта», за 1 ящик</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30</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 xml:space="preserve">Первоначальная настройка </w:t>
            </w:r>
            <w:r>
              <w:rPr>
                <w:rFonts w:cs="Times New Roman"/>
                <w:sz w:val="18"/>
                <w:szCs w:val="18"/>
                <w:lang w:val="en-US"/>
              </w:rPr>
              <w:t>SIP</w:t>
            </w:r>
            <w:r>
              <w:rPr>
                <w:rFonts w:cs="Times New Roman"/>
                <w:sz w:val="18"/>
                <w:szCs w:val="18"/>
              </w:rPr>
              <w:t>-устройства АБОНЕНТА</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индивидуально</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1364"/>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94"/>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77"/>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r>
    </w:tbl>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A" w:space="0" w:sz="4" w:val="double"/>
          <w:insideV w:color="00000A" w:space="0" w:sz="4" w:val="double"/>
        </w:tblBorders>
        <w:tblCellMar>
          <w:top w:type="dxa" w:w="0"/>
          <w:left w:type="dxa" w:w="-13"/>
          <w:bottom w:type="dxa" w:w="0"/>
          <w:right w:type="dxa" w:w="108"/>
        </w:tblCellMar>
      </w:tblPr>
      <w:tblGrid>
        <w:gridCol w:w="2091"/>
        <w:gridCol w:w="2091"/>
        <w:gridCol w:w="6274"/>
      </w:tblGrid>
      <w:tr>
        <w:trPr>
          <w:cantSplit w:val="false"/>
        </w:trPr>
        <w:tc>
          <w:tcPr>
            <w:tcW w:type="dxa" w:w="2091"/>
            <w:vMerge w:val="restart"/>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2091"/>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Фиксированные платежи</w:t>
            </w:r>
          </w:p>
        </w:tc>
        <w:tc>
          <w:tcPr>
            <w:tcW w:type="dxa" w:w="6274"/>
            <w:gridSpan w:val="3"/>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Переменные платежи</w:t>
            </w:r>
          </w:p>
        </w:tc>
      </w:tr>
      <w:tr>
        <w:trPr>
          <w:cantSplit w:val="false"/>
        </w:trPr>
        <w:tc>
          <w:tcPr>
            <w:tcW w:type="dxa" w:w="2091"/>
            <w:vMerge w:val="continue"/>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ind w:hanging="0" w:left="-108" w:right="-141"/>
              <w:jc w:val="center"/>
              <w:rPr>
                <w:rFonts w:cs="Times New Roman"/>
                <w:b/>
                <w:sz w:val="18"/>
                <w:szCs w:val="18"/>
              </w:rPr>
            </w:pPr>
            <w:r>
              <w:rPr>
                <w:rFonts w:cs="Times New Roman"/>
                <w:b/>
                <w:sz w:val="18"/>
                <w:szCs w:val="18"/>
              </w:rPr>
              <w:t>Кол-во</w:t>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Цена</w:t>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Всего</w:t>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ind w:hanging="0" w:left="-108" w:right="-180"/>
              <w:jc w:val="center"/>
              <w:rPr>
                <w:rFonts w:cs="Times New Roman"/>
                <w:b/>
                <w:sz w:val="18"/>
                <w:szCs w:val="18"/>
              </w:rPr>
            </w:pPr>
            <w:r>
              <w:rPr>
                <w:rFonts w:cs="Times New Roman"/>
                <w:b/>
                <w:sz w:val="18"/>
                <w:szCs w:val="18"/>
              </w:rPr>
              <w:t>Цена</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Поддержание услуги «Виртуальная АТС»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250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Предоставление дополнительного абонентского номера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250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Обслуживание дополнительной соединительной линии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100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 xml:space="preserve">ДВО: Поддержание </w:t>
            </w:r>
            <w:r>
              <w:rPr>
                <w:rFonts w:cs="Times New Roman"/>
                <w:sz w:val="18"/>
                <w:szCs w:val="18"/>
                <w:lang w:val="en-US"/>
              </w:rPr>
              <w:t>SIP</w:t>
            </w:r>
            <w:r>
              <w:rPr>
                <w:rFonts w:cs="Times New Roman"/>
                <w:sz w:val="18"/>
                <w:szCs w:val="18"/>
              </w:rPr>
              <w:t>-регистрации, за каждое устройство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100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ДВО: «Виртуальный факс»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100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ДВО: «Голосовая почта», за 1 ящик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30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ДВО: Поддержание «Интерактивного голосового меню»(IVR) одноуровневое/двухуровневое/многоуровневое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250/500/ индивид.</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Поддержание функционирования SIP-устройства АБОНЕНТА с заданными параметрами</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индивид.</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Вызовы между зарегистрированными </w:t>
            </w:r>
            <w:r>
              <w:rPr>
                <w:rFonts w:cs="Times New Roman"/>
                <w:bCs/>
                <w:sz w:val="18"/>
                <w:szCs w:val="18"/>
                <w:lang w:val="en-US"/>
              </w:rPr>
              <w:t>SIP</w:t>
            </w:r>
            <w:r>
              <w:rPr>
                <w:rFonts w:cs="Times New Roman"/>
                <w:bCs/>
                <w:sz w:val="18"/>
                <w:szCs w:val="18"/>
              </w:rPr>
              <w:t xml:space="preserve">-устройствами АБОНЕНТА по короткой нумерации, за мин </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бесплатно</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Переадресация на зарегистрированное SIP-устройство АБОНЕНТА, за мин</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бесплатно</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Переадресация на саратовский номер вида 8452 ХХХ ХХХ, или энгельсский номер вида 8453 ХХХ ХХХ, за мин (тариф «Бизнес»)</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0,51</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 xml:space="preserve">1,44* </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tabs>
                <w:tab w:leader="none" w:pos="195" w:val="left"/>
                <w:tab w:leader="none" w:pos="388" w:val="center"/>
              </w:tabs>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в зависимости от направления**</w:t>
            </w:r>
          </w:p>
        </w:tc>
      </w:tr>
      <w:tr>
        <w:trPr>
          <w:cantSplit w:val="false"/>
        </w:trPr>
        <w:tc>
          <w:tcPr>
            <w:tcW w:type="dxa" w:w="2091"/>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2091"/>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c>
          <w:tcPr>
            <w:tcW w:type="dxa" w:w="2092"/>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w:t>
            </w:r>
          </w:p>
        </w:tc>
      </w:tr>
    </w:tbl>
    <w:p>
      <w:pPr>
        <w:pStyle w:val="style0"/>
        <w:ind w:hanging="0" w:left="360" w:right="0"/>
        <w:rPr>
          <w:rFonts w:cs="Times New Roman"/>
          <w:bCs/>
          <w:sz w:val="16"/>
          <w:szCs w:val="16"/>
        </w:rPr>
      </w:pPr>
      <w:r>
        <w:rPr>
          <w:rFonts w:cs="Times New Roman"/>
          <w:bCs/>
          <w:sz w:val="16"/>
          <w:szCs w:val="16"/>
        </w:rPr>
        <w:t>* - услуга предоставляется оператором внутризоновой связи</w:t>
      </w:r>
    </w:p>
    <w:p>
      <w:pPr>
        <w:pStyle w:val="style0"/>
        <w:ind w:hanging="0" w:left="360" w:right="0"/>
        <w:rPr>
          <w:rFonts w:cs="Times New Roman"/>
          <w:bCs/>
          <w:sz w:val="16"/>
          <w:szCs w:val="16"/>
        </w:rPr>
      </w:pPr>
      <w:r>
        <w:rPr>
          <w:rFonts w:cs="Times New Roman"/>
          <w:bCs/>
          <w:sz w:val="16"/>
          <w:szCs w:val="16"/>
        </w:rPr>
        <w:t>** - услуга предоставляется оператором междугородной и международной связи</w:t>
      </w:r>
    </w:p>
    <w:p>
      <w:pPr>
        <w:pStyle w:val="style0"/>
        <w:ind w:hanging="0" w:left="284" w:right="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6. НАЧАЛЬНЫЕ НАСТРОЙКИ ПЕРЕАДРЕСАЦИИ (безусловная на номер телефона или дата технического задания)</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6"/>
        <w:gridCol w:w="4107"/>
        <w:gridCol w:w="4123"/>
      </w:tblGrid>
      <w:tr>
        <w:trPr>
          <w:cantSplit w:val="false"/>
        </w:trPr>
        <w:tc>
          <w:tcPr>
            <w:tcW w:type="dxa" w:w="2226"/>
            <w:tcBorders>
              <w:top w:color="00000A" w:space="0" w:sz="4" w:val="doub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Дополнительный абонентский номер</w:t>
            </w:r>
          </w:p>
        </w:tc>
        <w:tc>
          <w:tcPr>
            <w:tcW w:type="dxa" w:w="4107"/>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Номер телефона</w:t>
            </w:r>
          </w:p>
        </w:tc>
        <w:tc>
          <w:tcPr>
            <w:tcW w:type="dxa" w:w="4123"/>
            <w:tcBorders>
              <w:top w:color="00000A" w:space="0" w:sz="4" w:val="double"/>
              <w:left w:color="000001" w:space="0" w:sz="4" w:val="single"/>
              <w:bottom w:color="000001" w:space="0" w:sz="4" w:val="single"/>
              <w:right w:color="00000A" w:space="0" w:sz="4" w:val="doub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Техническое задание</w:t>
            </w:r>
          </w:p>
        </w:tc>
      </w:tr>
      <w:tr>
        <w:trPr>
          <w:trHeight w:hRule="atLeast" w:val="552"/>
          <w:cantSplit w:val="false"/>
        </w:trPr>
        <w:tc>
          <w:tcPr>
            <w:tcW w:type="dxa" w:w="2226"/>
            <w:tcBorders>
              <w:top w:color="000001" w:space="0" w:sz="4" w:val="single"/>
              <w:left w:color="00000A" w:space="0" w:sz="4" w:val="double"/>
              <w:bottom w:color="00000A" w:space="0" w:sz="4" w:val="double"/>
              <w:right w:color="000001" w:space="0" w:sz="4" w:val="single"/>
            </w:tcBorders>
            <w:shd w:fill="FFFFFF" w:val="clear"/>
            <w:tcMar>
              <w:left w:type="dxa" w:w="-13"/>
            </w:tcMar>
            <w:vAlign w:val="center"/>
          </w:tcPr>
          <w:p>
            <w:pPr>
              <w:pStyle w:val="style0"/>
              <w:jc w:val="center"/>
              <w:rPr>
                <w:rFonts w:cs="Times New Roman"/>
                <w:bCs/>
                <w:sz w:val="16"/>
                <w:szCs w:val="16"/>
              </w:rPr>
            </w:pPr>
            <w:r>
              <w:rPr>
                <w:rFonts w:cs="Times New Roman"/>
                <w:bCs/>
                <w:sz w:val="16"/>
                <w:szCs w:val="16"/>
              </w:rPr>
              <w:t>742-ХХХ</w:t>
            </w:r>
          </w:p>
        </w:tc>
        <w:tc>
          <w:tcPr>
            <w:tcW w:type="dxa" w:w="4107"/>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 xml:space="preserve">ХХХ ХХХ ХХ ХХ </w:t>
            </w:r>
          </w:p>
        </w:tc>
        <w:tc>
          <w:tcPr>
            <w:tcW w:type="dxa" w:w="4123"/>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6"/>
                <w:szCs w:val="16"/>
              </w:rPr>
            </w:pPr>
            <w:r>
              <w:rPr>
                <w:rFonts w:cs="Times New Roman"/>
                <w:sz w:val="16"/>
                <w:szCs w:val="16"/>
              </w:rPr>
              <w:t>ТЗ на «Интерактивное голосовое меню» от «_»___2011г</w:t>
            </w:r>
          </w:p>
        </w:tc>
      </w:tr>
    </w:tbl>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r>
    </w:p>
    <w:tbl>
      <w:tblPr>
        <w:jc w:val="center"/>
        <w:tblInd w:type="dxa" w:w="0"/>
        <w:tblBorders>
          <w:top w:color="000001" w:space="0" w:sz="2" w:val="double"/>
          <w:left w:color="000001" w:space="0" w:sz="2" w:val="double"/>
          <w:bottom w:color="000001" w:space="0" w:sz="4" w:val="single"/>
          <w:insideH w:color="000001" w:space="0" w:sz="4" w:val="single"/>
          <w:right w:val="nil"/>
          <w:insideV w:val="nil"/>
        </w:tblBorders>
        <w:tblCellMar>
          <w:top w:type="dxa" w:w="0"/>
          <w:left w:type="dxa" w:w="41"/>
          <w:bottom w:type="dxa" w:w="0"/>
          <w:right w:type="dxa" w:w="108"/>
        </w:tblCellMar>
      </w:tblPr>
      <w:tblGrid>
        <w:gridCol w:w="1166"/>
        <w:gridCol w:w="1621"/>
        <w:gridCol w:w="2543"/>
        <w:gridCol w:w="3113"/>
        <w:gridCol w:w="2026"/>
      </w:tblGrid>
      <w:tr>
        <w:trPr>
          <w:trHeight w:hRule="exact" w:val="252"/>
          <w:cantSplit w:val="true"/>
        </w:trPr>
        <w:tc>
          <w:tcPr>
            <w:tcW w:type="dxa" w:w="1166"/>
            <w:vMerge w:val="restart"/>
            <w:tcBorders>
              <w:top w:color="000001" w:space="0" w:sz="2" w:val="double"/>
              <w:left w:color="000001" w:space="0" w:sz="2" w:val="double"/>
              <w:bottom w:color="000001" w:space="0" w:sz="4" w:val="single"/>
              <w:right w:val="nil"/>
            </w:tcBorders>
            <w:shd w:fill="BFBFBF" w:val="clear"/>
            <w:tcMar>
              <w:left w:type="dxa" w:w="41"/>
            </w:tcMar>
            <w:vAlign w:val="center"/>
          </w:tcPr>
          <w:p>
            <w:pPr>
              <w:pStyle w:val="style0"/>
              <w:rPr>
                <w:rFonts w:cs="Times New Roman"/>
                <w:sz w:val="18"/>
                <w:szCs w:val="18"/>
              </w:rPr>
            </w:pPr>
            <w:r>
              <w:rPr>
                <w:rFonts w:cs="Times New Roman"/>
                <w:sz w:val="18"/>
                <w:szCs w:val="18"/>
              </w:rPr>
              <w:t>Заказ принял:</w:t>
            </w:r>
          </w:p>
        </w:tc>
        <w:tc>
          <w:tcPr>
            <w:tcW w:type="dxa" w:w="1621"/>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Подпись</w:t>
            </w:r>
          </w:p>
        </w:tc>
        <w:tc>
          <w:tcPr>
            <w:tcW w:type="dxa" w:w="254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Фамилия</w:t>
            </w:r>
          </w:p>
        </w:tc>
        <w:tc>
          <w:tcPr>
            <w:tcW w:type="dxa" w:w="311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Должность</w:t>
            </w:r>
          </w:p>
        </w:tc>
        <w:tc>
          <w:tcPr>
            <w:tcW w:type="dxa" w:w="2026"/>
            <w:tcBorders>
              <w:top w:color="000001" w:space="0" w:sz="2" w:val="double"/>
              <w:left w:color="000001" w:space="0" w:sz="4" w:val="single"/>
              <w:bottom w:color="000001" w:space="0" w:sz="4" w:val="single"/>
              <w:right w:color="000001" w:space="0" w:sz="2" w:val="double"/>
            </w:tcBorders>
            <w:shd w:fill="BFBFBF" w:val="clear"/>
            <w:tcMar>
              <w:left w:type="dxa" w:w="63"/>
            </w:tcMar>
            <w:vAlign w:val="center"/>
          </w:tcPr>
          <w:p>
            <w:pPr>
              <w:pStyle w:val="style0"/>
              <w:jc w:val="center"/>
              <w:rPr>
                <w:rFonts w:cs="Times New Roman"/>
                <w:sz w:val="18"/>
                <w:szCs w:val="18"/>
              </w:rPr>
            </w:pPr>
            <w:r>
              <w:rPr>
                <w:rFonts w:cs="Times New Roman"/>
                <w:sz w:val="18"/>
                <w:szCs w:val="18"/>
              </w:rPr>
              <w:t>Дата</w:t>
            </w:r>
          </w:p>
        </w:tc>
      </w:tr>
      <w:tr>
        <w:trPr>
          <w:cantSplit w:val="true"/>
        </w:trPr>
        <w:tc>
          <w:tcPr>
            <w:tcW w:type="dxa" w:w="1166"/>
            <w:vMerge w:val="continue"/>
            <w:tcBorders>
              <w:top w:color="000001" w:space="0" w:sz="2" w:val="double"/>
              <w:left w:color="000001" w:space="0" w:sz="2" w:val="double"/>
              <w:bottom w:color="000001" w:space="0" w:sz="4" w:val="single"/>
              <w:right w:val="nil"/>
            </w:tcBorders>
            <w:shd w:fill="E5E5E5" w:val="clear"/>
            <w:tcMar>
              <w:left w:type="dxa" w:w="41"/>
            </w:tcMar>
            <w:vAlign w:val="center"/>
          </w:tcPr>
          <w:p>
            <w:pPr>
              <w:pStyle w:val="style0"/>
              <w:rPr>
                <w:rFonts w:cs="Times New Roman"/>
                <w:sz w:val="18"/>
                <w:szCs w:val="18"/>
              </w:rPr>
            </w:pPr>
            <w:r>
              <w:rPr>
                <w:rFonts w:cs="Times New Roman"/>
                <w:sz w:val="18"/>
                <w:szCs w:val="18"/>
              </w:rPr>
            </w:r>
          </w:p>
        </w:tc>
        <w:tc>
          <w:tcPr>
            <w:tcW w:type="dxa" w:w="1621"/>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jc w:val="center"/>
              <w:rPr>
                <w:rFonts w:cs="Times New Roman"/>
                <w:sz w:val="18"/>
                <w:szCs w:val="18"/>
              </w:rPr>
            </w:pPr>
            <w:r>
              <w:rPr>
                <w:rFonts w:cs="Times New Roman"/>
                <w:sz w:val="18"/>
                <w:szCs w:val="18"/>
              </w:rPr>
            </w:r>
          </w:p>
        </w:tc>
        <w:tc>
          <w:tcPr>
            <w:tcW w:type="dxa" w:w="254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c>
          <w:tcPr>
            <w:tcW w:type="dxa" w:w="311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b/>
                <w:bCs/>
                <w:i/>
                <w:iCs/>
                <w:sz w:val="18"/>
                <w:szCs w:val="18"/>
              </w:rPr>
            </w:pPr>
            <w:r>
              <w:rPr>
                <w:rFonts w:cs="Times New Roman"/>
                <w:b/>
                <w:bCs/>
                <w:i/>
                <w:iCs/>
                <w:sz w:val="18"/>
                <w:szCs w:val="18"/>
              </w:rPr>
            </w:r>
          </w:p>
        </w:tc>
        <w:tc>
          <w:tcPr>
            <w:tcW w:type="dxa" w:w="2026"/>
            <w:tcBorders>
              <w:top w:color="000001" w:space="0" w:sz="4" w:val="single"/>
              <w:left w:color="000001" w:space="0" w:sz="4" w:val="single"/>
              <w:bottom w:color="000001" w:space="0" w:sz="4" w:val="single"/>
              <w:right w:color="000001" w:space="0" w:sz="2" w:val="double"/>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r>
    </w:tbl>
    <w:p>
      <w:pPr>
        <w:pStyle w:val="style0"/>
        <w:spacing w:line="240" w:lineRule="atLeast"/>
        <w:rPr>
          <w:rFonts w:cs="Times New Roman"/>
          <w:sz w:val="18"/>
          <w:szCs w:val="18"/>
        </w:rPr>
      </w:pPr>
      <w:r>
        <w:rPr>
          <w:rFonts w:cs="Times New Roman"/>
          <w:sz w:val="18"/>
          <w:szCs w:val="18"/>
        </w:rPr>
      </w:r>
    </w:p>
    <w:p>
      <w:pPr>
        <w:pStyle w:val="style0"/>
        <w:tabs>
          <w:tab w:leader="none" w:pos="284" w:val="left"/>
        </w:tabs>
        <w:ind w:hanging="0" w:left="0" w:right="1"/>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72" w:val="left"/>
              </w:tabs>
              <w:ind w:hanging="0" w:left="-108" w:right="0"/>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____________________________________________</w:t>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ind w:hanging="0" w:left="-108" w:right="0"/>
              <w:rPr>
                <w:rFonts w:cs="Times New Roman"/>
                <w:sz w:val="18"/>
                <w:szCs w:val="18"/>
              </w:rPr>
            </w:pPr>
            <w:r>
              <w:rPr>
                <w:rFonts w:cs="Times New Roman"/>
                <w:sz w:val="18"/>
                <w:szCs w:val="18"/>
              </w:rPr>
              <w:t>______________________________ / С.В. Гомберг /</w:t>
            </w:r>
          </w:p>
          <w:p>
            <w:pPr>
              <w:pStyle w:val="style0"/>
              <w:ind w:hanging="0" w:left="-108" w:right="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/_________________________/</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tabs>
          <w:tab w:leader="none" w:pos="5220" w:val="left"/>
        </w:tabs>
        <w:rPr/>
      </w:pPr>
      <w:r>
        <w:rPr/>
      </w:r>
    </w:p>
    <w:p>
      <w:pPr>
        <w:pStyle w:val="style0"/>
        <w:tabs>
          <w:tab w:leader="none" w:pos="5220" w:val="left"/>
        </w:tabs>
        <w:rPr/>
      </w:pPr>
      <w:r>
        <w:rPr/>
      </w:r>
    </w:p>
    <w:p>
      <w:pPr>
        <w:pStyle w:val="style0"/>
        <w:tabs>
          <w:tab w:leader="none" w:pos="5220" w:val="left"/>
        </w:tabs>
        <w:rPr/>
      </w:pPr>
      <w:r>
        <w:rPr/>
      </w:r>
    </w:p>
    <w:p>
      <w:pPr>
        <w:pStyle w:val="style180"/>
        <w:ind w:hanging="0" w:left="0" w:right="282"/>
        <w:jc w:val="center"/>
        <w:rPr>
          <w:rFonts w:cs="Times New Roman"/>
          <w:b/>
          <w:bCs/>
          <w:color w:val="000000"/>
          <w:sz w:val="18"/>
          <w:szCs w:val="18"/>
        </w:rPr>
      </w:pPr>
      <w:r>
        <w:rPr>
          <w:rFonts w:cs="Times New Roman"/>
          <w:b/>
          <w:bCs/>
          <w:color w:val="000000"/>
          <w:sz w:val="18"/>
          <w:szCs w:val="18"/>
        </w:rPr>
      </w:r>
    </w:p>
    <w:p>
      <w:pPr>
        <w:pStyle w:val="style200"/>
        <w:pageBreakBefore/>
        <w:rPr>
          <w:rFonts w:ascii="Arial" w:cs="Arial" w:hAnsi="Arial"/>
          <w:bCs/>
          <w:i/>
        </w:rPr>
      </w:pPr>
      <w:r>
        <w:rPr>
          <w:rFonts w:ascii="Arial" w:cs="Arial" w:hAnsi="Arial"/>
          <w:bCs/>
          <w:i/>
        </w:rPr>
      </w:r>
    </w:p>
    <w:p>
      <w:pPr>
        <w:pStyle w:val="style200"/>
        <w:jc w:val="center"/>
        <w:rPr>
          <w:b/>
          <w:bCs/>
          <w:sz w:val="26"/>
          <w:szCs w:val="26"/>
        </w:rPr>
      </w:pPr>
      <w:r>
        <w:rPr>
          <w:b/>
          <w:bCs/>
          <w:sz w:val="26"/>
          <w:szCs w:val="26"/>
        </w:rPr>
        <w:t xml:space="preserve">Акт </w:t>
      </w:r>
    </w:p>
    <w:p>
      <w:pPr>
        <w:pStyle w:val="style200"/>
        <w:jc w:val="center"/>
        <w:rPr>
          <w:b/>
          <w:bCs/>
          <w:sz w:val="26"/>
          <w:szCs w:val="26"/>
        </w:rPr>
      </w:pPr>
      <w:r>
        <w:rPr>
          <w:b/>
          <w:bCs/>
          <w:sz w:val="26"/>
          <w:szCs w:val="26"/>
        </w:rPr>
        <w:t>сдачи-приемки работ</w:t>
      </w:r>
    </w:p>
    <w:p>
      <w:pPr>
        <w:pStyle w:val="style200"/>
        <w:rPr>
          <w:sz w:val="26"/>
          <w:szCs w:val="26"/>
        </w:rPr>
      </w:pPr>
      <w:r>
        <w:rPr>
          <w:sz w:val="26"/>
          <w:szCs w:val="26"/>
        </w:rPr>
      </w:r>
    </w:p>
    <w:p>
      <w:pPr>
        <w:pStyle w:val="style200"/>
        <w:rPr>
          <w:sz w:val="26"/>
          <w:szCs w:val="26"/>
        </w:rPr>
      </w:pPr>
      <w:r>
        <w:rPr>
          <w:sz w:val="26"/>
          <w:szCs w:val="26"/>
        </w:rPr>
      </w:r>
    </w:p>
    <w:p>
      <w:pPr>
        <w:pStyle w:val="style200"/>
        <w:spacing w:line="360" w:lineRule="auto"/>
        <w:rPr>
          <w:bCs/>
          <w:sz w:val="26"/>
          <w:szCs w:val="26"/>
        </w:rPr>
      </w:pPr>
      <w:r>
        <w:rPr>
          <w:bCs/>
          <w:sz w:val="26"/>
          <w:szCs w:val="26"/>
        </w:rPr>
        <w:t xml:space="preserve">г. Саратов       </w:t>
        <w:tab/>
        <w:tab/>
        <w:tab/>
        <w:tab/>
        <w:tab/>
        <w:tab/>
        <w:t xml:space="preserve"> </w:t>
        <w:tab/>
        <w:tab/>
        <w:t>«» _ 2014г.</w:t>
      </w:r>
    </w:p>
    <w:p>
      <w:pPr>
        <w:pStyle w:val="style200"/>
        <w:spacing w:line="360" w:lineRule="auto"/>
        <w:rPr>
          <w:bCs/>
          <w:sz w:val="26"/>
          <w:szCs w:val="26"/>
        </w:rPr>
      </w:pPr>
      <w:r>
        <w:rPr>
          <w:bCs/>
          <w:sz w:val="26"/>
          <w:szCs w:val="26"/>
        </w:rPr>
      </w:r>
    </w:p>
    <w:p>
      <w:pPr>
        <w:pStyle w:val="style200"/>
        <w:spacing w:line="360" w:lineRule="auto"/>
        <w:rPr>
          <w:bCs/>
          <w:sz w:val="26"/>
          <w:szCs w:val="26"/>
        </w:rPr>
      </w:pPr>
      <w:r>
        <w:rPr>
          <w:bCs/>
          <w:sz w:val="26"/>
          <w:szCs w:val="26"/>
        </w:rPr>
      </w:r>
    </w:p>
    <w:p>
      <w:pPr>
        <w:pStyle w:val="style200"/>
        <w:spacing w:line="360" w:lineRule="auto"/>
        <w:ind w:firstLine="900" w:left="0" w:right="0"/>
        <w:rPr>
          <w:bCs/>
          <w:sz w:val="26"/>
          <w:szCs w:val="26"/>
        </w:rPr>
      </w:pPr>
      <w:r>
        <w:rPr>
          <w:sz w:val="26"/>
          <w:szCs w:val="26"/>
        </w:rPr>
        <w:t>Настоящим Актом подтверждается, что в соответствии с Заказом № 4/14/ от 2014 года к Договору оказания услуг связи № 4/14 от 2014 года между ООО «ТК «Диалог» («ОПЕРАТОР СВЯЗИ») и _ («АБОНЕНТ»), ОПЕРАТОР СВЯЗИ сдал, а АБОНЕНТ принял работы по предоставлению доступа к услугам в соответствие с вышеуказанным Заказом</w:t>
      </w:r>
      <w:r>
        <w:rPr>
          <w:bCs/>
          <w:sz w:val="26"/>
          <w:szCs w:val="26"/>
        </w:rPr>
        <w:t>.</w:t>
      </w:r>
    </w:p>
    <w:p>
      <w:pPr>
        <w:pStyle w:val="style200"/>
        <w:spacing w:line="360" w:lineRule="auto"/>
        <w:rPr>
          <w:sz w:val="26"/>
          <w:szCs w:val="26"/>
        </w:rPr>
      </w:pPr>
      <w:r>
        <w:rPr>
          <w:sz w:val="26"/>
          <w:szCs w:val="26"/>
        </w:rPr>
      </w:r>
    </w:p>
    <w:p>
      <w:pPr>
        <w:pStyle w:val="style200"/>
        <w:spacing w:line="360" w:lineRule="auto"/>
        <w:rPr>
          <w:sz w:val="26"/>
          <w:szCs w:val="26"/>
        </w:rPr>
      </w:pPr>
      <w:r>
        <w:rPr>
          <w:sz w:val="26"/>
          <w:szCs w:val="26"/>
        </w:rPr>
        <w:t>Дата начала предоставления Услуги: __..2014г.</w:t>
      </w:r>
    </w:p>
    <w:p>
      <w:pPr>
        <w:pStyle w:val="style200"/>
        <w:spacing w:line="360" w:lineRule="auto"/>
        <w:rPr>
          <w:sz w:val="26"/>
          <w:szCs w:val="26"/>
        </w:rPr>
      </w:pPr>
      <w:r>
        <w:rPr>
          <w:sz w:val="26"/>
          <w:szCs w:val="26"/>
        </w:rPr>
      </w:r>
    </w:p>
    <w:p>
      <w:pPr>
        <w:pStyle w:val="style200"/>
        <w:rPr>
          <w:sz w:val="26"/>
          <w:szCs w:val="26"/>
        </w:rPr>
      </w:pPr>
      <w:r>
        <w:rPr>
          <w:sz w:val="26"/>
          <w:szCs w:val="26"/>
        </w:rPr>
      </w:r>
    </w:p>
    <w:tbl>
      <w:tblPr>
        <w:jc w:val="left"/>
        <w:tblInd w:type="dxa" w:w="288"/>
        <w:tblBorders>
          <w:top w:val="nil"/>
          <w:left w:val="nil"/>
          <w:bottom w:val="nil"/>
          <w:insideH w:val="nil"/>
          <w:right w:val="nil"/>
          <w:insideV w:val="nil"/>
        </w:tblBorders>
        <w:tblCellMar>
          <w:top w:type="dxa" w:w="0"/>
          <w:left w:type="dxa" w:w="108"/>
          <w:bottom w:type="dxa" w:w="0"/>
          <w:right w:type="dxa" w:w="108"/>
        </w:tblCellMar>
      </w:tblPr>
      <w:tblGrid>
        <w:gridCol w:w="4517"/>
        <w:gridCol w:w="4834"/>
      </w:tblGrid>
      <w:tr>
        <w:trPr>
          <w:cantSplit w:val="false"/>
        </w:trPr>
        <w:tc>
          <w:tcPr>
            <w:tcW w:type="dxa" w:w="4517"/>
            <w:tcBorders>
              <w:top w:val="nil"/>
              <w:left w:val="nil"/>
              <w:bottom w:val="nil"/>
              <w:right w:val="nil"/>
            </w:tcBorders>
            <w:shd w:fill="FFFFFF" w:val="clear"/>
          </w:tcPr>
          <w:p>
            <w:pPr>
              <w:pStyle w:val="style200"/>
              <w:jc w:val="left"/>
              <w:rPr>
                <w:color w:val="000000"/>
                <w:sz w:val="26"/>
                <w:szCs w:val="26"/>
              </w:rPr>
            </w:pPr>
            <w:r>
              <w:rPr>
                <w:color w:val="000000"/>
                <w:sz w:val="26"/>
                <w:szCs w:val="26"/>
              </w:rPr>
              <w:t>ОПЕРАТОР СВЯЗИ</w:t>
            </w:r>
          </w:p>
          <w:p>
            <w:pPr>
              <w:pStyle w:val="style200"/>
              <w:jc w:val="left"/>
              <w:rPr>
                <w:color w:val="000000"/>
                <w:sz w:val="26"/>
                <w:szCs w:val="26"/>
              </w:rPr>
            </w:pPr>
            <w:r>
              <w:rPr>
                <w:color w:val="000000"/>
                <w:sz w:val="26"/>
                <w:szCs w:val="26"/>
              </w:rPr>
              <w:t>ООО «ТК «Диалог»</w:t>
            </w:r>
          </w:p>
          <w:p>
            <w:pPr>
              <w:pStyle w:val="style200"/>
              <w:rPr>
                <w:color w:val="000000"/>
                <w:sz w:val="26"/>
                <w:szCs w:val="26"/>
              </w:rPr>
            </w:pPr>
            <w:r>
              <w:rPr>
                <w:color w:val="000000"/>
                <w:sz w:val="26"/>
                <w:szCs w:val="26"/>
              </w:rPr>
            </w:r>
          </w:p>
        </w:tc>
        <w:tc>
          <w:tcPr>
            <w:tcW w:type="dxa" w:w="4834"/>
            <w:tcBorders>
              <w:top w:val="nil"/>
              <w:left w:val="nil"/>
              <w:bottom w:val="nil"/>
              <w:right w:val="nil"/>
            </w:tcBorders>
            <w:shd w:fill="FFFFFF" w:val="clear"/>
          </w:tcPr>
          <w:p>
            <w:pPr>
              <w:pStyle w:val="style200"/>
              <w:rPr>
                <w:color w:val="000000"/>
                <w:sz w:val="26"/>
                <w:szCs w:val="26"/>
              </w:rPr>
            </w:pPr>
            <w:r>
              <w:rPr>
                <w:color w:val="000000"/>
                <w:sz w:val="26"/>
                <w:szCs w:val="26"/>
              </w:rPr>
              <w:t>АБОНЕНТ</w:t>
            </w:r>
          </w:p>
          <w:p>
            <w:pPr>
              <w:pStyle w:val="style200"/>
              <w:jc w:val="left"/>
              <w:rPr>
                <w:color w:val="000000"/>
                <w:sz w:val="26"/>
                <w:szCs w:val="26"/>
              </w:rPr>
            </w:pPr>
            <w:r>
              <w:rPr>
                <w:color w:val="000000"/>
                <w:sz w:val="26"/>
                <w:szCs w:val="26"/>
              </w:rPr>
            </w:r>
          </w:p>
        </w:tc>
      </w:tr>
      <w:tr>
        <w:trPr>
          <w:trHeight w:hRule="atLeast" w:val="435"/>
          <w:cantSplit w:val="false"/>
        </w:trPr>
        <w:tc>
          <w:tcPr>
            <w:tcW w:type="dxa" w:w="4517"/>
            <w:tcBorders>
              <w:top w:val="nil"/>
              <w:left w:val="nil"/>
              <w:bottom w:val="nil"/>
              <w:right w:val="nil"/>
            </w:tcBorders>
            <w:shd w:fill="FFFFFF" w:val="clear"/>
          </w:tcPr>
          <w:p>
            <w:pPr>
              <w:pStyle w:val="style200"/>
              <w:rPr>
                <w:sz w:val="26"/>
                <w:szCs w:val="26"/>
              </w:rPr>
            </w:pPr>
            <w:r>
              <w:rPr>
                <w:sz w:val="26"/>
                <w:szCs w:val="26"/>
              </w:rPr>
            </w:r>
          </w:p>
          <w:p>
            <w:pPr>
              <w:pStyle w:val="style200"/>
              <w:rPr>
                <w:sz w:val="26"/>
                <w:szCs w:val="26"/>
              </w:rPr>
            </w:pPr>
            <w:r>
              <w:rPr>
                <w:sz w:val="26"/>
                <w:szCs w:val="26"/>
              </w:rPr>
            </w:r>
          </w:p>
          <w:p>
            <w:pPr>
              <w:pStyle w:val="style200"/>
              <w:rPr>
                <w:sz w:val="26"/>
                <w:szCs w:val="26"/>
              </w:rPr>
            </w:pPr>
            <w:r>
              <w:rPr>
                <w:sz w:val="26"/>
                <w:szCs w:val="26"/>
              </w:rPr>
              <w:t xml:space="preserve">_______________________ </w:t>
            </w:r>
          </w:p>
        </w:tc>
        <w:tc>
          <w:tcPr>
            <w:tcW w:type="dxa" w:w="4834"/>
            <w:tcBorders>
              <w:top w:val="nil"/>
              <w:left w:val="nil"/>
              <w:bottom w:val="nil"/>
              <w:right w:val="nil"/>
            </w:tcBorders>
            <w:shd w:fill="FFFFFF" w:val="clear"/>
          </w:tcPr>
          <w:p>
            <w:pPr>
              <w:pStyle w:val="style200"/>
              <w:rPr>
                <w:sz w:val="26"/>
                <w:szCs w:val="26"/>
              </w:rPr>
            </w:pPr>
            <w:r>
              <w:rPr>
                <w:sz w:val="26"/>
                <w:szCs w:val="26"/>
              </w:rPr>
            </w:r>
          </w:p>
          <w:p>
            <w:pPr>
              <w:pStyle w:val="style200"/>
              <w:rPr>
                <w:sz w:val="26"/>
                <w:szCs w:val="26"/>
              </w:rPr>
            </w:pPr>
            <w:r>
              <w:rPr>
                <w:sz w:val="26"/>
                <w:szCs w:val="26"/>
              </w:rPr>
            </w:r>
          </w:p>
          <w:p>
            <w:pPr>
              <w:pStyle w:val="style200"/>
              <w:rPr>
                <w:sz w:val="26"/>
                <w:szCs w:val="26"/>
              </w:rPr>
            </w:pPr>
            <w:r>
              <w:rPr>
                <w:sz w:val="26"/>
                <w:szCs w:val="26"/>
              </w:rPr>
              <w:t>______________________</w:t>
            </w:r>
          </w:p>
        </w:tc>
      </w:tr>
      <w:tr>
        <w:trPr>
          <w:trHeight w:hRule="atLeast" w:val="306"/>
          <w:cantSplit w:val="false"/>
        </w:trPr>
        <w:tc>
          <w:tcPr>
            <w:tcW w:type="dxa" w:w="4517"/>
            <w:tcBorders>
              <w:top w:val="nil"/>
              <w:left w:val="nil"/>
              <w:bottom w:val="nil"/>
              <w:right w:val="nil"/>
            </w:tcBorders>
            <w:shd w:fill="FFFFFF" w:val="clear"/>
          </w:tcPr>
          <w:p>
            <w:pPr>
              <w:pStyle w:val="style200"/>
              <w:rPr>
                <w:sz w:val="26"/>
                <w:szCs w:val="26"/>
              </w:rPr>
            </w:pPr>
            <w:r>
              <w:rPr>
                <w:sz w:val="26"/>
                <w:szCs w:val="26"/>
              </w:rPr>
            </w:r>
          </w:p>
        </w:tc>
        <w:tc>
          <w:tcPr>
            <w:tcW w:type="dxa" w:w="4834"/>
            <w:tcBorders>
              <w:top w:val="nil"/>
              <w:left w:val="nil"/>
              <w:bottom w:val="nil"/>
              <w:right w:val="nil"/>
            </w:tcBorders>
            <w:shd w:fill="FFFFFF" w:val="clear"/>
          </w:tcPr>
          <w:p>
            <w:pPr>
              <w:pStyle w:val="style200"/>
              <w:rPr>
                <w:sz w:val="26"/>
                <w:szCs w:val="26"/>
              </w:rPr>
            </w:pPr>
            <w:r>
              <w:rPr>
                <w:sz w:val="26"/>
                <w:szCs w:val="26"/>
              </w:rPr>
            </w:r>
          </w:p>
        </w:tc>
      </w:tr>
      <w:tr>
        <w:trPr>
          <w:trHeight w:hRule="atLeast" w:val="106"/>
          <w:cantSplit w:val="false"/>
        </w:trPr>
        <w:tc>
          <w:tcPr>
            <w:tcW w:type="dxa" w:w="4517"/>
            <w:tcBorders>
              <w:top w:val="nil"/>
              <w:left w:val="nil"/>
              <w:bottom w:val="nil"/>
              <w:right w:val="nil"/>
            </w:tcBorders>
            <w:shd w:fill="FFFFFF" w:val="clear"/>
          </w:tcPr>
          <w:p>
            <w:pPr>
              <w:pStyle w:val="style200"/>
              <w:rPr>
                <w:sz w:val="26"/>
                <w:szCs w:val="26"/>
              </w:rPr>
            </w:pPr>
            <w:r>
              <w:rPr>
                <w:sz w:val="26"/>
                <w:szCs w:val="26"/>
              </w:rPr>
              <w:t>М.П.</w:t>
            </w:r>
          </w:p>
        </w:tc>
        <w:tc>
          <w:tcPr>
            <w:tcW w:type="dxa" w:w="4834"/>
            <w:tcBorders>
              <w:top w:val="nil"/>
              <w:left w:val="nil"/>
              <w:bottom w:val="nil"/>
              <w:right w:val="nil"/>
            </w:tcBorders>
            <w:shd w:fill="FFFFFF" w:val="clear"/>
          </w:tcPr>
          <w:p>
            <w:pPr>
              <w:pStyle w:val="style200"/>
              <w:rPr>
                <w:sz w:val="26"/>
                <w:szCs w:val="26"/>
              </w:rPr>
            </w:pPr>
            <w:r>
              <w:rPr>
                <w:sz w:val="26"/>
                <w:szCs w:val="26"/>
              </w:rPr>
              <w:t>М.П.</w:t>
            </w:r>
          </w:p>
        </w:tc>
      </w:tr>
    </w:tbl>
    <w:p>
      <w:pPr>
        <w:pStyle w:val="style200"/>
        <w:rPr>
          <w:sz w:val="26"/>
          <w:szCs w:val="26"/>
        </w:rPr>
      </w:pPr>
      <w:r>
        <w:rPr>
          <w:sz w:val="26"/>
          <w:szCs w:val="26"/>
        </w:rPr>
      </w:r>
    </w:p>
    <w:p>
      <w:pPr>
        <w:pStyle w:val="style200"/>
        <w:spacing w:line="288" w:lineRule="auto"/>
        <w:jc w:val="center"/>
        <w:rPr>
          <w:b/>
          <w:bCs/>
          <w:sz w:val="26"/>
          <w:szCs w:val="26"/>
        </w:rPr>
      </w:pPr>
      <w:r>
        <w:rPr>
          <w:b/>
          <w:bCs/>
          <w:sz w:val="26"/>
          <w:szCs w:val="26"/>
        </w:rPr>
      </w:r>
    </w:p>
    <w:p>
      <w:pPr>
        <w:pStyle w:val="style200"/>
        <w:rPr>
          <w:sz w:val="26"/>
          <w:szCs w:val="26"/>
        </w:rPr>
      </w:pPr>
      <w:r>
        <w:rPr>
          <w:sz w:val="26"/>
          <w:szCs w:val="26"/>
        </w:rPr>
      </w:r>
    </w:p>
    <w:p>
      <w:pPr>
        <w:pStyle w:val="style0"/>
        <w:suppressAutoHyphens w:val="false"/>
        <w:rPr>
          <w:lang w:val="en-US"/>
        </w:rPr>
      </w:pPr>
      <w:r>
        <w:rPr>
          <w:lang w:val="en-US"/>
        </w:rPr>
      </w:r>
    </w:p>
    <w:p>
      <w:pPr>
        <w:pStyle w:val="style0"/>
        <w:pageBreakBefore/>
        <w:jc w:val="center"/>
        <w:rPr>
          <w:rFonts w:ascii="Times New Roman CYR" w:cs="Times New Roman CYR" w:hAnsi="Times New Roman CYR"/>
          <w:b/>
          <w:bCs/>
        </w:rPr>
      </w:pPr>
      <w:r>
        <w:rPr>
          <w:rFonts w:ascii="Times New Roman CYR" w:cs="Times New Roman CYR" w:hAnsi="Times New Roman CYR"/>
          <w:b/>
          <w:bCs/>
        </w:rPr>
        <w:t>Акт передачи оборудования</w:t>
      </w:r>
    </w:p>
    <w:p>
      <w:pPr>
        <w:pStyle w:val="style0"/>
        <w:jc w:val="center"/>
        <w:rPr>
          <w:rFonts w:ascii="Times New Roman CYR" w:cs="Times New Roman CYR" w:hAnsi="Times New Roman CYR"/>
          <w:b/>
          <w:bCs/>
        </w:rPr>
      </w:pPr>
      <w:r>
        <w:rPr>
          <w:rFonts w:ascii="Times New Roman CYR" w:cs="Times New Roman CYR" w:hAnsi="Times New Roman CYR"/>
          <w:b/>
          <w:bCs/>
        </w:rPr>
      </w:r>
    </w:p>
    <w:p>
      <w:pPr>
        <w:pStyle w:val="style0"/>
        <w:jc w:val="center"/>
        <w:rPr>
          <w:rFonts w:ascii="Times New Roman CYR" w:cs="Times New Roman CYR" w:hAnsi="Times New Roman CYR"/>
          <w:b/>
          <w:bCs/>
        </w:rPr>
      </w:pPr>
      <w:r>
        <w:rPr>
          <w:rFonts w:ascii="Times New Roman CYR" w:cs="Times New Roman CYR" w:hAnsi="Times New Roman CYR"/>
          <w:b/>
          <w:bCs/>
        </w:rPr>
      </w:r>
    </w:p>
    <w:p>
      <w:pPr>
        <w:pStyle w:val="style0"/>
        <w:jc w:val="center"/>
        <w:rPr>
          <w:rFonts w:ascii="Times New Roman CYR" w:cs="Times New Roman CYR" w:hAnsi="Times New Roman CYR"/>
          <w:b/>
          <w:bCs/>
        </w:rPr>
      </w:pPr>
      <w:r>
        <w:rPr>
          <w:rFonts w:ascii="Times New Roman CYR" w:cs="Times New Roman CYR" w:hAnsi="Times New Roman CYR"/>
          <w:b/>
          <w:bCs/>
        </w:rPr>
      </w:r>
    </w:p>
    <w:p>
      <w:pPr>
        <w:pStyle w:val="style0"/>
        <w:jc w:val="both"/>
        <w:rPr>
          <w:rFonts w:ascii="Times New Roman CYR" w:cs="Times New Roman CYR" w:hAnsi="Times New Roman CYR"/>
        </w:rPr>
      </w:pPr>
      <w:r>
        <w:rPr>
          <w:rFonts w:ascii="Times New Roman CYR" w:cs="Times New Roman CYR" w:hAnsi="Times New Roman CYR"/>
        </w:rPr>
        <w:t>г. Саратов</w:t>
        <w:tab/>
        <w:tab/>
        <w:tab/>
        <w:tab/>
        <w:tab/>
        <w:tab/>
        <w:tab/>
        <w:t xml:space="preserve">                         «__»  2014 года</w:t>
      </w:r>
    </w:p>
    <w:p>
      <w:pPr>
        <w:pStyle w:val="style0"/>
        <w:jc w:val="center"/>
        <w:rPr>
          <w:rFonts w:ascii="Times New Roman CYR" w:cs="Times New Roman CYR" w:hAnsi="Times New Roman CYR"/>
          <w:b/>
          <w:bCs/>
        </w:rPr>
      </w:pPr>
      <w:r>
        <w:rPr>
          <w:rFonts w:ascii="Times New Roman CYR" w:cs="Times New Roman CYR" w:hAnsi="Times New Roman CYR"/>
          <w:b/>
          <w:bCs/>
        </w:rPr>
      </w:r>
    </w:p>
    <w:p>
      <w:pPr>
        <w:pStyle w:val="style0"/>
        <w:jc w:val="center"/>
        <w:rPr>
          <w:rFonts w:ascii="Times New Roman CYR" w:cs="Times New Roman CYR" w:hAnsi="Times New Roman CYR"/>
          <w:b/>
          <w:bCs/>
        </w:rPr>
      </w:pPr>
      <w:r>
        <w:rPr>
          <w:rFonts w:ascii="Times New Roman CYR" w:cs="Times New Roman CYR" w:hAnsi="Times New Roman CYR"/>
          <w:b/>
          <w:bCs/>
        </w:rPr>
      </w:r>
    </w:p>
    <w:p>
      <w:pPr>
        <w:pStyle w:val="style0"/>
        <w:ind w:firstLine="720" w:left="0" w:right="0"/>
        <w:jc w:val="both"/>
        <w:rPr>
          <w:rFonts w:ascii="Times New Roman CYR" w:cs="Times New Roman CYR" w:hAnsi="Times New Roman CYR"/>
        </w:rPr>
      </w:pPr>
      <w:r>
        <w:rPr>
          <w:rFonts w:ascii="Times New Roman CYR" w:cs="Times New Roman CYR" w:hAnsi="Times New Roman CYR"/>
        </w:rPr>
        <w:t>ООО «ТК «Диалог», в лице Директора Гомберга Сергея Владимировича, именуемое в дальнейшем «ОПЕРАТОР СВЯЗИ», с одной стороны, и ____, в лице __, именуемое в дальнейшем «АБОНЕНТ», с другой стороны, подписали настоящий акт о нижеследующем:</w:t>
      </w:r>
    </w:p>
    <w:p>
      <w:pPr>
        <w:pStyle w:val="style0"/>
        <w:ind w:firstLine="720" w:left="0" w:right="0"/>
        <w:jc w:val="both"/>
        <w:rPr>
          <w:rFonts w:ascii="Times New Roman CYR" w:cs="Times New Roman CYR" w:hAnsi="Times New Roman CYR"/>
        </w:rPr>
      </w:pPr>
      <w:r>
        <w:rPr>
          <w:rFonts w:ascii="Times New Roman CYR" w:cs="Times New Roman CYR" w:hAnsi="Times New Roman CYR"/>
        </w:rPr>
      </w:r>
    </w:p>
    <w:p>
      <w:pPr>
        <w:pStyle w:val="style0"/>
        <w:ind w:firstLine="720" w:left="0" w:right="0"/>
        <w:jc w:val="both"/>
        <w:rPr>
          <w:rFonts w:ascii="Times New Roman CYR" w:cs="Times New Roman CYR" w:hAnsi="Times New Roman CYR"/>
        </w:rPr>
      </w:pPr>
      <w:r>
        <w:rPr>
          <w:rFonts w:ascii="Times New Roman CYR" w:cs="Times New Roman CYR" w:hAnsi="Times New Roman CYR"/>
        </w:rPr>
        <w:t>1. ОПЕРАТОР СВЯЗИ передает, а АБОНЕНТ принимает в пользование нижеперечисленные технические средства:</w:t>
      </w:r>
    </w:p>
    <w:p>
      <w:pPr>
        <w:pStyle w:val="style0"/>
        <w:jc w:val="both"/>
        <w:rPr>
          <w:rFonts w:ascii="Times New Roman CYR" w:cs="Times New Roman CYR" w:hAnsi="Times New Roman CYR"/>
        </w:rPr>
      </w:pPr>
      <w:r>
        <w:rPr>
          <w:rFonts w:ascii="Times New Roman CYR" w:cs="Times New Roman CYR" w:hAnsi="Times New Roman CY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999"/>
        <w:gridCol w:w="2952"/>
        <w:gridCol w:w="999"/>
        <w:gridCol w:w="1436"/>
        <w:gridCol w:w="1744"/>
        <w:gridCol w:w="1768"/>
      </w:tblGrid>
      <w:tr>
        <w:trPr>
          <w:cantSplit w:val="false"/>
        </w:trPr>
        <w:tc>
          <w:tcPr>
            <w:tcW w:type="dxa" w:w="999"/>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 xml:space="preserve">№ </w:t>
            </w:r>
            <w:r>
              <w:rPr>
                <w:rFonts w:ascii="Times New Roman CYR" w:cs="Times New Roman CYR" w:hAnsi="Times New Roman CYR"/>
              </w:rPr>
              <w:t>п/п</w:t>
            </w:r>
          </w:p>
        </w:tc>
        <w:tc>
          <w:tcPr>
            <w:tcW w:type="dxa" w:w="2952"/>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Наименование</w:t>
            </w:r>
          </w:p>
        </w:tc>
        <w:tc>
          <w:tcPr>
            <w:tcW w:type="dxa" w:w="999"/>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Ед.изм.</w:t>
            </w:r>
          </w:p>
        </w:tc>
        <w:tc>
          <w:tcPr>
            <w:tcW w:type="dxa" w:w="1436"/>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Количество</w:t>
            </w:r>
          </w:p>
        </w:tc>
        <w:tc>
          <w:tcPr>
            <w:tcW w:type="dxa" w:w="1744"/>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 xml:space="preserve">Цена за ед.изм., </w:t>
            </w:r>
          </w:p>
        </w:tc>
        <w:tc>
          <w:tcPr>
            <w:tcW w:type="dxa" w:w="1768"/>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Стоимость, руб.</w:t>
            </w:r>
          </w:p>
        </w:tc>
      </w:tr>
      <w:tr>
        <w:trPr>
          <w:cantSplit w:val="false"/>
        </w:trPr>
        <w:tc>
          <w:tcPr>
            <w:tcW w:type="dxa" w:w="999"/>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1.</w:t>
            </w:r>
          </w:p>
        </w:tc>
        <w:tc>
          <w:tcPr>
            <w:tcW w:type="dxa" w:w="2952"/>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both"/>
              <w:rPr>
                <w:rFonts w:ascii="Times New Roman CYR" w:cs="Times New Roman CYR" w:hAnsi="Times New Roman CYR"/>
                <w:lang w:val="en-US"/>
              </w:rPr>
            </w:pPr>
            <w:r>
              <w:rPr>
                <w:rFonts w:ascii="Times New Roman CYR" w:cs="Times New Roman CYR" w:hAnsi="Times New Roman CYR"/>
              </w:rPr>
              <w:t xml:space="preserve">Шлюз </w:t>
            </w:r>
            <w:r>
              <w:rPr>
                <w:rFonts w:ascii="Times New Roman CYR" w:cs="Times New Roman CYR" w:hAnsi="Times New Roman CYR"/>
                <w:lang w:val="en-US"/>
              </w:rPr>
              <w:t>Dir-300</w:t>
            </w:r>
          </w:p>
        </w:tc>
        <w:tc>
          <w:tcPr>
            <w:tcW w:type="dxa" w:w="999"/>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шт.</w:t>
            </w:r>
          </w:p>
        </w:tc>
        <w:tc>
          <w:tcPr>
            <w:tcW w:type="dxa" w:w="1436"/>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один</w:t>
            </w:r>
          </w:p>
        </w:tc>
        <w:tc>
          <w:tcPr>
            <w:tcW w:type="dxa" w:w="1744"/>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1000,00</w:t>
            </w:r>
          </w:p>
        </w:tc>
        <w:tc>
          <w:tcPr>
            <w:tcW w:type="dxa" w:w="1768"/>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1000,00</w:t>
            </w:r>
          </w:p>
        </w:tc>
      </w:tr>
    </w:tbl>
    <w:p>
      <w:pPr>
        <w:pStyle w:val="style0"/>
        <w:ind w:firstLine="720" w:left="0" w:right="0"/>
        <w:jc w:val="both"/>
        <w:rPr>
          <w:rFonts w:ascii="Times New Roman CYR" w:cs="Times New Roman CYR" w:hAnsi="Times New Roman CYR"/>
        </w:rPr>
      </w:pPr>
      <w:r>
        <w:rPr>
          <w:rFonts w:ascii="Times New Roman CYR" w:cs="Times New Roman CYR" w:hAnsi="Times New Roman CYR"/>
        </w:rPr>
      </w:r>
    </w:p>
    <w:p>
      <w:pPr>
        <w:pStyle w:val="style0"/>
        <w:ind w:firstLine="720" w:left="0" w:right="0"/>
        <w:jc w:val="both"/>
        <w:rPr>
          <w:rFonts w:ascii="Times New Roman CYR" w:cs="Times New Roman CYR" w:hAnsi="Times New Roman CYR"/>
        </w:rPr>
      </w:pPr>
      <w:r>
        <w:rPr>
          <w:rFonts w:ascii="Times New Roman CYR" w:cs="Times New Roman CYR" w:hAnsi="Times New Roman CYR"/>
        </w:rPr>
        <w:t>2. Технические средства</w:t>
      </w:r>
      <w:r>
        <w:rPr>
          <w:rFonts w:ascii="Times New Roman CYR" w:cs="Times New Roman CYR" w:hAnsi="Times New Roman CYR"/>
          <w:b/>
          <w:bCs/>
        </w:rPr>
        <w:t xml:space="preserve"> </w:t>
      </w:r>
      <w:r>
        <w:rPr>
          <w:rFonts w:ascii="Times New Roman CYR" w:cs="Times New Roman CYR" w:hAnsi="Times New Roman CYR"/>
        </w:rPr>
        <w:t>находятся в технически исправном состоянии, без видимых повреждений.</w:t>
      </w:r>
    </w:p>
    <w:p>
      <w:pPr>
        <w:pStyle w:val="style0"/>
        <w:ind w:firstLine="720" w:left="0" w:right="0"/>
        <w:jc w:val="both"/>
        <w:rPr>
          <w:rFonts w:ascii="Times New Roman CYR" w:cs="Times New Roman CYR" w:hAnsi="Times New Roman CYR"/>
        </w:rPr>
      </w:pPr>
      <w:r>
        <w:rPr>
          <w:rFonts w:ascii="Times New Roman CYR" w:cs="Times New Roman CYR" w:hAnsi="Times New Roman CYR"/>
        </w:rPr>
        <w:t>3. Технические средства передаются АБОНЕНТУ на срок действия Заказа №4/14/ от 2014</w:t>
      </w:r>
      <w:bookmarkStart w:id="2" w:name="_GoBack"/>
      <w:bookmarkEnd w:id="2"/>
      <w:r>
        <w:rPr>
          <w:rFonts w:ascii="Times New Roman CYR" w:cs="Times New Roman CYR" w:hAnsi="Times New Roman CYR"/>
        </w:rPr>
        <w:t xml:space="preserve"> г.</w:t>
      </w:r>
    </w:p>
    <w:p>
      <w:pPr>
        <w:pStyle w:val="style0"/>
        <w:ind w:firstLine="720" w:left="0" w:right="0"/>
        <w:jc w:val="both"/>
        <w:rPr>
          <w:rFonts w:ascii="Times New Roman CYR" w:cs="Times New Roman CYR" w:hAnsi="Times New Roman CYR"/>
        </w:rPr>
      </w:pPr>
      <w:r>
        <w:rPr>
          <w:rFonts w:ascii="Times New Roman CYR" w:cs="Times New Roman CYR" w:hAnsi="Times New Roman CYR"/>
        </w:rPr>
        <w:t>4. В случае утери, повреждения по вине АБОНЕНТА, он обязан компенсировать стоимость утерянного, поврежденного технического средства. За скрытые дефекты и техническую исправность шлюза АБОНЕНТ ответственности не несет.</w:t>
      </w:r>
    </w:p>
    <w:p>
      <w:pPr>
        <w:pStyle w:val="style0"/>
        <w:ind w:firstLine="720" w:left="0" w:right="0"/>
        <w:jc w:val="both"/>
        <w:rPr>
          <w:rFonts w:ascii="Times New Roman CYR" w:cs="Times New Roman CYR" w:hAnsi="Times New Roman CYR"/>
        </w:rPr>
      </w:pPr>
      <w:r>
        <w:rPr>
          <w:rFonts w:ascii="Times New Roman CYR" w:cs="Times New Roman CYR" w:hAnsi="Times New Roman CYR"/>
        </w:rPr>
        <w:t>5. Принимающая сторона обязана назначить ответственного за полученные в пользование технические средства.</w:t>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t>Место установки оборудования: г. Саратов, ул. Радищева, 50.</w:t>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t>Директор ООО «Реацентр Саратов»</w:t>
        <w:tab/>
        <w:tab/>
        <w:tab/>
        <w:t>Директор ООО «ТК «Диалог»</w:t>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t>Дагаева И.В.___________________</w:t>
        <w:tab/>
        <w:tab/>
        <w:tab/>
        <w:t>Гомберг С.В. _____________________</w:t>
      </w:r>
    </w:p>
    <w:p>
      <w:pPr>
        <w:pStyle w:val="style0"/>
        <w:tabs>
          <w:tab w:leader="none" w:pos="5220" w:val="left"/>
        </w:tabs>
        <w:rPr/>
      </w:pPr>
      <w:r>
        <w:rPr/>
      </w:r>
    </w:p>
    <w:sectPr>
      <w:type w:val="nextPage"/>
      <w:pgSz w:h="16838" w:w="11906"/>
      <w:pgMar w:bottom="426" w:footer="0" w:gutter="0" w:header="0" w:left="993" w:right="706" w:top="851"/>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Wingdings">
    <w:charset w:val="01"/>
    <w:family w:val="roman"/>
    <w:pitch w:val="variable"/>
  </w:font>
  <w:font w:name="Wingdings 2">
    <w:charset w:val="01"/>
    <w:family w:val="roman"/>
    <w:pitch w:val="variable"/>
  </w:font>
  <w:font w:name="StarSymbol">
    <w:altName w:val="Arial Unicode MS"/>
    <w:charset w:val="01"/>
    <w:family w:val="roman"/>
    <w:pitch w:val="variable"/>
  </w:font>
  <w:font w:name="Courier New">
    <w:charset w:val="01"/>
    <w:family w:val="roman"/>
    <w:pitch w:val="variable"/>
  </w:font>
  <w:font w:name="Tahoma">
    <w:charset w:val="01"/>
    <w:family w:val="roman"/>
    <w:pitch w:val="variable"/>
  </w:font>
  <w:font w:name="StarSymbol">
    <w:altName w:val="Arial Unicode MS"/>
    <w:charset w:val="02"/>
    <w:family w:val="auto"/>
    <w:pitch w:val="default"/>
  </w:font>
  <w:font w:name="Arial">
    <w:charset w:val="01"/>
    <w:family w:val="roman"/>
    <w:pitch w:val="variable"/>
  </w:font>
  <w:font w:name="Arial">
    <w:charset w:val="01"/>
    <w:family w:val="swiss"/>
    <w:pitch w:val="variable"/>
  </w:font>
  <w:font w:name="Times New Roman CYR">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
    <w:lvl w:ilvl="0">
      <w:start w:val="1"/>
      <w:numFmt w:val="decimal"/>
      <w:lvlText w:val=" %1 "/>
      <w:lvlJc w:val="left"/>
      <w:pPr>
        <w:tabs>
          <w:tab w:pos="397" w:val="num"/>
        </w:tabs>
        <w:ind w:hanging="397" w:left="397"/>
      </w:pPr>
    </w:lvl>
    <w:lvl w:ilvl="1">
      <w:start w:val="1"/>
      <w:numFmt w:val="decimal"/>
      <w:lvlText w:val=" %1.%2 "/>
      <w:lvlJc w:val="left"/>
      <w:pPr>
        <w:tabs>
          <w:tab w:pos="681" w:val="num"/>
        </w:tabs>
        <w:ind w:hanging="397" w:left="681"/>
      </w:pPr>
    </w:lvl>
    <w:lvl w:ilvl="2">
      <w:start w:val="1"/>
      <w:numFmt w:val="decimal"/>
      <w:lvlText w:val=" %1.%2.%3 "/>
      <w:lvlJc w:val="left"/>
      <w:pPr>
        <w:tabs>
          <w:tab w:pos="965" w:val="num"/>
        </w:tabs>
        <w:ind w:hanging="397" w:left="965"/>
      </w:pPr>
    </w:lvl>
    <w:lvl w:ilvl="3">
      <w:start w:val="1"/>
      <w:numFmt w:val="decimal"/>
      <w:lvlText w:val=" %1.%2.%3.%4 "/>
      <w:lvlJc w:val="left"/>
      <w:pPr>
        <w:tabs>
          <w:tab w:pos="1249" w:val="num"/>
        </w:tabs>
        <w:ind w:hanging="397" w:left="1249"/>
      </w:pPr>
    </w:lvl>
    <w:lvl w:ilvl="4">
      <w:start w:val="1"/>
      <w:numFmt w:val="decimal"/>
      <w:lvlText w:val=" %1.%2.%3.%4.%5 "/>
      <w:lvlJc w:val="left"/>
      <w:pPr>
        <w:tabs>
          <w:tab w:pos="1533" w:val="num"/>
        </w:tabs>
        <w:ind w:hanging="397" w:left="1533"/>
      </w:pPr>
    </w:lvl>
    <w:lvl w:ilvl="5">
      <w:start w:val="1"/>
      <w:numFmt w:val="decimal"/>
      <w:lvlText w:val=" %1.%2.%3.%4.%5.%6 "/>
      <w:lvlJc w:val="left"/>
      <w:pPr>
        <w:tabs>
          <w:tab w:pos="1817" w:val="num"/>
        </w:tabs>
        <w:ind w:hanging="397" w:left="1817"/>
      </w:pPr>
    </w:lvl>
    <w:lvl w:ilvl="6">
      <w:start w:val="1"/>
      <w:numFmt w:val="decimal"/>
      <w:lvlText w:val=" %1.%2.%3.%4.%5.%6.%7 "/>
      <w:lvlJc w:val="left"/>
      <w:pPr>
        <w:tabs>
          <w:tab w:pos="2101" w:val="num"/>
        </w:tabs>
        <w:ind w:hanging="397" w:left="2101"/>
      </w:pPr>
    </w:lvl>
    <w:lvl w:ilvl="7">
      <w:start w:val="1"/>
      <w:numFmt w:val="decimal"/>
      <w:lvlText w:val=" %1.%2.%3.%4.%5.%6.%7.%8 "/>
      <w:lvlJc w:val="left"/>
      <w:pPr>
        <w:tabs>
          <w:tab w:pos="2385" w:val="num"/>
        </w:tabs>
        <w:ind w:hanging="397" w:left="2385"/>
      </w:pPr>
    </w:lvl>
    <w:lvl w:ilvl="8">
      <w:start w:val="1"/>
      <w:numFmt w:val="decimal"/>
      <w:lvlText w:val=" %1.%2.%3.%4.%5.%6.%7.%8.%9 "/>
      <w:lvlJc w:val="left"/>
      <w:pPr>
        <w:tabs>
          <w:tab w:pos="2669" w:val="num"/>
        </w:tabs>
        <w:ind w:hanging="397" w:left="2669"/>
      </w:pPr>
    </w:lvl>
  </w:abstractNum>
  <w:abstractNum w:abstractNumId="3">
    <w:lvl w:ilvl="0">
      <w:start w:val="1"/>
      <w:numFmt w:val="decimal"/>
      <w:lvlText w:val="%1."/>
      <w:lvlJc w:val="left"/>
      <w:pPr>
        <w:tabs>
          <w:tab w:pos="284" w:val="num"/>
        </w:tabs>
        <w:ind w:hanging="284" w:left="284"/>
      </w:pPr>
    </w:lvl>
    <w:lvl w:ilvl="1">
      <w:start w:val="1"/>
      <w:numFmt w:val="decimal"/>
      <w:lvlText w:val="%1.%2."/>
      <w:lvlJc w:val="left"/>
      <w:pPr>
        <w:tabs>
          <w:tab w:pos="568" w:val="num"/>
        </w:tabs>
        <w:ind w:hanging="284" w:left="568"/>
      </w:pPr>
    </w:lvl>
    <w:lvl w:ilvl="2">
      <w:start w:val="1"/>
      <w:numFmt w:val="decimal"/>
      <w:lvlText w:val="%1.%2.%3."/>
      <w:lvlJc w:val="left"/>
      <w:pPr>
        <w:tabs>
          <w:tab w:pos="852" w:val="num"/>
        </w:tabs>
        <w:ind w:hanging="284" w:left="852"/>
      </w:pPr>
    </w:lvl>
    <w:lvl w:ilvl="3">
      <w:start w:val="1"/>
      <w:numFmt w:val="decimal"/>
      <w:lvlText w:val="%1.%2.%3.%4."/>
      <w:lvlJc w:val="left"/>
      <w:pPr>
        <w:tabs>
          <w:tab w:pos="1136" w:val="num"/>
        </w:tabs>
        <w:ind w:hanging="284" w:left="1136"/>
      </w:pPr>
    </w:lvl>
    <w:lvl w:ilvl="4">
      <w:start w:val="1"/>
      <w:numFmt w:val="decimal"/>
      <w:lvlText w:val="%1.%2.%3.%4.%5."/>
      <w:lvlJc w:val="left"/>
      <w:pPr>
        <w:tabs>
          <w:tab w:pos="1420" w:val="num"/>
        </w:tabs>
        <w:ind w:hanging="284" w:left="1420"/>
      </w:pPr>
    </w:lvl>
    <w:lvl w:ilvl="5">
      <w:start w:val="1"/>
      <w:numFmt w:val="decimal"/>
      <w:lvlText w:val="%1.%2.%3.%4.%5.%6."/>
      <w:lvlJc w:val="left"/>
      <w:pPr>
        <w:tabs>
          <w:tab w:pos="1704" w:val="num"/>
        </w:tabs>
        <w:ind w:hanging="284" w:left="1704"/>
      </w:pPr>
    </w:lvl>
    <w:lvl w:ilvl="6">
      <w:start w:val="1"/>
      <w:numFmt w:val="decimal"/>
      <w:lvlText w:val="%1.%2.%3.%4.%5.%6.%7."/>
      <w:lvlJc w:val="left"/>
      <w:pPr>
        <w:tabs>
          <w:tab w:pos="1988" w:val="num"/>
        </w:tabs>
        <w:ind w:hanging="284" w:left="1988"/>
      </w:pPr>
    </w:lvl>
    <w:lvl w:ilvl="7">
      <w:start w:val="1"/>
      <w:numFmt w:val="decimal"/>
      <w:lvlText w:val="%1.%2.%3.%4.%5.%6.%7.%8."/>
      <w:lvlJc w:val="left"/>
      <w:pPr>
        <w:tabs>
          <w:tab w:pos="2272" w:val="num"/>
        </w:tabs>
        <w:ind w:hanging="284" w:left="2272"/>
      </w:pPr>
    </w:lvl>
    <w:lvl w:ilvl="8">
      <w:start w:val="1"/>
      <w:numFmt w:val="decimal"/>
      <w:lvlText w:val="%1.%2.%3.%4.%5.%6.%7.%8.%9."/>
      <w:lvlJc w:val="left"/>
      <w:pPr>
        <w:tabs>
          <w:tab w:pos="2556" w:val="num"/>
        </w:tabs>
        <w:ind w:hanging="284" w:left="2556"/>
      </w:pPr>
    </w:lvl>
  </w:abstractNum>
  <w:abstractNum w:abstractNumId="4">
    <w:lvl w:ilvl="0">
      <w:start w:val="2"/>
      <w:numFmt w:val="bullet"/>
      <w:lvlText w:val="-"/>
      <w:lvlJc w:val="left"/>
      <w:pPr>
        <w:ind w:hanging="360" w:left="1287"/>
      </w:pPr>
      <w:rPr>
        <w:rFonts w:ascii="Times New Roman" w:cs="Times New Roman" w:hAnsi="Times New Roman" w:hint="default"/>
      </w:rPr>
    </w:lvl>
    <w:lvl w:ilvl="1">
      <w:start w:val="1"/>
      <w:numFmt w:val="bullet"/>
      <w:lvlText w:val="o"/>
      <w:lvlJc w:val="left"/>
      <w:pPr>
        <w:ind w:hanging="360" w:left="2007"/>
      </w:pPr>
      <w:rPr>
        <w:rFonts w:ascii="Courier New" w:cs="Courier New" w:hAnsi="Courier New" w:hint="default"/>
      </w:rPr>
    </w:lvl>
    <w:lvl w:ilvl="2">
      <w:start w:val="1"/>
      <w:numFmt w:val="bullet"/>
      <w:lvlText w:val=""/>
      <w:lvlJc w:val="left"/>
      <w:pPr>
        <w:ind w:hanging="360" w:left="2727"/>
      </w:pPr>
      <w:rPr>
        <w:rFonts w:ascii="Wingdings" w:cs="Wingdings" w:hAnsi="Wingdings" w:hint="default"/>
      </w:rPr>
    </w:lvl>
    <w:lvl w:ilvl="3">
      <w:start w:val="1"/>
      <w:numFmt w:val="bullet"/>
      <w:lvlText w:val=""/>
      <w:lvlJc w:val="left"/>
      <w:pPr>
        <w:ind w:hanging="360" w:left="3447"/>
      </w:pPr>
      <w:rPr>
        <w:rFonts w:ascii="Symbol" w:cs="Symbol" w:hAnsi="Symbol" w:hint="default"/>
      </w:rPr>
    </w:lvl>
    <w:lvl w:ilvl="4">
      <w:start w:val="1"/>
      <w:numFmt w:val="bullet"/>
      <w:lvlText w:val="o"/>
      <w:lvlJc w:val="left"/>
      <w:pPr>
        <w:ind w:hanging="360" w:left="4167"/>
      </w:pPr>
      <w:rPr>
        <w:rFonts w:ascii="Courier New" w:cs="Courier New" w:hAnsi="Courier New" w:hint="default"/>
      </w:rPr>
    </w:lvl>
    <w:lvl w:ilvl="5">
      <w:start w:val="1"/>
      <w:numFmt w:val="bullet"/>
      <w:lvlText w:val=""/>
      <w:lvlJc w:val="left"/>
      <w:pPr>
        <w:ind w:hanging="360" w:left="4887"/>
      </w:pPr>
      <w:rPr>
        <w:rFonts w:ascii="Wingdings" w:cs="Wingdings" w:hAnsi="Wingdings" w:hint="default"/>
      </w:rPr>
    </w:lvl>
    <w:lvl w:ilvl="6">
      <w:start w:val="1"/>
      <w:numFmt w:val="bullet"/>
      <w:lvlText w:val=""/>
      <w:lvlJc w:val="left"/>
      <w:pPr>
        <w:ind w:hanging="360" w:left="5607"/>
      </w:pPr>
      <w:rPr>
        <w:rFonts w:ascii="Symbol" w:cs="Symbol" w:hAnsi="Symbol" w:hint="default"/>
      </w:rPr>
    </w:lvl>
    <w:lvl w:ilvl="7">
      <w:start w:val="1"/>
      <w:numFmt w:val="bullet"/>
      <w:lvlText w:val="o"/>
      <w:lvlJc w:val="left"/>
      <w:pPr>
        <w:ind w:hanging="360" w:left="6327"/>
      </w:pPr>
      <w:rPr>
        <w:rFonts w:ascii="Courier New" w:cs="Courier New" w:hAnsi="Courier New" w:hint="default"/>
      </w:rPr>
    </w:lvl>
    <w:lvl w:ilvl="8">
      <w:start w:val="1"/>
      <w:numFmt w:val="bullet"/>
      <w:lvlText w:val=""/>
      <w:lvlJc w:val="left"/>
      <w:pPr>
        <w:ind w:hanging="360" w:left="7047"/>
      </w:pPr>
      <w:rPr>
        <w:rFonts w:ascii="Wingdings" w:cs="Wingdings" w:hAnsi="Wingdings" w:hint="default"/>
      </w:rPr>
    </w:lvl>
  </w:abstractNum>
  <w:abstractNum w:abstractNumId="5">
    <w:lvl w:ilvl="0">
      <w:start w:val="1"/>
      <w:numFmt w:val="decimal"/>
      <w:lvlText w:val="%1."/>
      <w:lvlJc w:val="left"/>
      <w:pPr>
        <w:ind w:hanging="360" w:left="720"/>
      </w:pPr>
    </w:lvl>
    <w:lvl w:ilvl="1">
      <w:start w:val="1"/>
      <w:numFmt w:val="decimal"/>
      <w:lvlText w:val="%1.%2."/>
      <w:lvlJc w:val="left"/>
      <w:pPr>
        <w:ind w:hanging="360" w:left="1770"/>
      </w:pPr>
    </w:lvl>
    <w:lvl w:ilvl="2">
      <w:start w:val="1"/>
      <w:numFmt w:val="decimal"/>
      <w:lvlText w:val="%1.%2.%3."/>
      <w:lvlJc w:val="left"/>
      <w:pPr>
        <w:ind w:hanging="720" w:left="3180"/>
      </w:pPr>
    </w:lvl>
    <w:lvl w:ilvl="3">
      <w:start w:val="1"/>
      <w:numFmt w:val="decimal"/>
      <w:lvlText w:val="%1.%2.%3.%4."/>
      <w:lvlJc w:val="left"/>
      <w:pPr>
        <w:ind w:hanging="720" w:left="4230"/>
      </w:pPr>
    </w:lvl>
    <w:lvl w:ilvl="4">
      <w:start w:val="1"/>
      <w:numFmt w:val="decimal"/>
      <w:lvlText w:val="%1.%2.%3.%4.%5."/>
      <w:lvlJc w:val="left"/>
      <w:pPr>
        <w:ind w:hanging="720" w:left="5280"/>
      </w:pPr>
    </w:lvl>
    <w:lvl w:ilvl="5">
      <w:start w:val="1"/>
      <w:numFmt w:val="decimal"/>
      <w:lvlText w:val="%1.%2.%3.%4.%5.%6."/>
      <w:lvlJc w:val="left"/>
      <w:pPr>
        <w:ind w:hanging="1080" w:left="6690"/>
      </w:pPr>
    </w:lvl>
    <w:lvl w:ilvl="6">
      <w:start w:val="1"/>
      <w:numFmt w:val="decimal"/>
      <w:lvlText w:val="%1.%2.%3.%4.%5.%6.%7."/>
      <w:lvlJc w:val="left"/>
      <w:pPr>
        <w:ind w:hanging="1080" w:left="7740"/>
      </w:pPr>
    </w:lvl>
    <w:lvl w:ilvl="7">
      <w:start w:val="1"/>
      <w:numFmt w:val="decimal"/>
      <w:lvlText w:val="%1.%2.%3.%4.%5.%6.%7.%8."/>
      <w:lvlJc w:val="left"/>
      <w:pPr>
        <w:ind w:hanging="1080" w:left="8790"/>
      </w:pPr>
    </w:lvl>
    <w:lvl w:ilvl="8">
      <w:start w:val="1"/>
      <w:numFmt w:val="decimal"/>
      <w:lvlText w:val="%1.%2.%3.%4.%5.%6.%7.%8.%9."/>
      <w:lvlJc w:val="left"/>
      <w:pPr>
        <w:ind w:hanging="1440" w:left="10200"/>
      </w:pPr>
    </w:lvl>
  </w:abstractNum>
  <w:abstractNum w:abstractNumId="6">
    <w:lvl w:ilvl="0">
      <w:start w:val="1"/>
      <w:numFmt w:val="decimal"/>
      <w:lvlText w:val="%1."/>
      <w:lvlJc w:val="left"/>
      <w:pPr>
        <w:ind w:hanging="360" w:left="720"/>
      </w:pPr>
    </w:lvl>
    <w:lvl w:ilvl="1">
      <w:start w:val="1"/>
      <w:numFmt w:val="decimal"/>
      <w:lvlText w:val="%1.%2."/>
      <w:lvlJc w:val="left"/>
      <w:pPr>
        <w:ind w:hanging="360" w:left="1770"/>
      </w:pPr>
    </w:lvl>
    <w:lvl w:ilvl="2">
      <w:start w:val="1"/>
      <w:numFmt w:val="decimal"/>
      <w:lvlText w:val="%1.%2.%3."/>
      <w:lvlJc w:val="left"/>
      <w:pPr>
        <w:ind w:hanging="720" w:left="3180"/>
      </w:pPr>
    </w:lvl>
    <w:lvl w:ilvl="3">
      <w:start w:val="1"/>
      <w:numFmt w:val="decimal"/>
      <w:lvlText w:val="%1.%2.%3.%4."/>
      <w:lvlJc w:val="left"/>
      <w:pPr>
        <w:ind w:hanging="720" w:left="4230"/>
      </w:pPr>
    </w:lvl>
    <w:lvl w:ilvl="4">
      <w:start w:val="1"/>
      <w:numFmt w:val="decimal"/>
      <w:lvlText w:val="%1.%2.%3.%4.%5."/>
      <w:lvlJc w:val="left"/>
      <w:pPr>
        <w:ind w:hanging="720" w:left="5280"/>
      </w:pPr>
    </w:lvl>
    <w:lvl w:ilvl="5">
      <w:start w:val="1"/>
      <w:numFmt w:val="decimal"/>
      <w:lvlText w:val="%1.%2.%3.%4.%5.%6."/>
      <w:lvlJc w:val="left"/>
      <w:pPr>
        <w:ind w:hanging="1080" w:left="6690"/>
      </w:pPr>
    </w:lvl>
    <w:lvl w:ilvl="6">
      <w:start w:val="1"/>
      <w:numFmt w:val="decimal"/>
      <w:lvlText w:val="%1.%2.%3.%4.%5.%6.%7."/>
      <w:lvlJc w:val="left"/>
      <w:pPr>
        <w:ind w:hanging="1080" w:left="7740"/>
      </w:pPr>
    </w:lvl>
    <w:lvl w:ilvl="7">
      <w:start w:val="1"/>
      <w:numFmt w:val="decimal"/>
      <w:lvlText w:val="%1.%2.%3.%4.%5.%6.%7.%8."/>
      <w:lvlJc w:val="left"/>
      <w:pPr>
        <w:ind w:hanging="1080" w:left="8790"/>
      </w:pPr>
    </w:lvl>
    <w:lvl w:ilvl="8">
      <w:start w:val="1"/>
      <w:numFmt w:val="decimal"/>
      <w:lvlText w:val="%1.%2.%3.%4.%5.%6.%7.%8.%9."/>
      <w:lvlJc w:val="left"/>
      <w:pPr>
        <w:ind w:hanging="1440" w:left="1020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decimal"/>
      <w:lvlText w:val="%1.%2."/>
      <w:lvlJc w:val="left"/>
      <w:pPr>
        <w:ind w:hanging="360" w:left="1770"/>
      </w:pPr>
    </w:lvl>
    <w:lvl w:ilvl="2">
      <w:start w:val="1"/>
      <w:numFmt w:val="decimal"/>
      <w:lvlText w:val="%1.%2.%3."/>
      <w:lvlJc w:val="left"/>
      <w:pPr>
        <w:ind w:hanging="720" w:left="3180"/>
      </w:pPr>
    </w:lvl>
    <w:lvl w:ilvl="3">
      <w:start w:val="1"/>
      <w:numFmt w:val="decimal"/>
      <w:lvlText w:val="%1.%2.%3.%4."/>
      <w:lvlJc w:val="left"/>
      <w:pPr>
        <w:ind w:hanging="720" w:left="4230"/>
      </w:pPr>
    </w:lvl>
    <w:lvl w:ilvl="4">
      <w:start w:val="1"/>
      <w:numFmt w:val="decimal"/>
      <w:lvlText w:val="%1.%2.%3.%4.%5."/>
      <w:lvlJc w:val="left"/>
      <w:pPr>
        <w:ind w:hanging="720" w:left="5280"/>
      </w:pPr>
    </w:lvl>
    <w:lvl w:ilvl="5">
      <w:start w:val="1"/>
      <w:numFmt w:val="decimal"/>
      <w:lvlText w:val="%1.%2.%3.%4.%5.%6."/>
      <w:lvlJc w:val="left"/>
      <w:pPr>
        <w:ind w:hanging="1080" w:left="6690"/>
      </w:pPr>
    </w:lvl>
    <w:lvl w:ilvl="6">
      <w:start w:val="1"/>
      <w:numFmt w:val="decimal"/>
      <w:lvlText w:val="%1.%2.%3.%4.%5.%6.%7."/>
      <w:lvlJc w:val="left"/>
      <w:pPr>
        <w:ind w:hanging="1080" w:left="7740"/>
      </w:pPr>
    </w:lvl>
    <w:lvl w:ilvl="7">
      <w:start w:val="1"/>
      <w:numFmt w:val="decimal"/>
      <w:lvlText w:val="%1.%2.%3.%4.%5.%6.%7.%8."/>
      <w:lvlJc w:val="left"/>
      <w:pPr>
        <w:ind w:hanging="1080" w:left="8790"/>
      </w:pPr>
    </w:lvl>
    <w:lvl w:ilvl="8">
      <w:start w:val="1"/>
      <w:numFmt w:val="decimal"/>
      <w:lvlText w:val="%1.%2.%3.%4.%5.%6.%7.%8.%9."/>
      <w:lvlJc w:val="left"/>
      <w:pPr>
        <w:ind w:hanging="1440" w:left="1020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11">
    <w:lvl w:ilvl="0">
      <w:start w:val="1"/>
      <w:numFmt w:val="decimal"/>
      <w:lvlText w:val="%1."/>
      <w:lvlJc w:val="left"/>
      <w:pPr>
        <w:ind w:hanging="360" w:left="720"/>
      </w:pPr>
    </w:lvl>
    <w:lvl w:ilvl="1">
      <w:start w:val="1"/>
      <w:numFmt w:val="decimal"/>
      <w:lvlText w:val="%1.%2."/>
      <w:lvlJc w:val="left"/>
      <w:pPr>
        <w:ind w:hanging="360" w:left="1770"/>
      </w:pPr>
    </w:lvl>
    <w:lvl w:ilvl="2">
      <w:start w:val="1"/>
      <w:numFmt w:val="decimal"/>
      <w:lvlText w:val="%1.%2.%3."/>
      <w:lvlJc w:val="left"/>
      <w:pPr>
        <w:ind w:hanging="720" w:left="3180"/>
      </w:pPr>
    </w:lvl>
    <w:lvl w:ilvl="3">
      <w:start w:val="1"/>
      <w:numFmt w:val="decimal"/>
      <w:lvlText w:val="%1.%2.%3.%4."/>
      <w:lvlJc w:val="left"/>
      <w:pPr>
        <w:ind w:hanging="720" w:left="4230"/>
      </w:pPr>
    </w:lvl>
    <w:lvl w:ilvl="4">
      <w:start w:val="1"/>
      <w:numFmt w:val="decimal"/>
      <w:lvlText w:val="%1.%2.%3.%4.%5."/>
      <w:lvlJc w:val="left"/>
      <w:pPr>
        <w:ind w:hanging="720" w:left="5280"/>
      </w:pPr>
    </w:lvl>
    <w:lvl w:ilvl="5">
      <w:start w:val="1"/>
      <w:numFmt w:val="decimal"/>
      <w:lvlText w:val="%1.%2.%3.%4.%5.%6."/>
      <w:lvlJc w:val="left"/>
      <w:pPr>
        <w:ind w:hanging="1080" w:left="6690"/>
      </w:pPr>
    </w:lvl>
    <w:lvl w:ilvl="6">
      <w:start w:val="1"/>
      <w:numFmt w:val="decimal"/>
      <w:lvlText w:val="%1.%2.%3.%4.%5.%6.%7."/>
      <w:lvlJc w:val="left"/>
      <w:pPr>
        <w:ind w:hanging="1080" w:left="7740"/>
      </w:pPr>
    </w:lvl>
    <w:lvl w:ilvl="7">
      <w:start w:val="1"/>
      <w:numFmt w:val="decimal"/>
      <w:lvlText w:val="%1.%2.%3.%4.%5.%6.%7.%8."/>
      <w:lvlJc w:val="left"/>
      <w:pPr>
        <w:ind w:hanging="1080" w:left="8790"/>
      </w:pPr>
    </w:lvl>
    <w:lvl w:ilvl="8">
      <w:start w:val="1"/>
      <w:numFmt w:val="decimal"/>
      <w:lvlText w:val="%1.%2.%3.%4.%5.%6.%7.%8.%9."/>
      <w:lvlJc w:val="left"/>
      <w:pPr>
        <w:ind w:hanging="1440" w:left="10200"/>
      </w:p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Calibri" w:eastAsia="Times New Roman" w:hAnsi="Times New Roman"/>
      <w:color w:val="00000A"/>
      <w:sz w:val="24"/>
      <w:szCs w:val="24"/>
      <w:lang w:bidi="ar-SA" w:eastAsia="ar-SA" w:val="ru-RU"/>
    </w:rPr>
  </w:style>
  <w:style w:styleId="style1" w:type="paragraph">
    <w:name w:val="Заголовок 1"/>
    <w:basedOn w:val="style0"/>
    <w:next w:val="style1"/>
    <w:pPr>
      <w:keepNext/>
      <w:tabs>
        <w:tab w:leader="none" w:pos="0" w:val="left"/>
      </w:tabs>
      <w:spacing w:after="60" w:before="240"/>
      <w:contextualSpacing w:val="false"/>
    </w:pPr>
    <w:rPr>
      <w:rFonts w:ascii="Cambria" w:cs="Times New Roman" w:hAnsi="Cambria"/>
      <w:b/>
      <w:bCs/>
      <w:sz w:val="32"/>
      <w:szCs w:val="32"/>
    </w:rPr>
  </w:style>
  <w:style w:styleId="style2" w:type="paragraph">
    <w:name w:val="Заголовок 2"/>
    <w:basedOn w:val="style0"/>
    <w:next w:val="style2"/>
    <w:pPr>
      <w:keepNext/>
      <w:tabs>
        <w:tab w:leader="none" w:pos="0" w:val="left"/>
      </w:tabs>
      <w:spacing w:after="60" w:before="240"/>
      <w:contextualSpacing w:val="false"/>
    </w:pPr>
    <w:rPr>
      <w:rFonts w:ascii="Cambria" w:cs="Times New Roman" w:hAnsi="Cambria"/>
      <w:b/>
      <w:bCs/>
      <w:i/>
      <w:iCs/>
      <w:sz w:val="28"/>
      <w:szCs w:val="28"/>
    </w:rPr>
  </w:style>
  <w:style w:styleId="style3" w:type="paragraph">
    <w:name w:val="Заголовок 3"/>
    <w:basedOn w:val="style0"/>
    <w:next w:val="style3"/>
    <w:pPr>
      <w:keepNext/>
      <w:spacing w:after="60" w:before="240"/>
      <w:contextualSpacing w:val="false"/>
    </w:pPr>
    <w:rPr>
      <w:rFonts w:ascii="Cambria" w:cs="Times New Roman" w:hAnsi="Cambria"/>
      <w:b/>
      <w:bCs/>
      <w:sz w:val="26"/>
      <w:szCs w:val="26"/>
    </w:rPr>
  </w:style>
  <w:style w:styleId="style4" w:type="paragraph">
    <w:name w:val="Заголовок 4"/>
    <w:basedOn w:val="style0"/>
    <w:next w:val="style4"/>
    <w:pPr>
      <w:keepNext/>
      <w:tabs>
        <w:tab w:leader="none" w:pos="0" w:val="left"/>
        <w:tab w:leader="none" w:pos="1080" w:val="left"/>
      </w:tabs>
    </w:pPr>
    <w:rPr>
      <w:b/>
      <w:bCs/>
      <w:sz w:val="20"/>
      <w:szCs w:val="20"/>
    </w:rPr>
  </w:style>
  <w:style w:styleId="style7" w:type="paragraph">
    <w:name w:val="Заголовок 7"/>
    <w:basedOn w:val="style0"/>
    <w:next w:val="style7"/>
    <w:pPr>
      <w:tabs>
        <w:tab w:leader="none" w:pos="0" w:val="left"/>
      </w:tabs>
      <w:spacing w:after="60" w:before="240"/>
      <w:contextualSpacing w:val="false"/>
    </w:pPr>
    <w:rPr>
      <w:rFonts w:ascii="Calibri" w:cs="Times New Roman" w:hAnsi="Calibri"/>
    </w:rPr>
  </w:style>
  <w:style w:styleId="style15" w:type="character">
    <w:name w:val="Default Paragraph Font"/>
    <w:next w:val="style15"/>
    <w:rPr/>
  </w:style>
  <w:style w:styleId="style16" w:type="character">
    <w:name w:val="WW8Num3z0"/>
    <w:next w:val="style16"/>
    <w:rPr>
      <w:rFonts w:ascii="Symbol" w:hAnsi="Symbol"/>
    </w:rPr>
  </w:style>
  <w:style w:styleId="style17" w:type="character">
    <w:name w:val="Absatz-Standardschriftart"/>
    <w:next w:val="style17"/>
    <w:rPr/>
  </w:style>
  <w:style w:styleId="style18" w:type="character">
    <w:name w:val="WW-Absatz-Standardschriftart"/>
    <w:next w:val="style18"/>
    <w:rPr/>
  </w:style>
  <w:style w:styleId="style19" w:type="character">
    <w:name w:val="Основной шрифт абзаца7"/>
    <w:next w:val="style19"/>
    <w:rPr/>
  </w:style>
  <w:style w:styleId="style20" w:type="character">
    <w:name w:val="WW8Num2z0"/>
    <w:next w:val="style20"/>
    <w:rPr>
      <w:rFonts w:ascii="Symbol" w:cs="StarSymbol" w:hAnsi="Symbol"/>
      <w:sz w:val="18"/>
      <w:szCs w:val="18"/>
    </w:rPr>
  </w:style>
  <w:style w:styleId="style21" w:type="character">
    <w:name w:val="Основной шрифт абзаца6"/>
    <w:next w:val="style21"/>
    <w:rPr/>
  </w:style>
  <w:style w:styleId="style22" w:type="character">
    <w:name w:val="Основной шрифт абзаца5"/>
    <w:next w:val="style22"/>
    <w:rPr/>
  </w:style>
  <w:style w:styleId="style23" w:type="character">
    <w:name w:val="Основной шрифт абзаца4"/>
    <w:next w:val="style23"/>
    <w:rPr/>
  </w:style>
  <w:style w:styleId="style24" w:type="character">
    <w:name w:val="WW-Absatz-Standardschriftart1"/>
    <w:next w:val="style24"/>
    <w:rPr/>
  </w:style>
  <w:style w:styleId="style25" w:type="character">
    <w:name w:val="WW8Num5z0"/>
    <w:next w:val="style25"/>
    <w:rPr>
      <w:rFonts w:ascii="Symbol" w:cs="StarSymbol" w:hAnsi="Symbol"/>
      <w:sz w:val="18"/>
      <w:szCs w:val="18"/>
    </w:rPr>
  </w:style>
  <w:style w:styleId="style26" w:type="character">
    <w:name w:val="WW8Num7z0"/>
    <w:next w:val="style26"/>
    <w:rPr>
      <w:rFonts w:ascii="Symbol" w:cs="Symbol" w:hAnsi="Symbol"/>
    </w:rPr>
  </w:style>
  <w:style w:styleId="style27" w:type="character">
    <w:name w:val="WW8Num7z2"/>
    <w:next w:val="style27"/>
    <w:rPr>
      <w:rFonts w:ascii="Wingdings" w:cs="Wingdings" w:hAnsi="Wingdings"/>
    </w:rPr>
  </w:style>
  <w:style w:styleId="style28" w:type="character">
    <w:name w:val="WW8Num7z4"/>
    <w:next w:val="style28"/>
    <w:rPr>
      <w:rFonts w:ascii="Wingdings 2" w:cs="StarSymbol" w:hAnsi="Wingdings 2"/>
      <w:sz w:val="18"/>
      <w:szCs w:val="18"/>
    </w:rPr>
  </w:style>
  <w:style w:styleId="style29" w:type="character">
    <w:name w:val="WW8Num8z0"/>
    <w:next w:val="style29"/>
    <w:rPr>
      <w:rFonts w:ascii="Wingdings" w:cs="StarSymbol" w:hAnsi="Wingdings"/>
      <w:sz w:val="18"/>
      <w:szCs w:val="18"/>
    </w:rPr>
  </w:style>
  <w:style w:styleId="style30" w:type="character">
    <w:name w:val="WW8Num8z1"/>
    <w:next w:val="style30"/>
    <w:rPr>
      <w:rFonts w:ascii="Wingdings 2" w:cs="StarSymbol" w:hAnsi="Wingdings 2"/>
      <w:sz w:val="18"/>
      <w:szCs w:val="18"/>
    </w:rPr>
  </w:style>
  <w:style w:styleId="style31" w:type="character">
    <w:name w:val="WW8Num8z2"/>
    <w:next w:val="style31"/>
    <w:rPr>
      <w:rFonts w:ascii="StarSymbol" w:cs="StarSymbol" w:hAnsi="StarSymbol"/>
      <w:sz w:val="18"/>
      <w:szCs w:val="18"/>
    </w:rPr>
  </w:style>
  <w:style w:styleId="style32" w:type="character">
    <w:name w:val="WW8Num8z3"/>
    <w:next w:val="style32"/>
    <w:rPr>
      <w:rFonts w:ascii="Wingdings" w:cs="StarSymbol" w:hAnsi="Wingdings"/>
      <w:sz w:val="18"/>
      <w:szCs w:val="18"/>
    </w:rPr>
  </w:style>
  <w:style w:styleId="style33" w:type="character">
    <w:name w:val="WW8Num9z0"/>
    <w:next w:val="style33"/>
    <w:rPr>
      <w:rFonts w:ascii="Wingdings" w:cs="StarSymbol" w:hAnsi="Wingdings"/>
      <w:sz w:val="18"/>
      <w:szCs w:val="18"/>
    </w:rPr>
  </w:style>
  <w:style w:styleId="style34" w:type="character">
    <w:name w:val="WW8Num9z1"/>
    <w:next w:val="style34"/>
    <w:rPr>
      <w:rFonts w:ascii="Wingdings 2" w:cs="StarSymbol" w:hAnsi="Wingdings 2"/>
      <w:sz w:val="18"/>
      <w:szCs w:val="18"/>
    </w:rPr>
  </w:style>
  <w:style w:styleId="style35" w:type="character">
    <w:name w:val="WW8Num9z2"/>
    <w:next w:val="style35"/>
    <w:rPr>
      <w:rFonts w:ascii="StarSymbol" w:cs="StarSymbol" w:hAnsi="StarSymbol"/>
      <w:sz w:val="18"/>
      <w:szCs w:val="18"/>
    </w:rPr>
  </w:style>
  <w:style w:styleId="style36" w:type="character">
    <w:name w:val="WW8Num9z4"/>
    <w:next w:val="style36"/>
    <w:rPr>
      <w:rFonts w:ascii="Wingdings 2" w:cs="StarSymbol" w:hAnsi="Wingdings 2"/>
      <w:sz w:val="18"/>
      <w:szCs w:val="18"/>
    </w:rPr>
  </w:style>
  <w:style w:styleId="style37" w:type="character">
    <w:name w:val="WW8Num10z0"/>
    <w:next w:val="style37"/>
    <w:rPr>
      <w:b/>
    </w:rPr>
  </w:style>
  <w:style w:styleId="style38" w:type="character">
    <w:name w:val="WW8Num10z2"/>
    <w:next w:val="style38"/>
    <w:rPr>
      <w:rFonts w:ascii="StarSymbol" w:cs="StarSymbol" w:hAnsi="StarSymbol"/>
      <w:sz w:val="18"/>
      <w:szCs w:val="18"/>
    </w:rPr>
  </w:style>
  <w:style w:styleId="style39" w:type="character">
    <w:name w:val="WW8Num10z4"/>
    <w:next w:val="style39"/>
    <w:rPr>
      <w:rFonts w:ascii="Wingdings 2" w:cs="StarSymbol" w:hAnsi="Wingdings 2"/>
      <w:sz w:val="18"/>
      <w:szCs w:val="18"/>
    </w:rPr>
  </w:style>
  <w:style w:styleId="style40" w:type="character">
    <w:name w:val="WW8Num12z0"/>
    <w:next w:val="style40"/>
    <w:rPr>
      <w:rFonts w:ascii="Wingdings" w:cs="StarSymbol" w:hAnsi="Wingdings"/>
      <w:sz w:val="18"/>
      <w:szCs w:val="18"/>
    </w:rPr>
  </w:style>
  <w:style w:styleId="style41" w:type="character">
    <w:name w:val="WW8Num12z2"/>
    <w:next w:val="style41"/>
    <w:rPr>
      <w:rFonts w:ascii="StarSymbol" w:cs="StarSymbol" w:hAnsi="StarSymbol"/>
      <w:sz w:val="18"/>
      <w:szCs w:val="18"/>
    </w:rPr>
  </w:style>
  <w:style w:styleId="style42" w:type="character">
    <w:name w:val="WW8Num12z4"/>
    <w:next w:val="style42"/>
    <w:rPr>
      <w:rFonts w:ascii="Wingdings 2" w:cs="StarSymbol" w:hAnsi="Wingdings 2"/>
      <w:sz w:val="18"/>
      <w:szCs w:val="18"/>
    </w:rPr>
  </w:style>
  <w:style w:styleId="style43" w:type="character">
    <w:name w:val="Основной шрифт абзаца3"/>
    <w:next w:val="style43"/>
    <w:rPr/>
  </w:style>
  <w:style w:styleId="style44" w:type="character">
    <w:name w:val="WW-Absatz-Standardschriftart11"/>
    <w:next w:val="style44"/>
    <w:rPr/>
  </w:style>
  <w:style w:styleId="style45" w:type="character">
    <w:name w:val="WW-Absatz-Standardschriftart111"/>
    <w:next w:val="style45"/>
    <w:rPr/>
  </w:style>
  <w:style w:styleId="style46" w:type="character">
    <w:name w:val="WW-Absatz-Standardschriftart1111"/>
    <w:next w:val="style46"/>
    <w:rPr/>
  </w:style>
  <w:style w:styleId="style47" w:type="character">
    <w:name w:val="WW-Absatz-Standardschriftart11111"/>
    <w:next w:val="style47"/>
    <w:rPr/>
  </w:style>
  <w:style w:styleId="style48" w:type="character">
    <w:name w:val="Основной шрифт абзаца2"/>
    <w:next w:val="style48"/>
    <w:rPr/>
  </w:style>
  <w:style w:styleId="style49" w:type="character">
    <w:name w:val="WW8Num6z0"/>
    <w:next w:val="style49"/>
    <w:rPr>
      <w:rFonts w:ascii="Symbol" w:cs="StarSymbol" w:hAnsi="Symbol"/>
      <w:sz w:val="18"/>
      <w:szCs w:val="18"/>
    </w:rPr>
  </w:style>
  <w:style w:styleId="style50" w:type="character">
    <w:name w:val="WW8Num8z4"/>
    <w:next w:val="style50"/>
    <w:rPr>
      <w:rFonts w:ascii="Wingdings 2" w:cs="StarSymbol" w:hAnsi="Wingdings 2"/>
      <w:sz w:val="18"/>
      <w:szCs w:val="18"/>
    </w:rPr>
  </w:style>
  <w:style w:styleId="style51" w:type="character">
    <w:name w:val="WW8Num9z3"/>
    <w:next w:val="style51"/>
    <w:rPr>
      <w:rFonts w:ascii="Wingdings" w:cs="StarSymbol" w:hAnsi="Wingdings"/>
      <w:sz w:val="18"/>
      <w:szCs w:val="18"/>
    </w:rPr>
  </w:style>
  <w:style w:styleId="style52" w:type="character">
    <w:name w:val="WW8Num10z1"/>
    <w:next w:val="style52"/>
    <w:rPr>
      <w:rFonts w:ascii="Wingdings 2" w:cs="StarSymbol" w:hAnsi="Wingdings 2"/>
      <w:sz w:val="18"/>
      <w:szCs w:val="18"/>
    </w:rPr>
  </w:style>
  <w:style w:styleId="style53" w:type="character">
    <w:name w:val="WW8Num11z0"/>
    <w:next w:val="style53"/>
    <w:rPr>
      <w:rFonts w:ascii="Symbol" w:cs="StarSymbol" w:hAnsi="Symbol"/>
      <w:sz w:val="18"/>
      <w:szCs w:val="18"/>
    </w:rPr>
  </w:style>
  <w:style w:styleId="style54" w:type="character">
    <w:name w:val="WW8Num11z2"/>
    <w:next w:val="style54"/>
    <w:rPr>
      <w:rFonts w:ascii="StarSymbol" w:cs="StarSymbol" w:hAnsi="StarSymbol"/>
      <w:sz w:val="18"/>
      <w:szCs w:val="18"/>
    </w:rPr>
  </w:style>
  <w:style w:styleId="style55" w:type="character">
    <w:name w:val="WW8Num11z4"/>
    <w:next w:val="style55"/>
    <w:rPr>
      <w:rFonts w:ascii="Wingdings 2" w:cs="StarSymbol" w:hAnsi="Wingdings 2"/>
      <w:sz w:val="18"/>
      <w:szCs w:val="18"/>
    </w:rPr>
  </w:style>
  <w:style w:styleId="style56" w:type="character">
    <w:name w:val="WW8Num13z0"/>
    <w:next w:val="style56"/>
    <w:rPr>
      <w:rFonts w:ascii="Wingdings" w:cs="StarSymbol" w:hAnsi="Wingdings"/>
      <w:sz w:val="18"/>
      <w:szCs w:val="18"/>
    </w:rPr>
  </w:style>
  <w:style w:styleId="style57" w:type="character">
    <w:name w:val="WW8Num13z2"/>
    <w:next w:val="style57"/>
    <w:rPr>
      <w:rFonts w:ascii="StarSymbol" w:cs="StarSymbol" w:hAnsi="StarSymbol"/>
      <w:sz w:val="18"/>
      <w:szCs w:val="18"/>
    </w:rPr>
  </w:style>
  <w:style w:styleId="style58" w:type="character">
    <w:name w:val="WW8Num13z4"/>
    <w:next w:val="style58"/>
    <w:rPr>
      <w:rFonts w:ascii="Wingdings 2" w:cs="StarSymbol" w:hAnsi="Wingdings 2"/>
      <w:sz w:val="18"/>
      <w:szCs w:val="18"/>
    </w:rPr>
  </w:style>
  <w:style w:styleId="style59" w:type="character">
    <w:name w:val="WW-Absatz-Standardschriftart111111"/>
    <w:next w:val="style59"/>
    <w:rPr/>
  </w:style>
  <w:style w:styleId="style60" w:type="character">
    <w:name w:val="WW-Absatz-Standardschriftart1111111"/>
    <w:next w:val="style60"/>
    <w:rPr/>
  </w:style>
  <w:style w:styleId="style61" w:type="character">
    <w:name w:val="WW-Absatz-Standardschriftart11111111"/>
    <w:next w:val="style61"/>
    <w:rPr/>
  </w:style>
  <w:style w:styleId="style62" w:type="character">
    <w:name w:val="WW-Absatz-Standardschriftart111111111"/>
    <w:next w:val="style62"/>
    <w:rPr/>
  </w:style>
  <w:style w:styleId="style63" w:type="character">
    <w:name w:val="WW8Num10z3"/>
    <w:next w:val="style63"/>
    <w:rPr>
      <w:rFonts w:ascii="Wingdings" w:cs="StarSymbol" w:hAnsi="Wingdings"/>
      <w:sz w:val="18"/>
      <w:szCs w:val="18"/>
    </w:rPr>
  </w:style>
  <w:style w:styleId="style64" w:type="character">
    <w:name w:val="WW8Num11z1"/>
    <w:next w:val="style64"/>
    <w:rPr>
      <w:rFonts w:ascii="Wingdings 2" w:cs="StarSymbol" w:hAnsi="Wingdings 2"/>
      <w:sz w:val="18"/>
      <w:szCs w:val="18"/>
    </w:rPr>
  </w:style>
  <w:style w:styleId="style65" w:type="character">
    <w:name w:val="WW8Num14z0"/>
    <w:next w:val="style65"/>
    <w:rPr>
      <w:rFonts w:ascii="Wingdings" w:cs="StarSymbol" w:hAnsi="Wingdings"/>
      <w:sz w:val="18"/>
      <w:szCs w:val="18"/>
    </w:rPr>
  </w:style>
  <w:style w:styleId="style66" w:type="character">
    <w:name w:val="WW8Num14z2"/>
    <w:next w:val="style66"/>
    <w:rPr>
      <w:rFonts w:ascii="StarSymbol" w:cs="StarSymbol" w:hAnsi="StarSymbol"/>
      <w:sz w:val="18"/>
      <w:szCs w:val="18"/>
    </w:rPr>
  </w:style>
  <w:style w:styleId="style67" w:type="character">
    <w:name w:val="WW8Num14z4"/>
    <w:next w:val="style67"/>
    <w:rPr>
      <w:rFonts w:ascii="Wingdings 2" w:cs="StarSymbol" w:hAnsi="Wingdings 2"/>
      <w:sz w:val="18"/>
      <w:szCs w:val="18"/>
    </w:rPr>
  </w:style>
  <w:style w:styleId="style68" w:type="character">
    <w:name w:val="WW-Absatz-Standardschriftart1111111111"/>
    <w:next w:val="style68"/>
    <w:rPr/>
  </w:style>
  <w:style w:styleId="style69" w:type="character">
    <w:name w:val="WW8Num11z3"/>
    <w:next w:val="style69"/>
    <w:rPr>
      <w:rFonts w:ascii="Wingdings" w:cs="StarSymbol" w:hAnsi="Wingdings"/>
      <w:sz w:val="18"/>
      <w:szCs w:val="18"/>
    </w:rPr>
  </w:style>
  <w:style w:styleId="style70" w:type="character">
    <w:name w:val="WW8Num12z1"/>
    <w:next w:val="style70"/>
    <w:rPr>
      <w:rFonts w:ascii="Symbol" w:cs="StarSymbol" w:hAnsi="Symbol"/>
      <w:sz w:val="18"/>
      <w:szCs w:val="18"/>
    </w:rPr>
  </w:style>
  <w:style w:styleId="style71" w:type="character">
    <w:name w:val="WW-Absatz-Standardschriftart11111111111"/>
    <w:next w:val="style71"/>
    <w:rPr/>
  </w:style>
  <w:style w:styleId="style72" w:type="character">
    <w:name w:val="WW8Num3z1"/>
    <w:next w:val="style72"/>
    <w:rPr>
      <w:rFonts w:ascii="Courier New" w:cs="Courier New" w:hAnsi="Courier New"/>
    </w:rPr>
  </w:style>
  <w:style w:styleId="style73" w:type="character">
    <w:name w:val="WW8Num3z2"/>
    <w:next w:val="style73"/>
    <w:rPr>
      <w:rFonts w:ascii="Wingdings" w:hAnsi="Wingdings"/>
    </w:rPr>
  </w:style>
  <w:style w:styleId="style74" w:type="character">
    <w:name w:val="WW8Num4z0"/>
    <w:next w:val="style74"/>
    <w:rPr>
      <w:b/>
    </w:rPr>
  </w:style>
  <w:style w:styleId="style75" w:type="character">
    <w:name w:val="WW8Num7z1"/>
    <w:next w:val="style75"/>
    <w:rPr>
      <w:rFonts w:ascii="Courier New" w:cs="Courier New" w:hAnsi="Courier New"/>
    </w:rPr>
  </w:style>
  <w:style w:styleId="style76" w:type="character">
    <w:name w:val="WW8Num15z1"/>
    <w:next w:val="style76"/>
    <w:rPr>
      <w:b w:val="false"/>
    </w:rPr>
  </w:style>
  <w:style w:styleId="style77" w:type="character">
    <w:name w:val="WW8Num16z0"/>
    <w:next w:val="style77"/>
    <w:rPr>
      <w:rFonts w:ascii="Symbol" w:hAnsi="Symbol"/>
    </w:rPr>
  </w:style>
  <w:style w:styleId="style78" w:type="character">
    <w:name w:val="WW8Num16z1"/>
    <w:next w:val="style78"/>
    <w:rPr>
      <w:rFonts w:ascii="Courier New" w:cs="Courier New" w:hAnsi="Courier New"/>
    </w:rPr>
  </w:style>
  <w:style w:styleId="style79" w:type="character">
    <w:name w:val="WW8Num16z2"/>
    <w:next w:val="style79"/>
    <w:rPr>
      <w:rFonts w:ascii="Wingdings" w:hAnsi="Wingdings"/>
    </w:rPr>
  </w:style>
  <w:style w:styleId="style80" w:type="character">
    <w:name w:val="WW8Num17z0"/>
    <w:next w:val="style80"/>
    <w:rPr>
      <w:rFonts w:ascii="Symbol" w:cs="Symbol" w:hAnsi="Symbol"/>
    </w:rPr>
  </w:style>
  <w:style w:styleId="style81" w:type="character">
    <w:name w:val="WW8Num20z1"/>
    <w:next w:val="style81"/>
    <w:rPr>
      <w:rFonts w:ascii="Symbol" w:cs="Symbol" w:hAnsi="Symbol"/>
    </w:rPr>
  </w:style>
  <w:style w:styleId="style82" w:type="character">
    <w:name w:val="WW8Num21z0"/>
    <w:next w:val="style82"/>
    <w:rPr>
      <w:rFonts w:ascii="Symbol" w:hAnsi="Symbol"/>
    </w:rPr>
  </w:style>
  <w:style w:styleId="style83" w:type="character">
    <w:name w:val="WW8Num21z1"/>
    <w:next w:val="style83"/>
    <w:rPr>
      <w:rFonts w:ascii="Courier New" w:cs="Courier New" w:hAnsi="Courier New"/>
    </w:rPr>
  </w:style>
  <w:style w:styleId="style84" w:type="character">
    <w:name w:val="WW8Num21z2"/>
    <w:next w:val="style84"/>
    <w:rPr>
      <w:rFonts w:ascii="Wingdings" w:hAnsi="Wingdings"/>
    </w:rPr>
  </w:style>
  <w:style w:styleId="style85" w:type="character">
    <w:name w:val="WW8Num22z0"/>
    <w:next w:val="style85"/>
    <w:rPr>
      <w:rFonts w:ascii="Wingdings" w:hAnsi="Wingdings"/>
    </w:rPr>
  </w:style>
  <w:style w:styleId="style86" w:type="character">
    <w:name w:val="WW8Num23z0"/>
    <w:next w:val="style86"/>
    <w:rPr>
      <w:rFonts w:ascii="Symbol" w:hAnsi="Symbol"/>
    </w:rPr>
  </w:style>
  <w:style w:styleId="style87" w:type="character">
    <w:name w:val="WW8Num23z1"/>
    <w:next w:val="style87"/>
    <w:rPr>
      <w:rFonts w:ascii="Courier New" w:cs="Courier New" w:hAnsi="Courier New"/>
    </w:rPr>
  </w:style>
  <w:style w:styleId="style88" w:type="character">
    <w:name w:val="WW8Num23z2"/>
    <w:next w:val="style88"/>
    <w:rPr>
      <w:rFonts w:ascii="Wingdings" w:hAnsi="Wingdings"/>
    </w:rPr>
  </w:style>
  <w:style w:styleId="style89" w:type="character">
    <w:name w:val="WW8Num28z0"/>
    <w:next w:val="style89"/>
    <w:rPr>
      <w:b/>
    </w:rPr>
  </w:style>
  <w:style w:styleId="style90" w:type="character">
    <w:name w:val="WW8Num30z1"/>
    <w:next w:val="style90"/>
    <w:rPr>
      <w:rFonts w:ascii="Wingdings" w:hAnsi="Wingdings"/>
    </w:rPr>
  </w:style>
  <w:style w:styleId="style91" w:type="character">
    <w:name w:val="WW8Num32z0"/>
    <w:next w:val="style91"/>
    <w:rPr>
      <w:rFonts w:ascii="Symbol" w:hAnsi="Symbol"/>
    </w:rPr>
  </w:style>
  <w:style w:styleId="style92" w:type="character">
    <w:name w:val="WW8Num32z1"/>
    <w:next w:val="style92"/>
    <w:rPr>
      <w:rFonts w:ascii="Courier New" w:cs="Courier New" w:hAnsi="Courier New"/>
    </w:rPr>
  </w:style>
  <w:style w:styleId="style93" w:type="character">
    <w:name w:val="WW8Num32z2"/>
    <w:next w:val="style93"/>
    <w:rPr>
      <w:rFonts w:ascii="Wingdings" w:hAnsi="Wingdings"/>
    </w:rPr>
  </w:style>
  <w:style w:styleId="style94" w:type="character">
    <w:name w:val="WW8Num33z1"/>
    <w:next w:val="style94"/>
    <w:rPr>
      <w:rFonts w:ascii="Symbol" w:cs="Symbol" w:hAnsi="Symbol"/>
    </w:rPr>
  </w:style>
  <w:style w:styleId="style95" w:type="character">
    <w:name w:val="WW8Num39z0"/>
    <w:next w:val="style95"/>
    <w:rPr>
      <w:b/>
    </w:rPr>
  </w:style>
  <w:style w:styleId="style96" w:type="character">
    <w:name w:val="WW8Num41z0"/>
    <w:next w:val="style96"/>
    <w:rPr>
      <w:b/>
      <w:bCs/>
    </w:rPr>
  </w:style>
  <w:style w:styleId="style97" w:type="character">
    <w:name w:val="WW8Num41z1"/>
    <w:next w:val="style97"/>
    <w:rPr>
      <w:b w:val="false"/>
      <w:bCs w:val="false"/>
    </w:rPr>
  </w:style>
  <w:style w:styleId="style98" w:type="character">
    <w:name w:val="WW8Num47z0"/>
    <w:next w:val="style98"/>
    <w:rPr>
      <w:rFonts w:ascii="Symbol" w:hAnsi="Symbol"/>
    </w:rPr>
  </w:style>
  <w:style w:styleId="style99" w:type="character">
    <w:name w:val="WW8Num48z0"/>
    <w:next w:val="style99"/>
    <w:rPr>
      <w:b/>
    </w:rPr>
  </w:style>
  <w:style w:styleId="style100" w:type="character">
    <w:name w:val="WW8Num50z0"/>
    <w:next w:val="style100"/>
    <w:rPr>
      <w:b/>
    </w:rPr>
  </w:style>
  <w:style w:styleId="style101" w:type="character">
    <w:name w:val="Основной шрифт абзаца1"/>
    <w:next w:val="style101"/>
    <w:rPr/>
  </w:style>
  <w:style w:styleId="style102" w:type="character">
    <w:name w:val="Основной текст с отступом 3 Знак"/>
    <w:basedOn w:val="style101"/>
    <w:next w:val="style102"/>
    <w:rPr>
      <w:rFonts w:ascii="Times New Roman" w:cs="Times New Roman" w:eastAsia="Times New Roman" w:hAnsi="Times New Roman"/>
      <w:sz w:val="16"/>
      <w:szCs w:val="24"/>
    </w:rPr>
  </w:style>
  <w:style w:styleId="style103" w:type="character">
    <w:name w:val="Основной текст с отступом 2 Знак"/>
    <w:basedOn w:val="style101"/>
    <w:next w:val="style103"/>
    <w:rPr>
      <w:rFonts w:ascii="Times New Roman" w:cs="Times New Roman" w:eastAsia="Times New Roman" w:hAnsi="Times New Roman"/>
      <w:sz w:val="24"/>
      <w:szCs w:val="24"/>
    </w:rPr>
  </w:style>
  <w:style w:styleId="style104" w:type="character">
    <w:name w:val="Заголовок 4 Знак"/>
    <w:basedOn w:val="style101"/>
    <w:next w:val="style104"/>
    <w:rPr>
      <w:rFonts w:ascii="Times New Roman" w:cs="Times New Roman" w:eastAsia="Times New Roman" w:hAnsi="Times New Roman"/>
      <w:b/>
      <w:bCs/>
      <w:sz w:val="20"/>
      <w:szCs w:val="20"/>
    </w:rPr>
  </w:style>
  <w:style w:styleId="style105" w:type="character">
    <w:name w:val="Верхний колонтитул Знак"/>
    <w:basedOn w:val="style101"/>
    <w:next w:val="style105"/>
    <w:rPr>
      <w:rFonts w:ascii="Times New Roman" w:eastAsia="Times New Roman" w:hAnsi="Times New Roman"/>
      <w:sz w:val="24"/>
      <w:szCs w:val="24"/>
    </w:rPr>
  </w:style>
  <w:style w:styleId="style106" w:type="character">
    <w:name w:val="Нижний колонтитул Знак"/>
    <w:basedOn w:val="style101"/>
    <w:next w:val="style106"/>
    <w:rPr>
      <w:rFonts w:ascii="Times New Roman" w:eastAsia="Times New Roman" w:hAnsi="Times New Roman"/>
      <w:sz w:val="24"/>
      <w:szCs w:val="24"/>
    </w:rPr>
  </w:style>
  <w:style w:styleId="style107" w:type="character">
    <w:name w:val="Основной текст 3 Знак"/>
    <w:basedOn w:val="style101"/>
    <w:next w:val="style107"/>
    <w:rPr>
      <w:rFonts w:ascii="Times New Roman" w:eastAsia="Times New Roman" w:hAnsi="Times New Roman"/>
      <w:sz w:val="16"/>
      <w:szCs w:val="16"/>
    </w:rPr>
  </w:style>
  <w:style w:styleId="style108" w:type="character">
    <w:name w:val="Текст выноски Знак"/>
    <w:basedOn w:val="style101"/>
    <w:next w:val="style108"/>
    <w:rPr>
      <w:rFonts w:ascii="Tahoma" w:cs="Tahoma" w:eastAsia="Times New Roman" w:hAnsi="Tahoma"/>
      <w:sz w:val="16"/>
      <w:szCs w:val="16"/>
    </w:rPr>
  </w:style>
  <w:style w:styleId="style109" w:type="character">
    <w:name w:val="Заголовок 1 Знак"/>
    <w:basedOn w:val="style101"/>
    <w:next w:val="style109"/>
    <w:rPr>
      <w:rFonts w:ascii="Cambria" w:cs="Times New Roman" w:eastAsia="Times New Roman" w:hAnsi="Cambria"/>
      <w:b/>
      <w:bCs/>
      <w:sz w:val="32"/>
      <w:szCs w:val="32"/>
    </w:rPr>
  </w:style>
  <w:style w:styleId="style110" w:type="character">
    <w:name w:val="Заголовок 2 Знак"/>
    <w:basedOn w:val="style101"/>
    <w:next w:val="style110"/>
    <w:rPr>
      <w:rFonts w:ascii="Cambria" w:cs="Times New Roman" w:eastAsia="Times New Roman" w:hAnsi="Cambria"/>
      <w:b/>
      <w:bCs/>
      <w:i/>
      <w:iCs/>
      <w:sz w:val="28"/>
      <w:szCs w:val="28"/>
    </w:rPr>
  </w:style>
  <w:style w:styleId="style111" w:type="character">
    <w:name w:val="Интернет-ссылка"/>
    <w:basedOn w:val="style101"/>
    <w:next w:val="style111"/>
    <w:rPr>
      <w:color w:val="0000FF"/>
      <w:u w:val="single"/>
      <w:lang w:bidi="zxx-" w:eastAsia="zxx-" w:val="zxx-"/>
    </w:rPr>
  </w:style>
  <w:style w:styleId="style112" w:type="character">
    <w:name w:val="Основной текст Знак"/>
    <w:basedOn w:val="style101"/>
    <w:next w:val="style112"/>
    <w:rPr>
      <w:rFonts w:ascii="Times New Roman" w:eastAsia="Times New Roman" w:hAnsi="Times New Roman"/>
      <w:lang w:val="en-US"/>
    </w:rPr>
  </w:style>
  <w:style w:styleId="style113" w:type="character">
    <w:name w:val="Заголовок 3 Знак"/>
    <w:basedOn w:val="style101"/>
    <w:next w:val="style113"/>
    <w:rPr>
      <w:rFonts w:ascii="Cambria" w:cs="Times New Roman" w:eastAsia="Times New Roman" w:hAnsi="Cambria"/>
      <w:b/>
      <w:bCs/>
      <w:sz w:val="26"/>
      <w:szCs w:val="26"/>
    </w:rPr>
  </w:style>
  <w:style w:styleId="style114" w:type="character">
    <w:name w:val="Заголовок 7 Знак"/>
    <w:basedOn w:val="style101"/>
    <w:next w:val="style114"/>
    <w:rPr>
      <w:rFonts w:ascii="Calibri" w:cs="Times New Roman" w:eastAsia="Times New Roman" w:hAnsi="Calibri"/>
      <w:sz w:val="24"/>
      <w:szCs w:val="24"/>
    </w:rPr>
  </w:style>
  <w:style w:styleId="style115" w:type="character">
    <w:name w:val="Стандартный HTML Знак"/>
    <w:basedOn w:val="style101"/>
    <w:next w:val="style115"/>
    <w:rPr>
      <w:rFonts w:ascii="Courier New" w:cs="Courier New" w:eastAsia="Times New Roman" w:hAnsi="Courier New"/>
    </w:rPr>
  </w:style>
  <w:style w:styleId="style116" w:type="character">
    <w:name w:val="Основной текст 2 Знак"/>
    <w:basedOn w:val="style101"/>
    <w:next w:val="style116"/>
    <w:rPr>
      <w:rFonts w:ascii="Times New Roman" w:eastAsia="Times New Roman" w:hAnsi="Times New Roman"/>
      <w:sz w:val="24"/>
      <w:szCs w:val="24"/>
    </w:rPr>
  </w:style>
  <w:style w:styleId="style117" w:type="character">
    <w:name w:val="Маркеры списка"/>
    <w:next w:val="style117"/>
    <w:rPr>
      <w:rFonts w:ascii="StarSymbol" w:cs="StarSymbol" w:eastAsia="StarSymbol" w:hAnsi="StarSymbol"/>
      <w:sz w:val="18"/>
      <w:szCs w:val="18"/>
    </w:rPr>
  </w:style>
  <w:style w:styleId="style118" w:type="character">
    <w:name w:val="Знак Знак1"/>
    <w:basedOn w:val="style21"/>
    <w:next w:val="style118"/>
    <w:rPr>
      <w:rFonts w:ascii="Arial" w:cs="Arial" w:hAnsi="Arial"/>
      <w:vanish/>
      <w:sz w:val="16"/>
      <w:szCs w:val="16"/>
    </w:rPr>
  </w:style>
  <w:style w:styleId="style119" w:type="character">
    <w:name w:val="Знак Знак"/>
    <w:basedOn w:val="style21"/>
    <w:next w:val="style119"/>
    <w:rPr>
      <w:rFonts w:ascii="Arial" w:cs="Arial" w:hAnsi="Arial"/>
      <w:vanish/>
      <w:sz w:val="16"/>
      <w:szCs w:val="16"/>
    </w:rPr>
  </w:style>
  <w:style w:styleId="style120" w:type="character">
    <w:name w:val="Основной текст с отступом 2 Знак1"/>
    <w:basedOn w:val="style15"/>
    <w:next w:val="style120"/>
    <w:rPr>
      <w:rFonts w:cs="Calibri"/>
      <w:sz w:val="24"/>
      <w:szCs w:val="24"/>
      <w:lang w:eastAsia="ar-SA"/>
    </w:rPr>
  </w:style>
  <w:style w:styleId="style121" w:type="character">
    <w:name w:val="ListLabel 1"/>
    <w:next w:val="style121"/>
    <w:rPr>
      <w:sz w:val="36"/>
    </w:rPr>
  </w:style>
  <w:style w:styleId="style122" w:type="character">
    <w:name w:val="ListLabel 2"/>
    <w:next w:val="style122"/>
    <w:rPr>
      <w:color w:val="000000"/>
    </w:rPr>
  </w:style>
  <w:style w:styleId="style123" w:type="character">
    <w:name w:val="ListLabel 3"/>
    <w:next w:val="style123"/>
    <w:rPr>
      <w:rFonts w:cs="Times New Roman" w:eastAsia="Times New Roman"/>
    </w:rPr>
  </w:style>
  <w:style w:styleId="style124" w:type="character">
    <w:name w:val="ListLabel 4"/>
    <w:next w:val="style124"/>
    <w:rPr>
      <w:rFonts w:cs="Courier New"/>
    </w:rPr>
  </w:style>
  <w:style w:styleId="style125" w:type="character">
    <w:name w:val="ListLabel 5"/>
    <w:next w:val="style125"/>
    <w:rPr>
      <w:rFonts w:cs="Times New Roman"/>
    </w:rPr>
  </w:style>
  <w:style w:styleId="style126" w:type="character">
    <w:name w:val="ListLabel 6"/>
    <w:next w:val="style126"/>
    <w:rPr>
      <w:rFonts w:cs="Courier New"/>
    </w:rPr>
  </w:style>
  <w:style w:styleId="style127" w:type="character">
    <w:name w:val="ListLabel 7"/>
    <w:next w:val="style127"/>
    <w:rPr>
      <w:rFonts w:cs="Wingdings"/>
    </w:rPr>
  </w:style>
  <w:style w:styleId="style128" w:type="character">
    <w:name w:val="ListLabel 8"/>
    <w:next w:val="style128"/>
    <w:rPr>
      <w:rFonts w:cs="Symbol"/>
    </w:rPr>
  </w:style>
  <w:style w:styleId="style129" w:type="character">
    <w:name w:val="ListLabel 9"/>
    <w:next w:val="style129"/>
    <w:rPr>
      <w:rFonts w:cs="Times New Roman"/>
    </w:rPr>
  </w:style>
  <w:style w:styleId="style130" w:type="character">
    <w:name w:val="ListLabel 10"/>
    <w:next w:val="style130"/>
    <w:rPr>
      <w:rFonts w:cs="Courier New"/>
    </w:rPr>
  </w:style>
  <w:style w:styleId="style131" w:type="character">
    <w:name w:val="ListLabel 11"/>
    <w:next w:val="style131"/>
    <w:rPr>
      <w:rFonts w:cs="Wingdings"/>
    </w:rPr>
  </w:style>
  <w:style w:styleId="style132" w:type="character">
    <w:name w:val="ListLabel 12"/>
    <w:next w:val="style132"/>
    <w:rPr>
      <w:rFonts w:cs="Symbol"/>
    </w:rPr>
  </w:style>
  <w:style w:styleId="style133" w:type="character">
    <w:name w:val="ListLabel 13"/>
    <w:next w:val="style133"/>
    <w:rPr>
      <w:rFonts w:cs="Times New Roman"/>
    </w:rPr>
  </w:style>
  <w:style w:styleId="style134" w:type="character">
    <w:name w:val="ListLabel 14"/>
    <w:next w:val="style134"/>
    <w:rPr>
      <w:rFonts w:cs="Courier New"/>
    </w:rPr>
  </w:style>
  <w:style w:styleId="style135" w:type="character">
    <w:name w:val="ListLabel 15"/>
    <w:next w:val="style135"/>
    <w:rPr>
      <w:rFonts w:cs="Wingdings"/>
    </w:rPr>
  </w:style>
  <w:style w:styleId="style136" w:type="character">
    <w:name w:val="ListLabel 16"/>
    <w:next w:val="style136"/>
    <w:rPr>
      <w:rFonts w:cs="Symbol"/>
    </w:rPr>
  </w:style>
  <w:style w:styleId="style137" w:type="character">
    <w:name w:val="ListLabel 17"/>
    <w:next w:val="style137"/>
    <w:rPr>
      <w:rFonts w:cs="Times New Roman"/>
    </w:rPr>
  </w:style>
  <w:style w:styleId="style138" w:type="character">
    <w:name w:val="ListLabel 18"/>
    <w:next w:val="style138"/>
    <w:rPr>
      <w:rFonts w:cs="Courier New"/>
    </w:rPr>
  </w:style>
  <w:style w:styleId="style139" w:type="character">
    <w:name w:val="ListLabel 19"/>
    <w:next w:val="style139"/>
    <w:rPr>
      <w:rFonts w:cs="Wingdings"/>
    </w:rPr>
  </w:style>
  <w:style w:styleId="style140" w:type="character">
    <w:name w:val="ListLabel 20"/>
    <w:next w:val="style140"/>
    <w:rPr>
      <w:rFonts w:cs="Symbol"/>
    </w:rPr>
  </w:style>
  <w:style w:styleId="style141" w:type="character">
    <w:name w:val="ListLabel 21"/>
    <w:next w:val="style141"/>
    <w:rPr>
      <w:rFonts w:cs="Times New Roman"/>
    </w:rPr>
  </w:style>
  <w:style w:styleId="style142" w:type="character">
    <w:name w:val="ListLabel 22"/>
    <w:next w:val="style142"/>
    <w:rPr>
      <w:rFonts w:cs="Courier New"/>
    </w:rPr>
  </w:style>
  <w:style w:styleId="style143" w:type="character">
    <w:name w:val="ListLabel 23"/>
    <w:next w:val="style143"/>
    <w:rPr>
      <w:rFonts w:cs="Wingdings"/>
    </w:rPr>
  </w:style>
  <w:style w:styleId="style144" w:type="character">
    <w:name w:val="ListLabel 24"/>
    <w:next w:val="style144"/>
    <w:rPr>
      <w:rFonts w:cs="Symbol"/>
    </w:rPr>
  </w:style>
  <w:style w:styleId="style145" w:type="character">
    <w:name w:val="ListLabel 25"/>
    <w:next w:val="style145"/>
    <w:rPr>
      <w:rFonts w:cs="Times New Roman"/>
    </w:rPr>
  </w:style>
  <w:style w:styleId="style146" w:type="character">
    <w:name w:val="ListLabel 26"/>
    <w:next w:val="style146"/>
    <w:rPr>
      <w:rFonts w:cs="Courier New"/>
    </w:rPr>
  </w:style>
  <w:style w:styleId="style147" w:type="character">
    <w:name w:val="ListLabel 27"/>
    <w:next w:val="style147"/>
    <w:rPr>
      <w:rFonts w:cs="Wingdings"/>
    </w:rPr>
  </w:style>
  <w:style w:styleId="style148" w:type="character">
    <w:name w:val="ListLabel 28"/>
    <w:next w:val="style148"/>
    <w:rPr>
      <w:rFonts w:cs="Symbol"/>
    </w:rPr>
  </w:style>
  <w:style w:styleId="style149" w:type="character">
    <w:name w:val="ListLabel 29"/>
    <w:next w:val="style149"/>
    <w:rPr>
      <w:rFonts w:cs="Times New Roman"/>
    </w:rPr>
  </w:style>
  <w:style w:styleId="style150" w:type="character">
    <w:name w:val="ListLabel 30"/>
    <w:next w:val="style150"/>
    <w:rPr>
      <w:rFonts w:cs="Courier New"/>
    </w:rPr>
  </w:style>
  <w:style w:styleId="style151" w:type="character">
    <w:name w:val="ListLabel 31"/>
    <w:next w:val="style151"/>
    <w:rPr>
      <w:rFonts w:cs="Wingdings"/>
    </w:rPr>
  </w:style>
  <w:style w:styleId="style152" w:type="character">
    <w:name w:val="ListLabel 32"/>
    <w:next w:val="style152"/>
    <w:rPr>
      <w:rFonts w:cs="Symbol"/>
    </w:rPr>
  </w:style>
  <w:style w:styleId="style153" w:type="character">
    <w:name w:val="ListLabel 33"/>
    <w:next w:val="style153"/>
    <w:rPr>
      <w:rFonts w:cs="Times New Roman"/>
    </w:rPr>
  </w:style>
  <w:style w:styleId="style154" w:type="character">
    <w:name w:val="ListLabel 34"/>
    <w:next w:val="style154"/>
    <w:rPr>
      <w:rFonts w:cs="Courier New"/>
    </w:rPr>
  </w:style>
  <w:style w:styleId="style155" w:type="character">
    <w:name w:val="ListLabel 35"/>
    <w:next w:val="style155"/>
    <w:rPr>
      <w:rFonts w:cs="Wingdings"/>
    </w:rPr>
  </w:style>
  <w:style w:styleId="style156" w:type="character">
    <w:name w:val="ListLabel 36"/>
    <w:next w:val="style156"/>
    <w:rPr>
      <w:rFonts w:cs="Symbol"/>
    </w:rPr>
  </w:style>
  <w:style w:styleId="style157" w:type="paragraph">
    <w:name w:val="Заголовок"/>
    <w:basedOn w:val="style0"/>
    <w:next w:val="style158"/>
    <w:pPr>
      <w:keepNext/>
      <w:spacing w:after="120" w:before="240"/>
      <w:contextualSpacing w:val="false"/>
    </w:pPr>
    <w:rPr>
      <w:rFonts w:ascii="Arial" w:cs="DejaVu Sans" w:eastAsia="DejaVu Sans" w:hAnsi="Arial"/>
      <w:sz w:val="28"/>
      <w:szCs w:val="28"/>
    </w:rPr>
  </w:style>
  <w:style w:styleId="style158" w:type="paragraph">
    <w:name w:val="Основной текст"/>
    <w:basedOn w:val="style0"/>
    <w:next w:val="style158"/>
    <w:pPr>
      <w:spacing w:after="120" w:before="0"/>
      <w:contextualSpacing w:val="false"/>
    </w:pPr>
    <w:rPr>
      <w:sz w:val="20"/>
      <w:szCs w:val="20"/>
      <w:lang w:val="en-US"/>
    </w:rPr>
  </w:style>
  <w:style w:styleId="style159" w:type="paragraph">
    <w:name w:val="Список"/>
    <w:basedOn w:val="style158"/>
    <w:next w:val="style159"/>
    <w:pPr/>
    <w:rPr>
      <w:rFonts w:cs="Lohit Hindi"/>
    </w:rPr>
  </w:style>
  <w:style w:styleId="style160" w:type="paragraph">
    <w:name w:val="Название"/>
    <w:basedOn w:val="style0"/>
    <w:next w:val="style160"/>
    <w:pPr>
      <w:suppressLineNumbers/>
      <w:spacing w:after="120" w:before="120"/>
      <w:contextualSpacing w:val="false"/>
    </w:pPr>
    <w:rPr>
      <w:rFonts w:cs="Lohit Hindi"/>
      <w:i/>
      <w:iCs/>
      <w:sz w:val="24"/>
      <w:szCs w:val="24"/>
    </w:rPr>
  </w:style>
  <w:style w:styleId="style161" w:type="paragraph">
    <w:name w:val="Указатель"/>
    <w:basedOn w:val="style0"/>
    <w:next w:val="style161"/>
    <w:pPr>
      <w:suppressLineNumbers/>
    </w:pPr>
    <w:rPr>
      <w:rFonts w:cs="Lohit Hindi"/>
    </w:rPr>
  </w:style>
  <w:style w:styleId="style162" w:type="paragraph">
    <w:name w:val="Название7"/>
    <w:basedOn w:val="style0"/>
    <w:next w:val="style162"/>
    <w:pPr>
      <w:suppressLineNumbers/>
      <w:spacing w:after="120" w:before="120"/>
      <w:contextualSpacing w:val="false"/>
    </w:pPr>
    <w:rPr>
      <w:rFonts w:ascii="Arial" w:cs="Tahoma" w:hAnsi="Arial"/>
      <w:i/>
      <w:iCs/>
      <w:sz w:val="20"/>
    </w:rPr>
  </w:style>
  <w:style w:styleId="style163" w:type="paragraph">
    <w:name w:val="Указатель7"/>
    <w:basedOn w:val="style0"/>
    <w:next w:val="style163"/>
    <w:pPr>
      <w:suppressLineNumbers/>
    </w:pPr>
    <w:rPr>
      <w:rFonts w:ascii="Arial" w:cs="Tahoma" w:hAnsi="Arial"/>
    </w:rPr>
  </w:style>
  <w:style w:styleId="style164" w:type="paragraph">
    <w:name w:val="Название6"/>
    <w:basedOn w:val="style0"/>
    <w:next w:val="style164"/>
    <w:pPr>
      <w:suppressLineNumbers/>
      <w:spacing w:after="120" w:before="120"/>
      <w:contextualSpacing w:val="false"/>
    </w:pPr>
    <w:rPr>
      <w:rFonts w:ascii="Arial" w:cs="Tahoma" w:hAnsi="Arial"/>
      <w:i/>
      <w:iCs/>
      <w:sz w:val="20"/>
    </w:rPr>
  </w:style>
  <w:style w:styleId="style165" w:type="paragraph">
    <w:name w:val="Указатель6"/>
    <w:basedOn w:val="style0"/>
    <w:next w:val="style165"/>
    <w:pPr>
      <w:suppressLineNumbers/>
    </w:pPr>
    <w:rPr>
      <w:rFonts w:ascii="Arial" w:cs="Tahoma" w:hAnsi="Arial"/>
    </w:rPr>
  </w:style>
  <w:style w:styleId="style166" w:type="paragraph">
    <w:name w:val="Название5"/>
    <w:basedOn w:val="style0"/>
    <w:next w:val="style166"/>
    <w:pPr>
      <w:suppressLineNumbers/>
      <w:spacing w:after="120" w:before="120"/>
      <w:contextualSpacing w:val="false"/>
    </w:pPr>
    <w:rPr>
      <w:rFonts w:ascii="Arial" w:cs="Tahoma" w:hAnsi="Arial"/>
      <w:i/>
      <w:iCs/>
      <w:sz w:val="20"/>
    </w:rPr>
  </w:style>
  <w:style w:styleId="style167" w:type="paragraph">
    <w:name w:val="Указатель5"/>
    <w:basedOn w:val="style0"/>
    <w:next w:val="style167"/>
    <w:pPr>
      <w:suppressLineNumbers/>
    </w:pPr>
    <w:rPr>
      <w:rFonts w:ascii="Arial" w:cs="Tahoma" w:hAnsi="Arial"/>
    </w:rPr>
  </w:style>
  <w:style w:styleId="style168" w:type="paragraph">
    <w:name w:val="Название4"/>
    <w:basedOn w:val="style0"/>
    <w:next w:val="style168"/>
    <w:pPr>
      <w:suppressLineNumbers/>
      <w:spacing w:after="120" w:before="120"/>
      <w:contextualSpacing w:val="false"/>
    </w:pPr>
    <w:rPr>
      <w:i/>
      <w:iCs/>
    </w:rPr>
  </w:style>
  <w:style w:styleId="style169" w:type="paragraph">
    <w:name w:val="Указатель4"/>
    <w:basedOn w:val="style0"/>
    <w:next w:val="style169"/>
    <w:pPr>
      <w:suppressLineNumbers/>
    </w:pPr>
    <w:rPr/>
  </w:style>
  <w:style w:styleId="style170" w:type="paragraph">
    <w:name w:val="Название3"/>
    <w:basedOn w:val="style0"/>
    <w:next w:val="style170"/>
    <w:pPr>
      <w:suppressLineNumbers/>
      <w:spacing w:after="120" w:before="120"/>
      <w:contextualSpacing w:val="false"/>
    </w:pPr>
    <w:rPr>
      <w:rFonts w:ascii="Arial" w:cs="Tahoma" w:hAnsi="Arial"/>
      <w:i/>
      <w:iCs/>
      <w:sz w:val="20"/>
    </w:rPr>
  </w:style>
  <w:style w:styleId="style171" w:type="paragraph">
    <w:name w:val="Указатель3"/>
    <w:basedOn w:val="style0"/>
    <w:next w:val="style171"/>
    <w:pPr>
      <w:suppressLineNumbers/>
    </w:pPr>
    <w:rPr>
      <w:rFonts w:ascii="Arial" w:cs="Tahoma" w:hAnsi="Arial"/>
    </w:rPr>
  </w:style>
  <w:style w:styleId="style172" w:type="paragraph">
    <w:name w:val="Название2"/>
    <w:basedOn w:val="style0"/>
    <w:next w:val="style172"/>
    <w:pPr>
      <w:suppressLineNumbers/>
      <w:spacing w:after="120" w:before="120"/>
      <w:contextualSpacing w:val="false"/>
    </w:pPr>
    <w:rPr>
      <w:rFonts w:ascii="Arial" w:cs="Tahoma" w:hAnsi="Arial"/>
      <w:i/>
      <w:iCs/>
      <w:sz w:val="20"/>
    </w:rPr>
  </w:style>
  <w:style w:styleId="style173" w:type="paragraph">
    <w:name w:val="Указатель2"/>
    <w:basedOn w:val="style0"/>
    <w:next w:val="style173"/>
    <w:pPr>
      <w:suppressLineNumbers/>
    </w:pPr>
    <w:rPr>
      <w:rFonts w:ascii="Arial" w:cs="Tahoma" w:hAnsi="Arial"/>
    </w:rPr>
  </w:style>
  <w:style w:styleId="style174" w:type="paragraph">
    <w:name w:val="Название1"/>
    <w:basedOn w:val="style0"/>
    <w:next w:val="style174"/>
    <w:pPr>
      <w:suppressLineNumbers/>
      <w:spacing w:after="120" w:before="120"/>
      <w:contextualSpacing w:val="false"/>
    </w:pPr>
    <w:rPr>
      <w:i/>
      <w:iCs/>
    </w:rPr>
  </w:style>
  <w:style w:styleId="style175" w:type="paragraph">
    <w:name w:val="Указатель1"/>
    <w:basedOn w:val="style0"/>
    <w:next w:val="style175"/>
    <w:pPr>
      <w:suppressLineNumbers/>
    </w:pPr>
    <w:rPr/>
  </w:style>
  <w:style w:styleId="style176" w:type="paragraph">
    <w:name w:val="Заглавие"/>
    <w:basedOn w:val="style157"/>
    <w:next w:val="style176"/>
    <w:pPr>
      <w:jc w:val="left"/>
    </w:pPr>
    <w:rPr/>
  </w:style>
  <w:style w:styleId="style177" w:type="paragraph">
    <w:name w:val="Подзаголовок"/>
    <w:basedOn w:val="style157"/>
    <w:next w:val="style177"/>
    <w:pPr>
      <w:jc w:val="center"/>
    </w:pPr>
    <w:rPr>
      <w:i/>
      <w:iCs/>
    </w:rPr>
  </w:style>
  <w:style w:styleId="style178" w:type="paragraph">
    <w:name w:val="Основной текст с отступом 31"/>
    <w:basedOn w:val="style0"/>
    <w:next w:val="style178"/>
    <w:pPr>
      <w:ind w:hanging="0" w:left="180" w:right="0"/>
      <w:jc w:val="both"/>
    </w:pPr>
    <w:rPr>
      <w:sz w:val="16"/>
    </w:rPr>
  </w:style>
  <w:style w:styleId="style179" w:type="paragraph">
    <w:name w:val="Основной текст с отступом 21"/>
    <w:basedOn w:val="style0"/>
    <w:next w:val="style179"/>
    <w:pPr>
      <w:spacing w:after="120" w:before="0" w:line="480" w:lineRule="auto"/>
      <w:ind w:hanging="0" w:left="283" w:right="0"/>
      <w:contextualSpacing w:val="false"/>
    </w:pPr>
    <w:rPr/>
  </w:style>
  <w:style w:styleId="style180" w:type="paragraph">
    <w:name w:val="List Paragraph"/>
    <w:basedOn w:val="style0"/>
    <w:next w:val="style180"/>
    <w:pPr>
      <w:ind w:hanging="0" w:left="720" w:right="0"/>
    </w:pPr>
    <w:rPr/>
  </w:style>
  <w:style w:styleId="style181" w:type="paragraph">
    <w:name w:val="ConsNonformat"/>
    <w:next w:val="style181"/>
    <w:pPr>
      <w:widowControl w:val="false"/>
      <w:suppressAutoHyphens w:val="true"/>
    </w:pPr>
    <w:rPr>
      <w:rFonts w:ascii="Courier New" w:cs="Courier New" w:eastAsia="Arial" w:hAnsi="Courier New"/>
      <w:color w:val="00000A"/>
      <w:sz w:val="20"/>
      <w:szCs w:val="20"/>
      <w:lang w:bidi="ar-SA" w:eastAsia="ar-SA" w:val="ru-RU"/>
    </w:rPr>
  </w:style>
  <w:style w:styleId="style182" w:type="paragraph">
    <w:name w:val="Верхний колонтитул"/>
    <w:basedOn w:val="style0"/>
    <w:next w:val="style182"/>
    <w:pPr>
      <w:tabs>
        <w:tab w:leader="none" w:pos="4677" w:val="center"/>
        <w:tab w:leader="none" w:pos="9355" w:val="right"/>
      </w:tabs>
    </w:pPr>
    <w:rPr/>
  </w:style>
  <w:style w:styleId="style183" w:type="paragraph">
    <w:name w:val="Нижний колонтитул"/>
    <w:basedOn w:val="style0"/>
    <w:next w:val="style183"/>
    <w:pPr>
      <w:tabs>
        <w:tab w:leader="none" w:pos="4677" w:val="center"/>
        <w:tab w:leader="none" w:pos="9355" w:val="right"/>
      </w:tabs>
    </w:pPr>
    <w:rPr/>
  </w:style>
  <w:style w:styleId="style184" w:type="paragraph">
    <w:name w:val="Основной текст 31"/>
    <w:basedOn w:val="style0"/>
    <w:next w:val="style184"/>
    <w:pPr>
      <w:spacing w:after="120" w:before="0"/>
      <w:contextualSpacing w:val="false"/>
    </w:pPr>
    <w:rPr>
      <w:sz w:val="16"/>
      <w:szCs w:val="16"/>
    </w:rPr>
  </w:style>
  <w:style w:styleId="style185" w:type="paragraph">
    <w:name w:val="Iau?iue"/>
    <w:next w:val="style185"/>
    <w:pPr>
      <w:widowControl w:val="false"/>
      <w:suppressAutoHyphens w:val="true"/>
    </w:pPr>
    <w:rPr>
      <w:rFonts w:ascii="Times New Roman" w:cs="Calibri" w:eastAsia="Arial" w:hAnsi="Times New Roman"/>
      <w:color w:val="00000A"/>
      <w:sz w:val="20"/>
      <w:szCs w:val="20"/>
      <w:lang w:bidi="ar-SA" w:eastAsia="ar-SA" w:val="ru-RU"/>
    </w:rPr>
  </w:style>
  <w:style w:styleId="style186" w:type="paragraph">
    <w:name w:val="Balloon Text"/>
    <w:basedOn w:val="style0"/>
    <w:next w:val="style186"/>
    <w:pPr/>
    <w:rPr>
      <w:rFonts w:ascii="Tahoma" w:cs="Tahoma" w:hAnsi="Tahoma"/>
      <w:sz w:val="16"/>
      <w:szCs w:val="16"/>
    </w:rPr>
  </w:style>
  <w:style w:styleId="style187" w:type="paragraph">
    <w:name w:val="Цитата1"/>
    <w:basedOn w:val="style0"/>
    <w:next w:val="style187"/>
    <w:pPr>
      <w:ind w:hanging="0" w:left="567" w:right="-1"/>
      <w:jc w:val="both"/>
    </w:pPr>
    <w:rPr>
      <w:b/>
      <w:bCs/>
      <w:sz w:val="20"/>
      <w:szCs w:val="20"/>
    </w:rPr>
  </w:style>
  <w:style w:styleId="style188" w:type="paragraph">
    <w:name w:val="HTML Preformatted"/>
    <w:basedOn w:val="style0"/>
    <w:next w:val="style18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New" w:cs="Courier New" w:hAnsi="Courier New"/>
      <w:sz w:val="20"/>
      <w:szCs w:val="20"/>
    </w:rPr>
  </w:style>
  <w:style w:styleId="style189" w:type="paragraph">
    <w:name w:val="Основной текст 21"/>
    <w:basedOn w:val="style0"/>
    <w:next w:val="style189"/>
    <w:pPr>
      <w:spacing w:after="120" w:before="0" w:line="480" w:lineRule="auto"/>
      <w:contextualSpacing w:val="false"/>
    </w:pPr>
    <w:rPr/>
  </w:style>
  <w:style w:styleId="style190" w:type="paragraph">
    <w:name w:val="Plain Text1"/>
    <w:basedOn w:val="style0"/>
    <w:next w:val="style190"/>
    <w:pPr/>
    <w:rPr>
      <w:rFonts w:ascii="Courier New" w:hAnsi="Courier New"/>
      <w:sz w:val="20"/>
      <w:szCs w:val="20"/>
    </w:rPr>
  </w:style>
  <w:style w:styleId="style191" w:type="paragraph">
    <w:name w:val="Содержимое таблицы"/>
    <w:basedOn w:val="style0"/>
    <w:next w:val="style191"/>
    <w:pPr>
      <w:suppressLineNumbers/>
    </w:pPr>
    <w:rPr/>
  </w:style>
  <w:style w:styleId="style192" w:type="paragraph">
    <w:name w:val="Заголовок таблицы"/>
    <w:basedOn w:val="style191"/>
    <w:next w:val="style192"/>
    <w:pPr>
      <w:jc w:val="center"/>
    </w:pPr>
    <w:rPr>
      <w:b/>
      <w:bCs/>
    </w:rPr>
  </w:style>
  <w:style w:styleId="style193" w:type="paragraph">
    <w:name w:val="Содержимое врезки"/>
    <w:basedOn w:val="style158"/>
    <w:next w:val="style193"/>
    <w:pPr/>
    <w:rPr/>
  </w:style>
  <w:style w:styleId="style194" w:type="paragraph">
    <w:name w:val="HTML Top of Form"/>
    <w:basedOn w:val="style0"/>
    <w:next w:val="style194"/>
    <w:pPr>
      <w:pBdr>
        <w:top w:val="nil"/>
        <w:left w:val="nil"/>
        <w:bottom w:color="000001" w:space="0" w:sz="4" w:val="single"/>
        <w:insideH w:color="000001" w:space="0" w:sz="4" w:val="single"/>
        <w:right w:val="nil"/>
        <w:insideV w:val="nil"/>
      </w:pBdr>
      <w:suppressAutoHyphens w:val="false"/>
      <w:jc w:val="center"/>
    </w:pPr>
    <w:rPr>
      <w:rFonts w:ascii="Arial" w:cs="Arial" w:hAnsi="Arial"/>
      <w:vanish/>
      <w:sz w:val="16"/>
      <w:szCs w:val="16"/>
    </w:rPr>
  </w:style>
  <w:style w:styleId="style195" w:type="paragraph">
    <w:name w:val="Normal (Web)"/>
    <w:basedOn w:val="style0"/>
    <w:next w:val="style195"/>
    <w:pPr>
      <w:suppressAutoHyphens w:val="false"/>
      <w:spacing w:after="280" w:before="280"/>
      <w:contextualSpacing w:val="false"/>
    </w:pPr>
    <w:rPr>
      <w:rFonts w:cs="Times New Roman"/>
    </w:rPr>
  </w:style>
  <w:style w:styleId="style196" w:type="paragraph">
    <w:name w:val="HTML Bottom of Form"/>
    <w:basedOn w:val="style0"/>
    <w:next w:val="style196"/>
    <w:pPr>
      <w:pBdr>
        <w:top w:color="000001" w:space="0" w:sz="4" w:val="single"/>
        <w:left w:val="nil"/>
        <w:bottom w:val="nil"/>
        <w:insideH w:val="nil"/>
        <w:right w:val="nil"/>
        <w:insideV w:val="nil"/>
      </w:pBdr>
      <w:suppressAutoHyphens w:val="false"/>
      <w:jc w:val="center"/>
    </w:pPr>
    <w:rPr>
      <w:rFonts w:ascii="Arial" w:cs="Arial" w:hAnsi="Arial"/>
      <w:vanish/>
      <w:sz w:val="16"/>
      <w:szCs w:val="16"/>
    </w:rPr>
  </w:style>
  <w:style w:styleId="style197" w:type="paragraph">
    <w:name w:val="Revision"/>
    <w:next w:val="style197"/>
    <w:pPr>
      <w:widowControl/>
      <w:suppressAutoHyphens w:val="true"/>
    </w:pPr>
    <w:rPr>
      <w:rFonts w:ascii="Times New Roman" w:cs="Calibri" w:eastAsia="Times New Roman" w:hAnsi="Times New Roman"/>
      <w:color w:val="00000A"/>
      <w:sz w:val="24"/>
      <w:szCs w:val="24"/>
      <w:lang w:bidi="ar-SA" w:eastAsia="ar-SA" w:val="ru-RU"/>
    </w:rPr>
  </w:style>
  <w:style w:styleId="style198" w:type="paragraph">
    <w:name w:val="Body Text Indent 2"/>
    <w:basedOn w:val="style0"/>
    <w:next w:val="style198"/>
    <w:pPr>
      <w:spacing w:after="120" w:before="0" w:line="480" w:lineRule="auto"/>
      <w:ind w:hanging="0" w:left="283" w:right="0"/>
      <w:contextualSpacing w:val="false"/>
    </w:pPr>
    <w:rPr/>
  </w:style>
  <w:style w:styleId="style199" w:type="paragraph">
    <w:name w:val="Normal1"/>
    <w:next w:val="style199"/>
    <w:pPr>
      <w:widowControl/>
      <w:suppressAutoHyphens w:val="true"/>
    </w:pPr>
    <w:rPr>
      <w:rFonts w:ascii="Times New Roman" w:cs="Times New Roman" w:eastAsia="Times New Roman" w:hAnsi="Times New Roman"/>
      <w:color w:val="00000A"/>
      <w:sz w:val="20"/>
      <w:szCs w:val="20"/>
      <w:lang w:bidi="ar-SA" w:eastAsia="ru-RU" w:val="ru-RU"/>
    </w:rPr>
  </w:style>
  <w:style w:styleId="style200" w:type="paragraph">
    <w:name w:val="Обычный1"/>
    <w:next w:val="style200"/>
    <w:pPr>
      <w:widowControl/>
      <w:suppressAutoHyphens w:val="true"/>
      <w:jc w:val="both"/>
    </w:pPr>
    <w:rPr>
      <w:rFonts w:ascii="Times New Roman" w:cs="Times New Roman" w:eastAsia="Times New Roman" w:hAnsi="Times New Roman"/>
      <w:color w:val="00000A"/>
      <w:sz w:val="24"/>
      <w:szCs w:val="20"/>
      <w:lang w:bidi="ar-SA" w:eastAsia="ru-RU" w:val="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dialog64.r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2013-12-11T07:05:00Z</dcterms:created>
  <dc:creator>Костя</dc:creator>
  <cp:lastModifiedBy>U1</cp:lastModifiedBy>
  <cp:lastPrinted>2010-11-30T05:15:00Z</cp:lastPrinted>
  <dcterms:modified xsi:type="dcterms:W3CDTF">2014-01-23T13:58:00Z</dcterms:modified>
  <cp:revision>8</cp:revision>
  <dc:title>ДОГОВОР  НА  ОКАЗАНИЕ  УСЛУГ  СВЯЗИ  №______________</dc:title>
</cp:coreProperties>
</file>