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Doc"/>
      </w:pPr>
      <w:r>
        <w:t xml:space="preserve">Отчет по покрытию угроз из файла сопоставления</w:t>
      </w:r>
    </w:p>
    <w:p>
      <w:pPr>
        <w:pStyle w:val="Heading1"/>
      </w:pPr>
      <w:r>
        <w:t xml:space="preserve">1. Основание и границы реализации</w:t>
      </w:r>
    </w:p>
    <w:p>
      <w:pPr>
        <w:pStyle w:val="BodyText"/>
      </w:pPr>
      <w:r>
        <w:t xml:space="preserve">Реализация выполнена для всех строк исходного файла сопоставления угроз, уже
    перенесенных в каталог проекта. В качестве базового источника используется
    таблица full_mapping_extended_rows.csv, а само покрытие строится не только
    нативными attack-сценариями, но и прокси-эмуляциями, если соответствующий
    актив или канал не подтвержден как полнофункционально смоделированный в
    текущем SITL-стенде.</w:t>
      </w:r>
    </w:p>
    <w:p>
      <w:pPr>
        <w:pStyle w:val="Source"/>
      </w:pPr>
      <w:r>
        <w:t xml:space="preserve">Источники: docs/full_mapping_extended_rows.csv:1; sim_stack.json:3-8;
    docs/drone_architecture.md:5-15, 113-116; threat_coverage.py:15-99.</w:t>
      </w:r>
    </w:p>
    <w:p>
      <w:pPr>
        <w:pStyle w:val="BodyText"/>
      </w:pPr>
      <w:r>
        <w:t xml:space="preserve">Я могу подтвердить, что в проекте реализовано полное каталоговое покрытие
    всех 547 угроз из файла. Я не могу подтвердить, что все 547 угроз стали
    нативными или физически достоверными атаками на реальный борт, потому что
    часть строк покрыта режимом proxy_emulation_with_component_gap.</w:t>
      </w:r>
    </w:p>
    <w:p>
      <w:pPr>
        <w:pStyle w:val="Source"/>
      </w:pPr>
      <w:r>
        <w:t xml:space="preserve">Источники: docs/threat_coverage_summary.csv:2-3, 17-18;
    threat_coverage.py:36-45, 57-76, 78-87.</w:t>
      </w:r>
    </w:p>
    <w:p>
      <w:pPr>
        <w:pStyle w:val="Heading1"/>
      </w:pPr>
      <w:r>
        <w:t xml:space="preserve">2. Что добавлено в проект</w:t>
      </w:r>
    </w:p>
    <w:p>
      <w:pPr>
        <w:pStyle w:val="BodyText"/>
      </w:pPr>
      <w:r>
        <w:t xml:space="preserve">В проект добавлен каталог угроз, который для каждой строки исходной таблицы
    хранит профиль эмуляции, режим покрытия, привязку к информационным потокам,
    нативный сценарий-опору и список правил детектора, через которые угроза
    наблюдается в проекте.</w:t>
      </w:r>
    </w:p>
    <w:p>
      <w:pPr>
        <w:pStyle w:val="Source"/>
      </w:pPr>
      <w:r>
        <w:t xml:space="preserve">Источники: threat_coverage.py:117-188;
    docs/threat_coverage_catalog.csv:1.</w:t>
      </w:r>
    </w:p>
    <w:p>
      <w:pPr>
        <w:pStyle w:val="BodyText"/>
      </w:pPr>
      <w:r>
        <w:t xml:space="preserve">Также добавлен раннер scenarios/run_threat_coverage.py, который может
    обработать все строки каталога или выборку по ID. Во время прогона он пишет
    отдельные события покрытия в threat_coverage.jsonl и, при включении
    emit-profile-events, формирует протокольные, телеметрические и security
    события по соответствующему профилю эмуляции.</w:t>
      </w:r>
    </w:p>
    <w:p>
      <w:pPr>
        <w:pStyle w:val="Source"/>
      </w:pPr>
      <w:r>
        <w:t xml:space="preserve">Источники: scenarios/run_threat_coverage.py:27-65, 390-423;
    security_agent/models.py:118-149; security_agent/audit.py:17-48.</w:t>
      </w:r>
    </w:p>
    <w:p>
      <w:pPr>
        <w:pStyle w:val="Heading1"/>
      </w:pPr>
      <w:r>
        <w:t xml:space="preserve">3. Подтвержденный результат полного прогона</w:t>
      </w:r>
    </w:p>
    <w:p>
      <w:pPr>
        <w:pStyle w:val="BodyText"/>
      </w:pPr>
      <w:r>
        <w:t xml:space="preserve">Полный прогон выполнен по всем строкам каталога. В итоговых артефактах
    зафиксировано: catalog_rows = 547, processed_rows = 547,
    coverage_records = 547, protocol_records = 1735,
    telemetry_records = 611, security_records_total = 3004,
    security_event_records = 1502, risk_assessment_records = 1502.</w:t>
      </w:r>
    </w:p>
    <w:p>
      <w:pPr>
        <w:pStyle w:val="Source"/>
      </w:pPr>
      <w:r>
        <w:t xml:space="preserve">Источники: docs/threat_coverage_summary.csv:2-8;
    logs/threat_coverage_all/threat_coverage.jsonl:1;
    logs/threat_coverage_all/protocol_events.jsonl:1;
    logs/threat_coverage_all/telemetry.jsonl:1;
    logs/threat_coverage_all/security_events.jsonl:1.</w:t>
      </w:r>
    </w:p>
    <w:p>
      <w:pPr>
        <w:pStyle w:val="Heading2"/>
      </w:pPr>
      <w:r>
        <w:t xml:space="preserve">3.1 Распределение по профилям эмуляции</w:t>
      </w:r>
    </w:p>
    <w:p>
      <w:pPr>
        <w:pStyle w:val="BodyText"/>
      </w:pPr>
      <w:r>
        <w:t xml:space="preserve">Companion / API-контур: 95 строк.</w:t>
      </w:r>
    </w:p>
    <w:p>
      <w:pPr>
        <w:pStyle w:val="BodyText"/>
      </w:pPr>
      <w:r>
        <w:t xml:space="preserve">Физические линии связи / MAVLink-канал: 31 строк.</w:t>
      </w:r>
    </w:p>
    <w:p>
      <w:pPr>
        <w:pStyle w:val="BodyText"/>
      </w:pPr>
      <w:r>
        <w:t xml:space="preserve">АРМ оператора / наземная станция: 117 строк.</w:t>
      </w:r>
    </w:p>
    <w:p>
      <w:pPr>
        <w:pStyle w:val="BodyText"/>
      </w:pPr>
      <w:r>
        <w:t xml:space="preserve">Периферия / навигация / исполнительные каналы модели: 83 строк.</w:t>
      </w:r>
    </w:p>
    <w:p>
      <w:pPr>
        <w:pStyle w:val="BodyText"/>
      </w:pPr>
      <w:r>
        <w:t xml:space="preserve">Обеспечивающие системы / питание: 10 строк.</w:t>
      </w:r>
    </w:p>
    <w:p>
      <w:pPr>
        <w:pStyle w:val="BodyText"/>
      </w:pPr>
      <w:r>
        <w:t xml:space="preserve">Сервер мониторинга / SecurityMonitorApp: 102 строк.</w:t>
      </w:r>
    </w:p>
    <w:p>
      <w:pPr>
        <w:pStyle w:val="BodyText"/>
      </w:pPr>
      <w:r>
        <w:t xml:space="preserve">Хранилище конфигурации, миссии и журналов: 109 строк.</w:t>
      </w:r>
    </w:p>
    <w:p>
      <w:pPr>
        <w:pStyle w:val="Source"/>
      </w:pPr>
      <w:r>
        <w:t xml:space="preserve">Источники: docs/threat_coverage_summary.csv:9-15.</w:t>
      </w:r>
    </w:p>
    <w:p>
      <w:pPr>
        <w:pStyle w:val="Heading2"/>
      </w:pPr>
      <w:r>
        <w:t xml:space="preserve">3.2 Распределение по режимам покрытия</w:t>
      </w:r>
    </w:p>
    <w:p>
      <w:pPr>
        <w:pStyle w:val="BodyText"/>
      </w:pPr>
      <w:r>
        <w:t xml:space="preserve">proxy_emulation: 359 строк.</w:t>
      </w:r>
    </w:p>
    <w:p>
      <w:pPr>
        <w:pStyle w:val="BodyText"/>
      </w:pPr>
      <w:r>
        <w:t xml:space="preserve">proxy_emulation_with_component_gap: 188 строк.</w:t>
      </w:r>
    </w:p>
    <w:p>
      <w:pPr>
        <w:pStyle w:val="Source"/>
      </w:pPr>
      <w:r>
        <w:t xml:space="preserve">Источники: docs/threat_coverage_summary.csv:16-17.</w:t>
      </w:r>
    </w:p>
    <w:p>
      <w:pPr>
        <w:pStyle w:val="Heading2"/>
      </w:pPr>
      <w:r>
        <w:t xml:space="preserve">3.3 Правила детектора, реально сработавшие в полном прогоне</w:t>
      </w:r>
    </w:p>
    <w:p>
      <w:pPr>
        <w:pStyle w:val="BodyText"/>
      </w:pPr>
      <w:r>
        <w:t xml:space="preserve">Серия команд arm/disarm (arm_command_burst): 212 срабатываний.</w:t>
      </w:r>
    </w:p>
    <w:p>
      <w:pPr>
        <w:pStyle w:val="BodyText"/>
      </w:pPr>
      <w:r>
        <w:t xml:space="preserve">Низкий заряд батареи (battery_low): 93 срабатываний.</w:t>
      </w:r>
    </w:p>
    <w:p>
      <w:pPr>
        <w:pStyle w:val="BodyText"/>
      </w:pPr>
      <w:r>
        <w:t xml:space="preserve">Всплеск управляющих команд (command_burst): 212 срабатываний.</w:t>
      </w:r>
    </w:p>
    <w:p>
      <w:pPr>
        <w:pStyle w:val="BodyText"/>
      </w:pPr>
      <w:r>
        <w:t xml:space="preserve">Блокировка опасного сообщения шлюзом (gateway_blocked_command): 31 срабатываний.</w:t>
      </w:r>
    </w:p>
    <w:p>
      <w:pPr>
        <w:pStyle w:val="BodyText"/>
      </w:pPr>
      <w:r>
        <w:t xml:space="preserve">Деградация GPS (gps_degraded): 83 срабатываний.</w:t>
      </w:r>
    </w:p>
    <w:p>
      <w:pPr>
        <w:pStyle w:val="BodyText"/>
      </w:pPr>
      <w:r>
        <w:t xml:space="preserve">Потеря признаков health (health_loss): 83 срабатываний.</w:t>
      </w:r>
    </w:p>
    <w:p>
      <w:pPr>
        <w:pStyle w:val="BodyText"/>
      </w:pPr>
      <w:r>
        <w:t xml:space="preserve">Простой канала связи (link_idle): 31 срабатываний.</w:t>
      </w:r>
    </w:p>
    <w:p>
      <w:pPr>
        <w:pStyle w:val="BodyText"/>
      </w:pPr>
      <w:r>
        <w:t xml:space="preserve">Потеря пакетов канала связи (link_loss): 31 срабатываний.</w:t>
      </w:r>
    </w:p>
    <w:p>
      <w:pPr>
        <w:pStyle w:val="BodyText"/>
      </w:pPr>
      <w:r>
        <w:t xml:space="preserve">Изменение миссии PX4 (mission_plan_changed): 109 срабатываний.</w:t>
      </w:r>
    </w:p>
    <w:p>
      <w:pPr>
        <w:pStyle w:val="BodyText"/>
      </w:pPr>
      <w:r>
        <w:t xml:space="preserve">Попытка записи миссии (mission_write_attempt): 204 срабатываний.</w:t>
      </w:r>
    </w:p>
    <w:p>
      <w:pPr>
        <w:pStyle w:val="BodyText"/>
      </w:pPr>
      <w:r>
        <w:t xml:space="preserve">Попытка изменения параметров (param_write_attempt): 197 срабатываний.</w:t>
      </w:r>
    </w:p>
    <w:p>
      <w:pPr>
        <w:pStyle w:val="BodyText"/>
      </w:pPr>
      <w:r>
        <w:t xml:space="preserve">Скачок позиции (position_jump): 83 срабатываний.</w:t>
      </w:r>
    </w:p>
    <w:p>
      <w:pPr>
        <w:pStyle w:val="BodyText"/>
      </w:pPr>
      <w:r>
        <w:t xml:space="preserve">Изменение параметров PX4 (px4_param_changed): 102 срабатываний.</w:t>
      </w:r>
    </w:p>
    <w:p>
      <w:pPr>
        <w:pStyle w:val="BodyText"/>
      </w:pPr>
      <w:r>
        <w:t xml:space="preserve">Попытка доступа к shell через SERIAL_CONTROL (serial_shell_access_attempt): 31 срабатываний.</w:t>
      </w:r>
    </w:p>
    <w:p>
      <w:pPr>
        <w:pStyle w:val="Source"/>
      </w:pPr>
      <w:r>
        <w:t xml:space="preserve">Источники: docs/threat_coverage_summary.csv:19-32;
    security_agent/detector.py:226-389;
    logs/threat_coverage_all/security_events.jsonl:1.</w:t>
      </w:r>
    </w:p>
    <w:p>
      <w:pPr>
        <w:pStyle w:val="Heading1"/>
      </w:pPr>
      <w:r>
        <w:t xml:space="preserve">4. Таблица сопоставления угроз, профилей, правил и логов</w:t>
      </w:r>
    </w:p>
    <w:p>
      <w:pPr>
        <w:pStyle w:val="BodyText"/>
      </w:pPr>
      <w:r>
        <w:t xml:space="preserve">Для практической проверки сформирована отдельная таблица
    threat_profile_rule_log_table.csv. В ней для каждой угрозы указаны профиль
    эмуляции, режим покрытия, правила детектора, файл-опора нативного сценария,
    основной лог покрытия и профильные JSONL-журналы, которые возникают в полном
    прогоне.</w:t>
      </w:r>
    </w:p>
    <w:p>
      <w:pPr>
        <w:pStyle w:val="Source"/>
      </w:pPr>
      <w:r>
        <w:t xml:space="preserve">Источники: docs/threat_profile_rule_log_table.csv:1;
    scenarios/run_threat_coverage.py:137-376.</w:t>
      </w:r>
    </w:p>
    <w:p>
      <w:pPr>
        <w:pStyle w:val="Heading1"/>
      </w:pPr>
      <w:r>
        <w:t xml:space="preserve">5. Ограничения</w:t>
      </w:r>
    </w:p>
    <w:p>
      <w:pPr>
        <w:pStyle w:val="BodyText"/>
      </w:pPr>
      <w:r>
        <w:t xml:space="preserve">В полном покрытии присутствуют строки режима proxy_emulation_with_component_gap.
    Это означает, что в проекте есть событие покрытия и подтвержденный способ
    наблюдения угрозы, но нет оснований утверждать, что соответствующий актив
    или канал смоделирован как полнофункциональный физический компонент. В эту
    группу попадают прежде всего периферийные, companion и обеспечивающие
    подсистемы, не подтвержденные напрямую в составе текущего SITL-стенда.</w:t>
      </w:r>
    </w:p>
    <w:p>
      <w:pPr>
        <w:pStyle w:val="Source"/>
      </w:pPr>
      <w:r>
        <w:t xml:space="preserve">Источники: threat_coverage.py:36-45, 57-76;
    docs/threat_coverage_summary.csv:16-17;
    docs/drone_architecture.md:5-15.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</w:docDefaults>
  <w:style w:type="paragraph" w:default="1" w:styleId="Normal">
    <w:name w:val="Normal"/>
  </w:style>
  <w:style w:type="paragraph" w:styleId="TitleDoc">
    <w:name w:val="TitleDoc"/>
    <w:basedOn w:val="Normal"/>
    <w:pPr>
      <w:jc w:val="center"/>
      <w:spacing w:before="0" w:after="200"/>
    </w:pPr>
    <w:rPr>
      <w:b/>
      <w:sz w:val="36"/>
      <w:szCs w:val="36"/>
    </w:rPr>
  </w:style>
  <w:style w:type="paragraph" w:styleId="Heading1">
    <w:name w:val="Heading1"/>
    <w:basedOn w:val="Normal"/>
    <w:pPr>
      <w:spacing w:before="240" w:after="120"/>
    </w:pPr>
    <w:rPr>
      <w:b/>
      <w:sz w:val="32"/>
      <w:szCs w:val="32"/>
    </w:rPr>
  </w:style>
  <w:style w:type="paragraph" w:styleId="Heading2">
    <w:name w:val="Heading2"/>
    <w:basedOn w:val="Normal"/>
    <w:pPr>
      <w:spacing w:before="180" w:after="100"/>
    </w:pPr>
    <w:rPr>
      <w:b/>
      <w:sz w:val="28"/>
      <w:szCs w:val="28"/>
    </w:rPr>
  </w:style>
  <w:style w:type="paragraph" w:styleId="BodyText">
    <w:name w:val="BodyText"/>
    <w:basedOn w:val="Normal"/>
    <w:pPr>
      <w:jc w:val="both"/>
      <w:spacing w:after="120"/>
    </w:pPr>
  </w:style>
  <w:style w:type="paragraph" w:styleId="Source">
    <w:name w:val="Source"/>
    <w:basedOn w:val="Normal"/>
    <w:pPr>
      <w:jc w:val="both"/>
      <w:spacing w:after="120"/>
    </w:pPr>
    <w:rPr>
      <w:i/>
      <w:sz w:val="22"/>
      <w:szCs w:val="22"/>
      <w:color w:val="44444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Объект исследования и подтвержденные сценарии атак</dc:title>
  <dc:creator>Codex</dc:creator>
</cp:coreProperties>
</file>