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DB81" w14:textId="4B0299CE" w:rsidR="000830D4" w:rsidRPr="000830D4" w:rsidRDefault="000830D4" w:rsidP="000830D4">
      <w:pPr>
        <w:spacing w:before="800" w:after="100"/>
        <w:rPr>
          <w:sz w:val="24"/>
          <w:szCs w:val="24"/>
        </w:rPr>
      </w:pPr>
      <w:r w:rsidRPr="000830D4">
        <w:rPr>
          <w:b/>
          <w:bCs/>
          <w:color w:val="1A5276"/>
          <w:sz w:val="72"/>
          <w:szCs w:val="72"/>
        </w:rPr>
        <w:t>Customer Support Ticket Analysis</w:t>
      </w:r>
    </w:p>
    <w:p w14:paraId="17529E29" w14:textId="77777777" w:rsidR="000830D4" w:rsidRPr="000830D4" w:rsidRDefault="000830D4" w:rsidP="000830D4">
      <w:pPr>
        <w:spacing w:after="100"/>
        <w:jc w:val="center"/>
        <w:rPr>
          <w:sz w:val="24"/>
          <w:szCs w:val="24"/>
        </w:rPr>
      </w:pPr>
      <w:r w:rsidRPr="000830D4">
        <w:rPr>
          <w:color w:val="5D6D7E"/>
          <w:sz w:val="32"/>
          <w:szCs w:val="32"/>
        </w:rPr>
        <w:t>Exploratory Data Analysis &amp; Insights Report</w:t>
      </w:r>
    </w:p>
    <w:p w14:paraId="578A4A82" w14:textId="77777777" w:rsidR="000830D4" w:rsidRPr="000830D4" w:rsidRDefault="000830D4" w:rsidP="000830D4">
      <w:pPr>
        <w:pBdr>
          <w:bottom w:val="single" w:sz="6" w:space="4" w:color="2E86C1"/>
        </w:pBdr>
        <w:rPr>
          <w:sz w:val="24"/>
          <w:szCs w:val="24"/>
        </w:rPr>
      </w:pPr>
    </w:p>
    <w:p w14:paraId="6F593F3B" w14:textId="3659FE0B" w:rsidR="000830D4" w:rsidRPr="000830D4" w:rsidRDefault="000830D4" w:rsidP="000830D4">
      <w:pPr>
        <w:spacing w:before="100" w:after="600"/>
        <w:jc w:val="center"/>
        <w:rPr>
          <w:sz w:val="24"/>
          <w:szCs w:val="24"/>
        </w:rPr>
      </w:pPr>
      <w:r w:rsidRPr="000830D4">
        <w:rPr>
          <w:i/>
          <w:iCs/>
          <w:color w:val="5D6D7E"/>
        </w:rPr>
        <w:t xml:space="preserve">Dataset: </w:t>
      </w:r>
      <w:proofErr w:type="spellStart"/>
      <w:proofErr w:type="gramStart"/>
      <w:r w:rsidR="00C50971">
        <w:rPr>
          <w:i/>
          <w:iCs/>
          <w:color w:val="5D6D7E"/>
        </w:rPr>
        <w:t>output.xlxs</w:t>
      </w:r>
      <w:proofErr w:type="spellEnd"/>
      <w:proofErr w:type="gramEnd"/>
      <w:r w:rsidRPr="000830D4">
        <w:rPr>
          <w:i/>
          <w:iCs/>
          <w:color w:val="5D6D7E"/>
        </w:rPr>
        <w:t xml:space="preserve"> </w:t>
      </w:r>
      <w:proofErr w:type="gramStart"/>
      <w:r w:rsidRPr="000830D4">
        <w:rPr>
          <w:i/>
          <w:iCs/>
          <w:color w:val="5D6D7E"/>
        </w:rPr>
        <w:t>|  Period</w:t>
      </w:r>
      <w:proofErr w:type="gramEnd"/>
      <w:r w:rsidRPr="000830D4">
        <w:rPr>
          <w:i/>
          <w:iCs/>
          <w:color w:val="5D6D7E"/>
        </w:rPr>
        <w:t>: 2020–</w:t>
      </w:r>
      <w:proofErr w:type="gramStart"/>
      <w:r w:rsidRPr="000830D4">
        <w:rPr>
          <w:i/>
          <w:iCs/>
          <w:color w:val="5D6D7E"/>
        </w:rPr>
        <w:t>2021  |</w:t>
      </w:r>
      <w:proofErr w:type="gramEnd"/>
      <w:r w:rsidRPr="000830D4">
        <w:rPr>
          <w:i/>
          <w:iCs/>
          <w:color w:val="5D6D7E"/>
        </w:rPr>
        <w:t xml:space="preserve">  Total Tickets: 8,469</w:t>
      </w:r>
    </w:p>
    <w:p w14:paraId="4DDBAAC0" w14:textId="77777777" w:rsidR="000830D4" w:rsidRPr="000830D4" w:rsidRDefault="000830D4" w:rsidP="000830D4">
      <w:pPr>
        <w:pStyle w:val="Heading1"/>
        <w:rPr>
          <w:sz w:val="44"/>
          <w:szCs w:val="44"/>
        </w:rPr>
      </w:pPr>
      <w:r w:rsidRPr="000830D4">
        <w:rPr>
          <w:sz w:val="44"/>
          <w:szCs w:val="44"/>
        </w:rPr>
        <w:t>1. Executive Summary</w:t>
      </w:r>
    </w:p>
    <w:p w14:paraId="7F326C60" w14:textId="77777777" w:rsidR="000830D4" w:rsidRPr="000830D4" w:rsidRDefault="000830D4" w:rsidP="000830D4">
      <w:pPr>
        <w:spacing w:before="60" w:after="100"/>
        <w:rPr>
          <w:sz w:val="24"/>
          <w:szCs w:val="24"/>
        </w:rPr>
      </w:pPr>
      <w:r w:rsidRPr="000830D4">
        <w:rPr>
          <w:color w:val="1C2833"/>
          <w:sz w:val="24"/>
          <w:szCs w:val="24"/>
        </w:rPr>
        <w:t>This report presents a comprehensive exploratory data analysis of 8,469 customer support tickets spanning 2020–2021. The analysis covers ticket volume trends, priority distribution, channel usage, product categories, customer demographics, and satisfaction ratings. Key findings point to a high open-ticket backlog and first-response time as the primary bottlenecks in the support workflow.</w:t>
      </w:r>
    </w:p>
    <w:p w14:paraId="4C749CE7" w14:textId="77777777" w:rsidR="000830D4" w:rsidRPr="000830D4" w:rsidRDefault="000830D4" w:rsidP="000830D4">
      <w:pPr>
        <w:rPr>
          <w:sz w:val="24"/>
          <w:szCs w:val="24"/>
        </w:rPr>
      </w:pPr>
    </w:p>
    <w:p w14:paraId="30B437D7" w14:textId="77777777" w:rsidR="000830D4" w:rsidRPr="000830D4" w:rsidRDefault="000830D4" w:rsidP="000830D4">
      <w:pPr>
        <w:pStyle w:val="Heading2"/>
        <w:rPr>
          <w:sz w:val="36"/>
          <w:szCs w:val="36"/>
        </w:rPr>
      </w:pPr>
      <w:r w:rsidRPr="000830D4">
        <w:rPr>
          <w:sz w:val="36"/>
          <w:szCs w:val="36"/>
        </w:rPr>
        <w:t>1.1 Key Performance Indicators</w:t>
      </w:r>
    </w:p>
    <w:p w14:paraId="0CCEF87E" w14:textId="77777777" w:rsidR="000830D4" w:rsidRPr="000830D4" w:rsidRDefault="000830D4" w:rsidP="000830D4">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0D4" w:rsidRPr="000830D4" w14:paraId="7B33833F" w14:textId="77777777" w:rsidTr="0071142E">
        <w:tc>
          <w:tcPr>
            <w:tcW w:w="3120" w:type="dxa"/>
            <w:tcBorders>
              <w:top w:val="single" w:sz="1" w:space="0" w:color="C0C0C0"/>
              <w:left w:val="single" w:sz="1" w:space="0" w:color="C0C0C0"/>
              <w:bottom w:val="single" w:sz="1" w:space="0" w:color="C0C0C0"/>
              <w:right w:val="single" w:sz="1" w:space="0" w:color="C0C0C0"/>
            </w:tcBorders>
            <w:shd w:val="clear" w:color="auto" w:fill="D6EAF8"/>
            <w:tcMar>
              <w:top w:w="100" w:type="dxa"/>
              <w:left w:w="160" w:type="dxa"/>
              <w:bottom w:w="100" w:type="dxa"/>
              <w:right w:w="160" w:type="dxa"/>
            </w:tcMar>
            <w:vAlign w:val="center"/>
          </w:tcPr>
          <w:p w14:paraId="7B1FB4E3" w14:textId="77777777" w:rsidR="000830D4" w:rsidRPr="000830D4" w:rsidRDefault="000830D4" w:rsidP="0071142E">
            <w:pPr>
              <w:jc w:val="center"/>
              <w:rPr>
                <w:sz w:val="24"/>
                <w:szCs w:val="24"/>
              </w:rPr>
            </w:pPr>
            <w:r w:rsidRPr="000830D4">
              <w:rPr>
                <w:b/>
                <w:bCs/>
                <w:color w:val="1A5276"/>
                <w:sz w:val="36"/>
                <w:szCs w:val="36"/>
              </w:rPr>
              <w:t>8,469</w:t>
            </w:r>
          </w:p>
          <w:p w14:paraId="0A6B74BC" w14:textId="77777777" w:rsidR="000830D4" w:rsidRPr="000830D4" w:rsidRDefault="000830D4" w:rsidP="0071142E">
            <w:pPr>
              <w:jc w:val="center"/>
              <w:rPr>
                <w:sz w:val="24"/>
                <w:szCs w:val="24"/>
              </w:rPr>
            </w:pPr>
            <w:r w:rsidRPr="000830D4">
              <w:rPr>
                <w:color w:val="5D6D7E"/>
                <w:sz w:val="20"/>
                <w:szCs w:val="20"/>
              </w:rPr>
              <w:t>Total Tickets</w:t>
            </w:r>
          </w:p>
        </w:tc>
        <w:tc>
          <w:tcPr>
            <w:tcW w:w="3120" w:type="dxa"/>
            <w:tcBorders>
              <w:top w:val="single" w:sz="1" w:space="0" w:color="C0C0C0"/>
              <w:left w:val="single" w:sz="1" w:space="0" w:color="C0C0C0"/>
              <w:bottom w:val="single" w:sz="1" w:space="0" w:color="C0C0C0"/>
              <w:right w:val="single" w:sz="1" w:space="0" w:color="C0C0C0"/>
            </w:tcBorders>
            <w:shd w:val="clear" w:color="auto" w:fill="D5F5E3"/>
            <w:tcMar>
              <w:top w:w="100" w:type="dxa"/>
              <w:left w:w="160" w:type="dxa"/>
              <w:bottom w:w="100" w:type="dxa"/>
              <w:right w:w="160" w:type="dxa"/>
            </w:tcMar>
            <w:vAlign w:val="center"/>
          </w:tcPr>
          <w:p w14:paraId="576A04F8" w14:textId="77777777" w:rsidR="000830D4" w:rsidRPr="000830D4" w:rsidRDefault="000830D4" w:rsidP="0071142E">
            <w:pPr>
              <w:jc w:val="center"/>
              <w:rPr>
                <w:sz w:val="24"/>
                <w:szCs w:val="24"/>
              </w:rPr>
            </w:pPr>
            <w:r w:rsidRPr="000830D4">
              <w:rPr>
                <w:b/>
                <w:bCs/>
                <w:color w:val="117A65"/>
                <w:sz w:val="36"/>
                <w:szCs w:val="36"/>
              </w:rPr>
              <w:t xml:space="preserve">19.35 </w:t>
            </w:r>
            <w:proofErr w:type="spellStart"/>
            <w:r w:rsidRPr="000830D4">
              <w:rPr>
                <w:b/>
                <w:bCs/>
                <w:color w:val="117A65"/>
                <w:sz w:val="36"/>
                <w:szCs w:val="36"/>
              </w:rPr>
              <w:t>hrs</w:t>
            </w:r>
            <w:proofErr w:type="spellEnd"/>
          </w:p>
          <w:p w14:paraId="194D9289" w14:textId="77777777" w:rsidR="000830D4" w:rsidRPr="000830D4" w:rsidRDefault="000830D4" w:rsidP="0071142E">
            <w:pPr>
              <w:jc w:val="center"/>
              <w:rPr>
                <w:sz w:val="24"/>
                <w:szCs w:val="24"/>
              </w:rPr>
            </w:pPr>
            <w:r w:rsidRPr="000830D4">
              <w:rPr>
                <w:color w:val="5D6D7E"/>
                <w:sz w:val="20"/>
                <w:szCs w:val="20"/>
              </w:rPr>
              <w:t>Avg Response Time</w:t>
            </w:r>
          </w:p>
        </w:tc>
        <w:tc>
          <w:tcPr>
            <w:tcW w:w="3120" w:type="dxa"/>
            <w:tcBorders>
              <w:top w:val="single" w:sz="1" w:space="0" w:color="C0C0C0"/>
              <w:left w:val="single" w:sz="1" w:space="0" w:color="C0C0C0"/>
              <w:bottom w:val="single" w:sz="1" w:space="0" w:color="C0C0C0"/>
              <w:right w:val="single" w:sz="1" w:space="0" w:color="C0C0C0"/>
            </w:tcBorders>
            <w:shd w:val="clear" w:color="auto" w:fill="E8DAEF"/>
            <w:tcMar>
              <w:top w:w="100" w:type="dxa"/>
              <w:left w:w="160" w:type="dxa"/>
              <w:bottom w:w="100" w:type="dxa"/>
              <w:right w:w="160" w:type="dxa"/>
            </w:tcMar>
            <w:vAlign w:val="center"/>
          </w:tcPr>
          <w:p w14:paraId="4FFB4F96" w14:textId="77777777" w:rsidR="000830D4" w:rsidRPr="000830D4" w:rsidRDefault="000830D4" w:rsidP="0071142E">
            <w:pPr>
              <w:jc w:val="center"/>
              <w:rPr>
                <w:sz w:val="24"/>
                <w:szCs w:val="24"/>
              </w:rPr>
            </w:pPr>
            <w:r w:rsidRPr="000830D4">
              <w:rPr>
                <w:b/>
                <w:bCs/>
                <w:color w:val="7D3C98"/>
                <w:sz w:val="36"/>
                <w:szCs w:val="36"/>
              </w:rPr>
              <w:t xml:space="preserve">9.61 </w:t>
            </w:r>
            <w:proofErr w:type="spellStart"/>
            <w:r w:rsidRPr="000830D4">
              <w:rPr>
                <w:b/>
                <w:bCs/>
                <w:color w:val="7D3C98"/>
                <w:sz w:val="36"/>
                <w:szCs w:val="36"/>
              </w:rPr>
              <w:t>hrs</w:t>
            </w:r>
            <w:proofErr w:type="spellEnd"/>
          </w:p>
          <w:p w14:paraId="772901B5" w14:textId="77777777" w:rsidR="000830D4" w:rsidRPr="000830D4" w:rsidRDefault="000830D4" w:rsidP="0071142E">
            <w:pPr>
              <w:jc w:val="center"/>
              <w:rPr>
                <w:sz w:val="24"/>
                <w:szCs w:val="24"/>
              </w:rPr>
            </w:pPr>
            <w:r w:rsidRPr="000830D4">
              <w:rPr>
                <w:color w:val="5D6D7E"/>
                <w:sz w:val="20"/>
                <w:szCs w:val="20"/>
              </w:rPr>
              <w:t>Avg Resolution Time</w:t>
            </w:r>
          </w:p>
        </w:tc>
      </w:tr>
      <w:tr w:rsidR="000830D4" w:rsidRPr="000830D4" w14:paraId="695CF75A" w14:textId="77777777" w:rsidTr="0071142E">
        <w:tc>
          <w:tcPr>
            <w:tcW w:w="3120" w:type="dxa"/>
            <w:tcBorders>
              <w:top w:val="single" w:sz="1" w:space="0" w:color="C0C0C0"/>
              <w:left w:val="single" w:sz="1" w:space="0" w:color="C0C0C0"/>
              <w:bottom w:val="single" w:sz="1" w:space="0" w:color="C0C0C0"/>
              <w:right w:val="single" w:sz="1" w:space="0" w:color="C0C0C0"/>
            </w:tcBorders>
            <w:shd w:val="clear" w:color="auto" w:fill="FDEDEC"/>
            <w:tcMar>
              <w:top w:w="100" w:type="dxa"/>
              <w:left w:w="160" w:type="dxa"/>
              <w:bottom w:w="100" w:type="dxa"/>
              <w:right w:w="160" w:type="dxa"/>
            </w:tcMar>
            <w:vAlign w:val="center"/>
          </w:tcPr>
          <w:p w14:paraId="023F09E4" w14:textId="77777777" w:rsidR="000830D4" w:rsidRPr="000830D4" w:rsidRDefault="000830D4" w:rsidP="0071142E">
            <w:pPr>
              <w:jc w:val="center"/>
              <w:rPr>
                <w:sz w:val="24"/>
                <w:szCs w:val="24"/>
              </w:rPr>
            </w:pPr>
            <w:r w:rsidRPr="000830D4">
              <w:rPr>
                <w:b/>
                <w:bCs/>
                <w:color w:val="C0392B"/>
                <w:sz w:val="36"/>
                <w:szCs w:val="36"/>
              </w:rPr>
              <w:t>0.33%</w:t>
            </w:r>
          </w:p>
          <w:p w14:paraId="476B2900" w14:textId="77777777" w:rsidR="000830D4" w:rsidRPr="000830D4" w:rsidRDefault="000830D4" w:rsidP="0071142E">
            <w:pPr>
              <w:jc w:val="center"/>
              <w:rPr>
                <w:sz w:val="24"/>
                <w:szCs w:val="24"/>
              </w:rPr>
            </w:pPr>
            <w:r w:rsidRPr="000830D4">
              <w:rPr>
                <w:color w:val="5D6D7E"/>
                <w:sz w:val="20"/>
                <w:szCs w:val="20"/>
              </w:rPr>
              <w:t>Resolved TTs %</w:t>
            </w:r>
          </w:p>
        </w:tc>
        <w:tc>
          <w:tcPr>
            <w:tcW w:w="3120" w:type="dxa"/>
            <w:tcBorders>
              <w:top w:val="single" w:sz="1" w:space="0" w:color="C0C0C0"/>
              <w:left w:val="single" w:sz="1" w:space="0" w:color="C0C0C0"/>
              <w:bottom w:val="single" w:sz="1" w:space="0" w:color="C0C0C0"/>
              <w:right w:val="single" w:sz="1" w:space="0" w:color="C0C0C0"/>
            </w:tcBorders>
            <w:shd w:val="clear" w:color="auto" w:fill="FEF9E7"/>
            <w:tcMar>
              <w:top w:w="100" w:type="dxa"/>
              <w:left w:w="160" w:type="dxa"/>
              <w:bottom w:w="100" w:type="dxa"/>
              <w:right w:w="160" w:type="dxa"/>
            </w:tcMar>
            <w:vAlign w:val="center"/>
          </w:tcPr>
          <w:p w14:paraId="7510AF2E" w14:textId="77777777" w:rsidR="000830D4" w:rsidRPr="000830D4" w:rsidRDefault="000830D4" w:rsidP="0071142E">
            <w:pPr>
              <w:jc w:val="center"/>
              <w:rPr>
                <w:sz w:val="24"/>
                <w:szCs w:val="24"/>
              </w:rPr>
            </w:pPr>
            <w:r w:rsidRPr="000830D4">
              <w:rPr>
                <w:b/>
                <w:bCs/>
                <w:color w:val="D4AC0D"/>
                <w:sz w:val="36"/>
                <w:szCs w:val="36"/>
              </w:rPr>
              <w:t>2.99 / 5</w:t>
            </w:r>
          </w:p>
          <w:p w14:paraId="1C1D61D0" w14:textId="77777777" w:rsidR="000830D4" w:rsidRPr="000830D4" w:rsidRDefault="000830D4" w:rsidP="0071142E">
            <w:pPr>
              <w:jc w:val="center"/>
              <w:rPr>
                <w:sz w:val="24"/>
                <w:szCs w:val="24"/>
              </w:rPr>
            </w:pPr>
            <w:r w:rsidRPr="000830D4">
              <w:rPr>
                <w:color w:val="5D6D7E"/>
                <w:sz w:val="20"/>
                <w:szCs w:val="20"/>
              </w:rPr>
              <w:t>Average Rating</w:t>
            </w:r>
          </w:p>
        </w:tc>
        <w:tc>
          <w:tcPr>
            <w:tcW w:w="3120" w:type="dxa"/>
            <w:tcBorders>
              <w:top w:val="single" w:sz="1" w:space="0" w:color="C0C0C0"/>
              <w:left w:val="single" w:sz="1" w:space="0" w:color="C0C0C0"/>
              <w:bottom w:val="single" w:sz="1" w:space="0" w:color="C0C0C0"/>
              <w:right w:val="single" w:sz="1" w:space="0" w:color="C0C0C0"/>
            </w:tcBorders>
            <w:shd w:val="clear" w:color="auto" w:fill="D6EAF8"/>
            <w:tcMar>
              <w:top w:w="100" w:type="dxa"/>
              <w:left w:w="160" w:type="dxa"/>
              <w:bottom w:w="100" w:type="dxa"/>
              <w:right w:w="160" w:type="dxa"/>
            </w:tcMar>
            <w:vAlign w:val="center"/>
          </w:tcPr>
          <w:p w14:paraId="2E3E23D5" w14:textId="77777777" w:rsidR="000830D4" w:rsidRPr="000830D4" w:rsidRDefault="000830D4" w:rsidP="0071142E">
            <w:pPr>
              <w:jc w:val="center"/>
              <w:rPr>
                <w:sz w:val="24"/>
                <w:szCs w:val="24"/>
              </w:rPr>
            </w:pPr>
            <w:r w:rsidRPr="000830D4">
              <w:rPr>
                <w:b/>
                <w:bCs/>
                <w:color w:val="2E86C1"/>
                <w:sz w:val="36"/>
                <w:szCs w:val="36"/>
              </w:rPr>
              <w:t>0.50%</w:t>
            </w:r>
          </w:p>
          <w:p w14:paraId="20F16FDB" w14:textId="77777777" w:rsidR="000830D4" w:rsidRPr="000830D4" w:rsidRDefault="000830D4" w:rsidP="0071142E">
            <w:pPr>
              <w:jc w:val="center"/>
              <w:rPr>
                <w:sz w:val="24"/>
                <w:szCs w:val="24"/>
              </w:rPr>
            </w:pPr>
            <w:r w:rsidRPr="000830D4">
              <w:rPr>
                <w:color w:val="5D6D7E"/>
                <w:sz w:val="20"/>
                <w:szCs w:val="20"/>
              </w:rPr>
              <w:t>Priority TTs %</w:t>
            </w:r>
          </w:p>
        </w:tc>
      </w:tr>
    </w:tbl>
    <w:p w14:paraId="2E8A2CE2" w14:textId="77777777" w:rsidR="000830D4" w:rsidRPr="000830D4" w:rsidRDefault="000830D4" w:rsidP="000830D4">
      <w:pPr>
        <w:rPr>
          <w:sz w:val="24"/>
          <w:szCs w:val="24"/>
        </w:rPr>
      </w:pPr>
    </w:p>
    <w:p w14:paraId="05E8B73E" w14:textId="77777777" w:rsidR="000830D4" w:rsidRPr="000830D4" w:rsidRDefault="000830D4" w:rsidP="000830D4">
      <w:pPr>
        <w:pStyle w:val="Heading1"/>
        <w:rPr>
          <w:sz w:val="44"/>
          <w:szCs w:val="44"/>
        </w:rPr>
      </w:pPr>
      <w:r w:rsidRPr="000830D4">
        <w:rPr>
          <w:sz w:val="44"/>
          <w:szCs w:val="44"/>
        </w:rPr>
        <w:t>2. Data Overview &amp; Preparation</w:t>
      </w:r>
    </w:p>
    <w:p w14:paraId="4BCA7088" w14:textId="77777777" w:rsidR="000830D4" w:rsidRPr="000830D4" w:rsidRDefault="000830D4" w:rsidP="000830D4">
      <w:pPr>
        <w:spacing w:before="60" w:after="100"/>
        <w:rPr>
          <w:sz w:val="24"/>
          <w:szCs w:val="24"/>
        </w:rPr>
      </w:pPr>
      <w:r w:rsidRPr="000830D4">
        <w:rPr>
          <w:color w:val="1C2833"/>
          <w:sz w:val="24"/>
          <w:szCs w:val="24"/>
        </w:rPr>
        <w:t>The dataset was loaded from customer_support_tickets.csv and contained the following key columns after standardization:</w:t>
      </w:r>
    </w:p>
    <w:p w14:paraId="304BF549" w14:textId="77777777" w:rsidR="000830D4" w:rsidRPr="000830D4" w:rsidRDefault="000830D4" w:rsidP="000830D4">
      <w:pPr>
        <w:rPr>
          <w:sz w:val="24"/>
          <w:szCs w:val="24"/>
        </w:rPr>
      </w:pPr>
    </w:p>
    <w:p w14:paraId="6D0DD03A" w14:textId="77777777" w:rsidR="000830D4" w:rsidRPr="000830D4" w:rsidRDefault="000830D4" w:rsidP="000830D4">
      <w:pPr>
        <w:pStyle w:val="ListParagraph"/>
        <w:numPr>
          <w:ilvl w:val="0"/>
          <w:numId w:val="1"/>
        </w:numPr>
        <w:contextualSpacing w:val="0"/>
        <w:rPr>
          <w:sz w:val="24"/>
          <w:szCs w:val="24"/>
        </w:rPr>
      </w:pPr>
      <w:proofErr w:type="spellStart"/>
      <w:r w:rsidRPr="000830D4">
        <w:t>ticket_id</w:t>
      </w:r>
      <w:proofErr w:type="spellEnd"/>
      <w:r w:rsidRPr="000830D4">
        <w:t xml:space="preserve">, </w:t>
      </w:r>
      <w:proofErr w:type="spellStart"/>
      <w:r w:rsidRPr="000830D4">
        <w:t>ticket_type</w:t>
      </w:r>
      <w:proofErr w:type="spellEnd"/>
      <w:r w:rsidRPr="000830D4">
        <w:t xml:space="preserve">, </w:t>
      </w:r>
      <w:proofErr w:type="spellStart"/>
      <w:r w:rsidRPr="000830D4">
        <w:t>ticket_subject</w:t>
      </w:r>
      <w:proofErr w:type="spellEnd"/>
      <w:r w:rsidRPr="000830D4">
        <w:t xml:space="preserve">, </w:t>
      </w:r>
      <w:proofErr w:type="spellStart"/>
      <w:r w:rsidRPr="000830D4">
        <w:t>ticket_status</w:t>
      </w:r>
      <w:proofErr w:type="spellEnd"/>
      <w:r w:rsidRPr="000830D4">
        <w:t xml:space="preserve">, </w:t>
      </w:r>
      <w:proofErr w:type="spellStart"/>
      <w:r w:rsidRPr="000830D4">
        <w:t>ticket_priority</w:t>
      </w:r>
      <w:proofErr w:type="spellEnd"/>
      <w:r w:rsidRPr="000830D4">
        <w:t xml:space="preserve">, </w:t>
      </w:r>
      <w:proofErr w:type="spellStart"/>
      <w:r w:rsidRPr="000830D4">
        <w:t>ticket_channel</w:t>
      </w:r>
      <w:proofErr w:type="spellEnd"/>
    </w:p>
    <w:p w14:paraId="45FA31B0" w14:textId="77777777" w:rsidR="000830D4" w:rsidRPr="000830D4" w:rsidRDefault="000830D4" w:rsidP="000830D4">
      <w:pPr>
        <w:pStyle w:val="ListParagraph"/>
        <w:numPr>
          <w:ilvl w:val="0"/>
          <w:numId w:val="1"/>
        </w:numPr>
        <w:contextualSpacing w:val="0"/>
        <w:rPr>
          <w:sz w:val="24"/>
          <w:szCs w:val="24"/>
        </w:rPr>
      </w:pPr>
      <w:proofErr w:type="spellStart"/>
      <w:r w:rsidRPr="000830D4">
        <w:t>product_purchased</w:t>
      </w:r>
      <w:proofErr w:type="spellEnd"/>
      <w:r w:rsidRPr="000830D4">
        <w:t xml:space="preserve"> → mapped to </w:t>
      </w:r>
      <w:proofErr w:type="spellStart"/>
      <w:r w:rsidRPr="000830D4">
        <w:t>product_category</w:t>
      </w:r>
      <w:proofErr w:type="spellEnd"/>
      <w:r w:rsidRPr="000830D4">
        <w:t xml:space="preserve"> (Electronics, Computers, Gaming, Home Appliances, Cameras, Other)</w:t>
      </w:r>
    </w:p>
    <w:p w14:paraId="2A510714" w14:textId="77777777" w:rsidR="000830D4" w:rsidRPr="000830D4" w:rsidRDefault="000830D4" w:rsidP="000830D4">
      <w:pPr>
        <w:pStyle w:val="ListParagraph"/>
        <w:numPr>
          <w:ilvl w:val="0"/>
          <w:numId w:val="1"/>
        </w:numPr>
        <w:contextualSpacing w:val="0"/>
        <w:rPr>
          <w:sz w:val="24"/>
          <w:szCs w:val="24"/>
        </w:rPr>
      </w:pPr>
      <w:proofErr w:type="spellStart"/>
      <w:r w:rsidRPr="000830D4">
        <w:t>date_of_purchase</w:t>
      </w:r>
      <w:proofErr w:type="spellEnd"/>
      <w:r w:rsidRPr="000830D4">
        <w:t xml:space="preserve">, </w:t>
      </w:r>
      <w:proofErr w:type="spellStart"/>
      <w:r w:rsidRPr="000830D4">
        <w:t>first_response_time</w:t>
      </w:r>
      <w:proofErr w:type="spellEnd"/>
      <w:r w:rsidRPr="000830D4">
        <w:t xml:space="preserve">, </w:t>
      </w:r>
      <w:proofErr w:type="spellStart"/>
      <w:r w:rsidRPr="000830D4">
        <w:t>time_to_resolution</w:t>
      </w:r>
      <w:proofErr w:type="spellEnd"/>
      <w:r w:rsidRPr="000830D4">
        <w:t xml:space="preserve"> — converted to datetime</w:t>
      </w:r>
    </w:p>
    <w:p w14:paraId="01895174" w14:textId="77777777" w:rsidR="000830D4" w:rsidRPr="000830D4" w:rsidRDefault="000830D4" w:rsidP="000830D4">
      <w:pPr>
        <w:pStyle w:val="ListParagraph"/>
        <w:numPr>
          <w:ilvl w:val="0"/>
          <w:numId w:val="1"/>
        </w:numPr>
        <w:contextualSpacing w:val="0"/>
        <w:rPr>
          <w:sz w:val="24"/>
          <w:szCs w:val="24"/>
        </w:rPr>
      </w:pPr>
      <w:proofErr w:type="spellStart"/>
      <w:r w:rsidRPr="000830D4">
        <w:t>customer_age</w:t>
      </w:r>
      <w:proofErr w:type="spellEnd"/>
      <w:r w:rsidRPr="000830D4">
        <w:t xml:space="preserve">, </w:t>
      </w:r>
      <w:proofErr w:type="spellStart"/>
      <w:r w:rsidRPr="000830D4">
        <w:t>customer_gender</w:t>
      </w:r>
      <w:proofErr w:type="spellEnd"/>
      <w:r w:rsidRPr="000830D4">
        <w:t xml:space="preserve">, </w:t>
      </w:r>
      <w:proofErr w:type="spellStart"/>
      <w:r w:rsidRPr="000830D4">
        <w:t>customer_satisfaction_rating</w:t>
      </w:r>
      <w:proofErr w:type="spellEnd"/>
    </w:p>
    <w:p w14:paraId="0C0671B0" w14:textId="77777777" w:rsidR="000830D4" w:rsidRPr="000830D4" w:rsidRDefault="000830D4" w:rsidP="000830D4">
      <w:pPr>
        <w:rPr>
          <w:sz w:val="24"/>
          <w:szCs w:val="24"/>
        </w:rPr>
      </w:pPr>
    </w:p>
    <w:p w14:paraId="6E44164C" w14:textId="77777777" w:rsidR="000830D4" w:rsidRPr="000830D4" w:rsidRDefault="000830D4" w:rsidP="000830D4">
      <w:pPr>
        <w:spacing w:before="60" w:after="100"/>
        <w:rPr>
          <w:sz w:val="24"/>
          <w:szCs w:val="24"/>
        </w:rPr>
      </w:pPr>
      <w:r w:rsidRPr="000830D4">
        <w:rPr>
          <w:color w:val="1C2833"/>
          <w:sz w:val="24"/>
          <w:szCs w:val="24"/>
        </w:rPr>
        <w:t>Derived fields created during EDA:</w:t>
      </w:r>
    </w:p>
    <w:p w14:paraId="45185124" w14:textId="77777777" w:rsidR="000830D4" w:rsidRPr="000830D4" w:rsidRDefault="000830D4" w:rsidP="000830D4">
      <w:pPr>
        <w:pStyle w:val="ListParagraph"/>
        <w:numPr>
          <w:ilvl w:val="0"/>
          <w:numId w:val="1"/>
        </w:numPr>
        <w:contextualSpacing w:val="0"/>
        <w:rPr>
          <w:sz w:val="24"/>
          <w:szCs w:val="24"/>
        </w:rPr>
      </w:pPr>
      <w:proofErr w:type="spellStart"/>
      <w:r w:rsidRPr="000830D4">
        <w:t>resolution_time_hours</w:t>
      </w:r>
      <w:proofErr w:type="spellEnd"/>
      <w:r w:rsidRPr="000830D4">
        <w:t>: (</w:t>
      </w:r>
      <w:proofErr w:type="spellStart"/>
      <w:r w:rsidRPr="000830D4">
        <w:t>time_to_resolution</w:t>
      </w:r>
      <w:proofErr w:type="spellEnd"/>
      <w:r w:rsidRPr="000830D4">
        <w:t xml:space="preserve"> − </w:t>
      </w:r>
      <w:proofErr w:type="spellStart"/>
      <w:r w:rsidRPr="000830D4">
        <w:t>first_response_time</w:t>
      </w:r>
      <w:proofErr w:type="spellEnd"/>
      <w:r w:rsidRPr="000830D4">
        <w:t>) in hours</w:t>
      </w:r>
    </w:p>
    <w:p w14:paraId="50EDA71F" w14:textId="77777777" w:rsidR="000830D4" w:rsidRPr="000830D4" w:rsidRDefault="000830D4" w:rsidP="000830D4">
      <w:pPr>
        <w:pStyle w:val="ListParagraph"/>
        <w:numPr>
          <w:ilvl w:val="0"/>
          <w:numId w:val="1"/>
        </w:numPr>
        <w:contextualSpacing w:val="0"/>
        <w:rPr>
          <w:sz w:val="24"/>
          <w:szCs w:val="24"/>
        </w:rPr>
      </w:pPr>
      <w:proofErr w:type="spellStart"/>
      <w:r w:rsidRPr="000830D4">
        <w:t>Status_Group</w:t>
      </w:r>
      <w:proofErr w:type="spellEnd"/>
      <w:r w:rsidRPr="000830D4">
        <w:t>: Closed vs In Progress (consolidating Pending &amp; Open)</w:t>
      </w:r>
    </w:p>
    <w:p w14:paraId="48313052" w14:textId="77777777" w:rsidR="000830D4" w:rsidRPr="000830D4" w:rsidRDefault="000830D4" w:rsidP="000830D4">
      <w:pPr>
        <w:pStyle w:val="ListParagraph"/>
        <w:numPr>
          <w:ilvl w:val="0"/>
          <w:numId w:val="1"/>
        </w:numPr>
        <w:contextualSpacing w:val="0"/>
        <w:rPr>
          <w:sz w:val="24"/>
          <w:szCs w:val="24"/>
        </w:rPr>
      </w:pPr>
      <w:proofErr w:type="spellStart"/>
      <w:r w:rsidRPr="000830D4">
        <w:lastRenderedPageBreak/>
        <w:t>age_group</w:t>
      </w:r>
      <w:proofErr w:type="spellEnd"/>
      <w:r w:rsidRPr="000830D4">
        <w:t>: 18–25, 26–35, 36–46, 47–59, 60+</w:t>
      </w:r>
    </w:p>
    <w:p w14:paraId="22178E63" w14:textId="77777777" w:rsidR="000830D4" w:rsidRPr="000830D4" w:rsidRDefault="000830D4" w:rsidP="000830D4">
      <w:pPr>
        <w:pStyle w:val="ListParagraph"/>
        <w:numPr>
          <w:ilvl w:val="0"/>
          <w:numId w:val="1"/>
        </w:numPr>
        <w:contextualSpacing w:val="0"/>
        <w:rPr>
          <w:sz w:val="24"/>
          <w:szCs w:val="24"/>
        </w:rPr>
      </w:pPr>
      <w:proofErr w:type="spellStart"/>
      <w:r w:rsidRPr="000830D4">
        <w:t>product_category</w:t>
      </w:r>
      <w:proofErr w:type="spellEnd"/>
      <w:r w:rsidRPr="000830D4">
        <w:t>: grouped from 30+ individual product names</w:t>
      </w:r>
    </w:p>
    <w:p w14:paraId="7CBE2236" w14:textId="77777777" w:rsidR="000830D4" w:rsidRPr="000830D4" w:rsidRDefault="000830D4" w:rsidP="000830D4">
      <w:pPr>
        <w:rPr>
          <w:sz w:val="24"/>
          <w:szCs w:val="24"/>
        </w:rPr>
      </w:pPr>
    </w:p>
    <w:p w14:paraId="25335EF1" w14:textId="77777777" w:rsidR="000830D4" w:rsidRPr="000830D4" w:rsidRDefault="000830D4" w:rsidP="000830D4">
      <w:pPr>
        <w:pBdr>
          <w:bottom w:val="single" w:sz="6" w:space="4" w:color="2E86C1"/>
        </w:pBdr>
        <w:rPr>
          <w:sz w:val="24"/>
          <w:szCs w:val="24"/>
        </w:rPr>
      </w:pPr>
    </w:p>
    <w:p w14:paraId="3ECDF7A0" w14:textId="77777777" w:rsidR="000830D4" w:rsidRPr="000830D4" w:rsidRDefault="000830D4" w:rsidP="000830D4">
      <w:pPr>
        <w:pStyle w:val="Heading1"/>
        <w:rPr>
          <w:sz w:val="44"/>
          <w:szCs w:val="44"/>
        </w:rPr>
      </w:pPr>
      <w:r w:rsidRPr="000830D4">
        <w:rPr>
          <w:sz w:val="44"/>
          <w:szCs w:val="44"/>
        </w:rPr>
        <w:t>3. Dashboard Overview</w:t>
      </w:r>
    </w:p>
    <w:p w14:paraId="7EA1982D" w14:textId="77777777" w:rsidR="000830D4" w:rsidRPr="000830D4" w:rsidRDefault="000830D4" w:rsidP="000830D4">
      <w:pPr>
        <w:spacing w:before="60" w:after="100"/>
        <w:rPr>
          <w:sz w:val="24"/>
          <w:szCs w:val="24"/>
        </w:rPr>
      </w:pPr>
      <w:r w:rsidRPr="000830D4">
        <w:rPr>
          <w:color w:val="1C2833"/>
          <w:sz w:val="24"/>
          <w:szCs w:val="24"/>
        </w:rPr>
        <w:t xml:space="preserve">The following dashboard was created in Power BI / Matplotlib and </w:t>
      </w:r>
      <w:proofErr w:type="spellStart"/>
      <w:r w:rsidRPr="000830D4">
        <w:rPr>
          <w:color w:val="1C2833"/>
          <w:sz w:val="24"/>
          <w:szCs w:val="24"/>
        </w:rPr>
        <w:t>visualises</w:t>
      </w:r>
      <w:proofErr w:type="spellEnd"/>
      <w:r w:rsidRPr="000830D4">
        <w:rPr>
          <w:color w:val="1C2833"/>
          <w:sz w:val="24"/>
          <w:szCs w:val="24"/>
        </w:rPr>
        <w:t xml:space="preserve"> the core KPIs and distributions </w:t>
      </w:r>
      <w:proofErr w:type="gramStart"/>
      <w:r w:rsidRPr="000830D4">
        <w:rPr>
          <w:color w:val="1C2833"/>
          <w:sz w:val="24"/>
          <w:szCs w:val="24"/>
        </w:rPr>
        <w:t>at a glance</w:t>
      </w:r>
      <w:proofErr w:type="gramEnd"/>
      <w:r w:rsidRPr="000830D4">
        <w:rPr>
          <w:color w:val="1C2833"/>
          <w:sz w:val="24"/>
          <w:szCs w:val="24"/>
        </w:rPr>
        <w:t>.</w:t>
      </w:r>
    </w:p>
    <w:p w14:paraId="1857FB7F" w14:textId="77777777" w:rsidR="000830D4" w:rsidRPr="000830D4" w:rsidRDefault="000830D4" w:rsidP="000830D4">
      <w:pPr>
        <w:rPr>
          <w:sz w:val="24"/>
          <w:szCs w:val="24"/>
        </w:rPr>
      </w:pPr>
    </w:p>
    <w:p w14:paraId="02580870" w14:textId="77777777" w:rsidR="000830D4" w:rsidRPr="000830D4" w:rsidRDefault="000830D4" w:rsidP="000830D4">
      <w:pPr>
        <w:jc w:val="center"/>
        <w:rPr>
          <w:sz w:val="24"/>
          <w:szCs w:val="24"/>
        </w:rPr>
      </w:pPr>
      <w:r w:rsidRPr="000830D4">
        <w:rPr>
          <w:noProof/>
          <w:sz w:val="24"/>
          <w:szCs w:val="24"/>
        </w:rPr>
        <w:drawing>
          <wp:inline distT="0" distB="0" distL="0" distR="0" wp14:anchorId="068A8389" wp14:editId="2016FD85">
            <wp:extent cx="6852285" cy="4375150"/>
            <wp:effectExtent l="0" t="0" r="5715" b="6350"/>
            <wp:docPr id="98449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5291" name=""/>
                    <pic:cNvPicPr/>
                  </pic:nvPicPr>
                  <pic:blipFill>
                    <a:blip r:embed="rId7"/>
                    <a:stretch>
                      <a:fillRect/>
                    </a:stretch>
                  </pic:blipFill>
                  <pic:spPr>
                    <a:xfrm>
                      <a:off x="0" y="0"/>
                      <a:ext cx="6873560" cy="4388734"/>
                    </a:xfrm>
                    <a:prstGeom prst="rect">
                      <a:avLst/>
                    </a:prstGeom>
                  </pic:spPr>
                </pic:pic>
              </a:graphicData>
            </a:graphic>
          </wp:inline>
        </w:drawing>
      </w:r>
    </w:p>
    <w:p w14:paraId="0648673D" w14:textId="77777777" w:rsidR="000830D4" w:rsidRPr="000830D4" w:rsidRDefault="000830D4" w:rsidP="000830D4">
      <w:pPr>
        <w:spacing w:before="60" w:after="160"/>
        <w:jc w:val="center"/>
        <w:rPr>
          <w:sz w:val="24"/>
          <w:szCs w:val="24"/>
        </w:rPr>
      </w:pPr>
      <w:r w:rsidRPr="000830D4">
        <w:rPr>
          <w:i/>
          <w:iCs/>
          <w:color w:val="5D6D7E"/>
          <w:sz w:val="20"/>
          <w:szCs w:val="20"/>
        </w:rPr>
        <w:t>Figure 1: Customer Support Ticket Dashboard (2020–2021)</w:t>
      </w:r>
    </w:p>
    <w:p w14:paraId="22AD4BA2" w14:textId="77777777" w:rsidR="000830D4" w:rsidRPr="000830D4" w:rsidRDefault="000830D4" w:rsidP="000830D4">
      <w:pPr>
        <w:pBdr>
          <w:bottom w:val="single" w:sz="6" w:space="4" w:color="2E86C1"/>
        </w:pBdr>
        <w:rPr>
          <w:sz w:val="24"/>
          <w:szCs w:val="24"/>
        </w:rPr>
      </w:pPr>
    </w:p>
    <w:p w14:paraId="55524F19" w14:textId="77777777" w:rsidR="000830D4" w:rsidRPr="000830D4" w:rsidRDefault="000830D4" w:rsidP="000830D4">
      <w:pPr>
        <w:pStyle w:val="Heading1"/>
        <w:rPr>
          <w:sz w:val="44"/>
          <w:szCs w:val="44"/>
        </w:rPr>
      </w:pPr>
    </w:p>
    <w:p w14:paraId="1BF9548B" w14:textId="77777777" w:rsidR="000830D4" w:rsidRPr="000830D4" w:rsidRDefault="000830D4" w:rsidP="000830D4">
      <w:pPr>
        <w:pStyle w:val="Heading1"/>
        <w:rPr>
          <w:sz w:val="44"/>
          <w:szCs w:val="44"/>
        </w:rPr>
      </w:pPr>
    </w:p>
    <w:p w14:paraId="6D3B405C" w14:textId="51B15AE8" w:rsidR="000830D4" w:rsidRPr="000830D4" w:rsidRDefault="000830D4" w:rsidP="000830D4">
      <w:pPr>
        <w:pStyle w:val="Heading1"/>
        <w:rPr>
          <w:sz w:val="44"/>
          <w:szCs w:val="44"/>
        </w:rPr>
      </w:pPr>
      <w:r w:rsidRPr="000830D4">
        <w:rPr>
          <w:sz w:val="44"/>
          <w:szCs w:val="44"/>
        </w:rPr>
        <w:t>4. Detailed Analysis</w:t>
      </w:r>
    </w:p>
    <w:p w14:paraId="1520F50F" w14:textId="77777777" w:rsidR="000830D4" w:rsidRPr="000830D4" w:rsidRDefault="000830D4" w:rsidP="000830D4">
      <w:pPr>
        <w:pStyle w:val="Heading2"/>
        <w:rPr>
          <w:sz w:val="36"/>
          <w:szCs w:val="36"/>
        </w:rPr>
      </w:pPr>
      <w:r w:rsidRPr="000830D4">
        <w:rPr>
          <w:sz w:val="36"/>
          <w:szCs w:val="36"/>
        </w:rPr>
        <w:t>4.1 Monthly Ticket Volume</w:t>
      </w:r>
    </w:p>
    <w:p w14:paraId="2C660469" w14:textId="77777777" w:rsidR="000830D4" w:rsidRPr="000830D4" w:rsidRDefault="000830D4" w:rsidP="000830D4">
      <w:pPr>
        <w:spacing w:before="60" w:after="100"/>
        <w:rPr>
          <w:sz w:val="24"/>
          <w:szCs w:val="24"/>
        </w:rPr>
      </w:pPr>
      <w:r w:rsidRPr="000830D4">
        <w:rPr>
          <w:color w:val="1C2833"/>
          <w:sz w:val="24"/>
          <w:szCs w:val="24"/>
        </w:rPr>
        <w:t>Ticket volumes remain relatively stable across all twelve months of both years, ranging from approximately 320 to 736 per month. There is no strong seasonal spike, indicating a consistently high support demand year-round. A slight dip is observed in mid-year months (June–July) in 2021, potentially corresponding to fewer purchases during non-peak retail periods.</w:t>
      </w:r>
    </w:p>
    <w:p w14:paraId="056BD161" w14:textId="77777777" w:rsidR="000830D4" w:rsidRDefault="000830D4" w:rsidP="000830D4">
      <w:pPr>
        <w:pStyle w:val="Heading2"/>
        <w:rPr>
          <w:sz w:val="36"/>
          <w:szCs w:val="36"/>
        </w:rPr>
      </w:pPr>
    </w:p>
    <w:p w14:paraId="5A4D0AE7" w14:textId="76F739A8" w:rsidR="000830D4" w:rsidRPr="000830D4" w:rsidRDefault="000830D4" w:rsidP="000830D4">
      <w:pPr>
        <w:pStyle w:val="Heading2"/>
        <w:rPr>
          <w:sz w:val="36"/>
          <w:szCs w:val="36"/>
        </w:rPr>
      </w:pPr>
      <w:r w:rsidRPr="000830D4">
        <w:rPr>
          <w:sz w:val="36"/>
          <w:szCs w:val="36"/>
        </w:rPr>
        <w:t>4.2 Ticket Priority Distribution</w:t>
      </w:r>
    </w:p>
    <w:p w14:paraId="58A813D6" w14:textId="77777777" w:rsidR="000830D4" w:rsidRPr="000830D4" w:rsidRDefault="000830D4" w:rsidP="000830D4">
      <w:pPr>
        <w:spacing w:before="60" w:after="100"/>
        <w:rPr>
          <w:sz w:val="24"/>
          <w:szCs w:val="24"/>
        </w:rPr>
      </w:pPr>
      <w:r w:rsidRPr="000830D4">
        <w:rPr>
          <w:color w:val="1C2833"/>
          <w:sz w:val="24"/>
          <w:szCs w:val="24"/>
        </w:rPr>
        <w:t>Across all four priority levels — Critical, High, Medium, and Low — the proportion of open tickets consistently exceeds 65%. This is a significant red flag:</w:t>
      </w:r>
    </w:p>
    <w:p w14:paraId="430DE35E" w14:textId="77777777" w:rsidR="000830D4" w:rsidRPr="000830D4" w:rsidRDefault="000830D4" w:rsidP="000830D4">
      <w:pPr>
        <w:pStyle w:val="ListParagraph"/>
        <w:numPr>
          <w:ilvl w:val="0"/>
          <w:numId w:val="1"/>
        </w:numPr>
        <w:contextualSpacing w:val="0"/>
        <w:rPr>
          <w:sz w:val="24"/>
          <w:szCs w:val="24"/>
        </w:rPr>
      </w:pPr>
      <w:r w:rsidRPr="000830D4">
        <w:t>Critical: 34.1% closed vs 65.9% open</w:t>
      </w:r>
    </w:p>
    <w:p w14:paraId="06D852D6" w14:textId="77777777" w:rsidR="000830D4" w:rsidRPr="000830D4" w:rsidRDefault="000830D4" w:rsidP="000830D4">
      <w:pPr>
        <w:pStyle w:val="ListParagraph"/>
        <w:numPr>
          <w:ilvl w:val="0"/>
          <w:numId w:val="1"/>
        </w:numPr>
        <w:contextualSpacing w:val="0"/>
        <w:rPr>
          <w:sz w:val="24"/>
          <w:szCs w:val="24"/>
        </w:rPr>
      </w:pPr>
      <w:r w:rsidRPr="000830D4">
        <w:t>High: 33.8% closed vs 66.2% open</w:t>
      </w:r>
    </w:p>
    <w:p w14:paraId="33EE8C5F" w14:textId="77777777" w:rsidR="000830D4" w:rsidRPr="000830D4" w:rsidRDefault="000830D4" w:rsidP="000830D4">
      <w:pPr>
        <w:pStyle w:val="ListParagraph"/>
        <w:numPr>
          <w:ilvl w:val="0"/>
          <w:numId w:val="1"/>
        </w:numPr>
        <w:contextualSpacing w:val="0"/>
        <w:rPr>
          <w:sz w:val="24"/>
          <w:szCs w:val="24"/>
        </w:rPr>
      </w:pPr>
      <w:r w:rsidRPr="000830D4">
        <w:t>Medium: 31.7% closed vs 68.3% open</w:t>
      </w:r>
    </w:p>
    <w:p w14:paraId="618BEDEE" w14:textId="77777777" w:rsidR="000830D4" w:rsidRPr="000830D4" w:rsidRDefault="000830D4" w:rsidP="000830D4">
      <w:pPr>
        <w:pStyle w:val="ListParagraph"/>
        <w:numPr>
          <w:ilvl w:val="0"/>
          <w:numId w:val="1"/>
        </w:numPr>
        <w:contextualSpacing w:val="0"/>
        <w:rPr>
          <w:sz w:val="24"/>
          <w:szCs w:val="24"/>
        </w:rPr>
      </w:pPr>
      <w:r w:rsidRPr="000830D4">
        <w:t>Low: 31.2% closed vs 68.8% open</w:t>
      </w:r>
    </w:p>
    <w:p w14:paraId="50339FFF" w14:textId="77777777" w:rsidR="000830D4" w:rsidRPr="000830D4" w:rsidRDefault="000830D4" w:rsidP="000830D4">
      <w:pPr>
        <w:rPr>
          <w:sz w:val="24"/>
          <w:szCs w:val="24"/>
        </w:rPr>
      </w:pPr>
    </w:p>
    <w:p w14:paraId="678DDFFD" w14:textId="77777777" w:rsidR="000830D4" w:rsidRPr="000830D4" w:rsidRDefault="000830D4" w:rsidP="000830D4">
      <w:pPr>
        <w:spacing w:before="60" w:after="100"/>
        <w:rPr>
          <w:sz w:val="24"/>
          <w:szCs w:val="24"/>
        </w:rPr>
      </w:pPr>
      <w:r w:rsidRPr="000830D4">
        <w:rPr>
          <w:color w:val="1C2833"/>
          <w:sz w:val="24"/>
          <w:szCs w:val="24"/>
        </w:rPr>
        <w:t>The lack of meaningful differentiation in closure rates between Critical and Low priority tickets suggests that priority-based SLA enforcement is either absent or poorly implemented.</w:t>
      </w:r>
    </w:p>
    <w:p w14:paraId="48D6CB65" w14:textId="77777777" w:rsidR="000830D4" w:rsidRPr="000830D4" w:rsidRDefault="000830D4" w:rsidP="000830D4">
      <w:pPr>
        <w:rPr>
          <w:sz w:val="24"/>
          <w:szCs w:val="24"/>
        </w:rPr>
      </w:pPr>
    </w:p>
    <w:p w14:paraId="7345BD67" w14:textId="77777777" w:rsidR="000830D4" w:rsidRPr="000830D4" w:rsidRDefault="000830D4" w:rsidP="000830D4">
      <w:pPr>
        <w:pStyle w:val="Heading2"/>
        <w:rPr>
          <w:sz w:val="36"/>
          <w:szCs w:val="36"/>
        </w:rPr>
      </w:pPr>
      <w:r w:rsidRPr="000830D4">
        <w:rPr>
          <w:sz w:val="36"/>
          <w:szCs w:val="36"/>
        </w:rPr>
        <w:t>4.3 Product Category Analysis</w:t>
      </w:r>
    </w:p>
    <w:p w14:paraId="557FFED8" w14:textId="77777777" w:rsidR="000830D4" w:rsidRPr="000830D4" w:rsidRDefault="000830D4" w:rsidP="000830D4">
      <w:pPr>
        <w:spacing w:before="60" w:after="100"/>
        <w:rPr>
          <w:sz w:val="24"/>
          <w:szCs w:val="24"/>
        </w:rPr>
      </w:pPr>
      <w:r w:rsidRPr="000830D4">
        <w:rPr>
          <w:color w:val="1C2833"/>
          <w:sz w:val="24"/>
          <w:szCs w:val="24"/>
        </w:rPr>
        <w:t>Electronics &amp; Gadgets is the dominant category with ~2,100 tickets, followed by Computers &amp; Software (1,500), Gaming &amp; Entertainment (1,300), Home Appliances (1,300), Other (1,200), and Cameras &amp; Accessories (1,100). This distribution reflects the popularity and complexity of consumer electronics, which tend to generate more support queries due to setup issues, connectivity problems, and firmware updates.</w:t>
      </w:r>
    </w:p>
    <w:p w14:paraId="2A608A00" w14:textId="77777777" w:rsidR="000830D4" w:rsidRPr="000830D4" w:rsidRDefault="000830D4" w:rsidP="000830D4">
      <w:pPr>
        <w:rPr>
          <w:sz w:val="24"/>
          <w:szCs w:val="24"/>
        </w:rPr>
      </w:pPr>
    </w:p>
    <w:p w14:paraId="549ADA32" w14:textId="77777777" w:rsidR="000830D4" w:rsidRPr="000830D4" w:rsidRDefault="000830D4" w:rsidP="000830D4">
      <w:pPr>
        <w:pStyle w:val="Heading2"/>
        <w:rPr>
          <w:sz w:val="36"/>
          <w:szCs w:val="36"/>
        </w:rPr>
      </w:pPr>
      <w:r w:rsidRPr="000830D4">
        <w:rPr>
          <w:sz w:val="36"/>
          <w:szCs w:val="36"/>
        </w:rPr>
        <w:t>4.4 Ticket Channel Distribution</w:t>
      </w:r>
    </w:p>
    <w:p w14:paraId="53B192D8" w14:textId="77777777" w:rsidR="000830D4" w:rsidRPr="000830D4" w:rsidRDefault="000830D4" w:rsidP="000830D4">
      <w:pPr>
        <w:spacing w:before="60" w:after="100"/>
        <w:rPr>
          <w:sz w:val="24"/>
          <w:szCs w:val="24"/>
        </w:rPr>
      </w:pPr>
      <w:r w:rsidRPr="000830D4">
        <w:rPr>
          <w:color w:val="1C2833"/>
          <w:sz w:val="24"/>
          <w:szCs w:val="24"/>
        </w:rPr>
        <w:t xml:space="preserve">The four support channels — Email (25.3%), Phone (25.1%), </w:t>
      </w:r>
      <w:proofErr w:type="gramStart"/>
      <w:r w:rsidRPr="000830D4">
        <w:rPr>
          <w:color w:val="1C2833"/>
          <w:sz w:val="24"/>
          <w:szCs w:val="24"/>
        </w:rPr>
        <w:t>Social Media</w:t>
      </w:r>
      <w:proofErr w:type="gramEnd"/>
      <w:r w:rsidRPr="000830D4">
        <w:rPr>
          <w:color w:val="1C2833"/>
          <w:sz w:val="24"/>
          <w:szCs w:val="24"/>
        </w:rPr>
        <w:t xml:space="preserve"> (25.0%), and Chat (24.4</w:t>
      </w:r>
      <w:proofErr w:type="gramStart"/>
      <w:r w:rsidRPr="000830D4">
        <w:rPr>
          <w:color w:val="1C2833"/>
          <w:sz w:val="24"/>
          <w:szCs w:val="24"/>
        </w:rPr>
        <w:t>%) —</w:t>
      </w:r>
      <w:proofErr w:type="gramEnd"/>
      <w:r w:rsidRPr="000830D4">
        <w:rPr>
          <w:color w:val="1C2833"/>
          <w:sz w:val="24"/>
          <w:szCs w:val="24"/>
        </w:rPr>
        <w:t xml:space="preserve"> are strikingly balanced, each handling approximately one quarter of all tickets. This multi-channel equilibrium suggests customers do not have a strong preference for one channel, or that the </w:t>
      </w:r>
      <w:proofErr w:type="spellStart"/>
      <w:r w:rsidRPr="000830D4">
        <w:rPr>
          <w:color w:val="1C2833"/>
          <w:sz w:val="24"/>
          <w:szCs w:val="24"/>
        </w:rPr>
        <w:t>organisation</w:t>
      </w:r>
      <w:proofErr w:type="spellEnd"/>
      <w:r w:rsidRPr="000830D4">
        <w:rPr>
          <w:color w:val="1C2833"/>
          <w:sz w:val="24"/>
          <w:szCs w:val="24"/>
        </w:rPr>
        <w:t xml:space="preserve"> actively redistributes load across channels.</w:t>
      </w:r>
    </w:p>
    <w:p w14:paraId="5E5B4AC6" w14:textId="77777777" w:rsidR="000830D4" w:rsidRPr="000830D4" w:rsidRDefault="000830D4" w:rsidP="000830D4">
      <w:pPr>
        <w:rPr>
          <w:sz w:val="24"/>
          <w:szCs w:val="24"/>
        </w:rPr>
      </w:pPr>
    </w:p>
    <w:p w14:paraId="6F5073C1" w14:textId="77777777" w:rsidR="000830D4" w:rsidRPr="000830D4" w:rsidRDefault="000830D4" w:rsidP="000830D4">
      <w:pPr>
        <w:pStyle w:val="Heading2"/>
        <w:rPr>
          <w:sz w:val="36"/>
          <w:szCs w:val="36"/>
        </w:rPr>
      </w:pPr>
      <w:r w:rsidRPr="000830D4">
        <w:rPr>
          <w:sz w:val="36"/>
          <w:szCs w:val="36"/>
        </w:rPr>
        <w:lastRenderedPageBreak/>
        <w:t>4.5 Customer Satisfaction Ratings</w:t>
      </w:r>
    </w:p>
    <w:p w14:paraId="7C75AD8B" w14:textId="77777777" w:rsidR="000830D4" w:rsidRPr="000830D4" w:rsidRDefault="000830D4" w:rsidP="000830D4">
      <w:pPr>
        <w:spacing w:before="60" w:after="100"/>
        <w:rPr>
          <w:sz w:val="24"/>
          <w:szCs w:val="24"/>
        </w:rPr>
      </w:pPr>
      <w:r w:rsidRPr="000830D4">
        <w:rPr>
          <w:color w:val="1C2833"/>
          <w:sz w:val="24"/>
          <w:szCs w:val="24"/>
        </w:rPr>
        <w:t xml:space="preserve">The average satisfaction rating is 2.99 out of 5.0, suggesting moderate customer satisfaction. The distribution of ratings among closed tickets is nearly uniform across all five rating levels (553–580 per rating), indicating that resolution alone does not strongly determine how satisfied customers feel. Other factors such as agent </w:t>
      </w:r>
      <w:proofErr w:type="spellStart"/>
      <w:r w:rsidRPr="000830D4">
        <w:rPr>
          <w:color w:val="1C2833"/>
          <w:sz w:val="24"/>
          <w:szCs w:val="24"/>
        </w:rPr>
        <w:t>behaviour</w:t>
      </w:r>
      <w:proofErr w:type="spellEnd"/>
      <w:r w:rsidRPr="000830D4">
        <w:rPr>
          <w:color w:val="1C2833"/>
          <w:sz w:val="24"/>
          <w:szCs w:val="24"/>
        </w:rPr>
        <w:t>, communication quality, and resolution time likely play larger roles.</w:t>
      </w:r>
    </w:p>
    <w:p w14:paraId="498FA635" w14:textId="77777777" w:rsidR="000830D4" w:rsidRPr="000830D4" w:rsidRDefault="000830D4" w:rsidP="000830D4">
      <w:pPr>
        <w:rPr>
          <w:sz w:val="24"/>
          <w:szCs w:val="24"/>
        </w:rPr>
      </w:pPr>
    </w:p>
    <w:p w14:paraId="26E80AB5" w14:textId="77777777" w:rsidR="000830D4" w:rsidRPr="000830D4" w:rsidRDefault="000830D4" w:rsidP="000830D4">
      <w:pPr>
        <w:pStyle w:val="Heading2"/>
        <w:rPr>
          <w:sz w:val="36"/>
          <w:szCs w:val="36"/>
        </w:rPr>
      </w:pPr>
      <w:r w:rsidRPr="000830D4">
        <w:rPr>
          <w:sz w:val="36"/>
          <w:szCs w:val="36"/>
        </w:rPr>
        <w:t>4.6 Age Group Analysis</w:t>
      </w:r>
    </w:p>
    <w:p w14:paraId="2EEF9839" w14:textId="77777777" w:rsidR="000830D4" w:rsidRPr="000830D4" w:rsidRDefault="000830D4" w:rsidP="000830D4">
      <w:pPr>
        <w:spacing w:before="60" w:after="100"/>
        <w:rPr>
          <w:sz w:val="24"/>
          <w:szCs w:val="24"/>
        </w:rPr>
      </w:pPr>
      <w:r w:rsidRPr="000830D4">
        <w:rPr>
          <w:color w:val="1C2833"/>
          <w:sz w:val="24"/>
          <w:szCs w:val="24"/>
        </w:rPr>
        <w:t>The 47–59 age group generates the highest number of tickets (2,127), followed closely by 36–46 (1,732) and 60+ (1,731). The 18–25 bracket contributes the fewest (1,285). Older customers may be less tech-savvy or have higher-value products requiring more support, making them an important demographic to serve well.</w:t>
      </w:r>
    </w:p>
    <w:p w14:paraId="38AF8DB6" w14:textId="77777777" w:rsidR="000830D4" w:rsidRPr="000830D4" w:rsidRDefault="000830D4" w:rsidP="000830D4">
      <w:pPr>
        <w:rPr>
          <w:sz w:val="24"/>
          <w:szCs w:val="24"/>
        </w:rPr>
      </w:pPr>
    </w:p>
    <w:p w14:paraId="49649C80" w14:textId="27B94583" w:rsidR="000830D4" w:rsidRPr="000830D4" w:rsidRDefault="000830D4" w:rsidP="000830D4">
      <w:pPr>
        <w:pStyle w:val="Heading1"/>
        <w:rPr>
          <w:sz w:val="44"/>
          <w:szCs w:val="44"/>
        </w:rPr>
      </w:pPr>
      <w:r w:rsidRPr="000830D4">
        <w:rPr>
          <w:sz w:val="44"/>
          <w:szCs w:val="44"/>
        </w:rPr>
        <w:t>5. Key Insights &amp; Recommendations</w:t>
      </w:r>
    </w:p>
    <w:p w14:paraId="33D4BEE8" w14:textId="77777777" w:rsidR="000830D4" w:rsidRPr="000830D4" w:rsidRDefault="000830D4" w:rsidP="000830D4">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0830D4" w:rsidRPr="000830D4" w14:paraId="0A8129C2" w14:textId="77777777" w:rsidTr="0071142E">
        <w:tc>
          <w:tcPr>
            <w:tcW w:w="540" w:type="dxa"/>
            <w:tcBorders>
              <w:top w:val="none" w:sz="0" w:space="0" w:color="FFFFFF"/>
              <w:left w:val="none" w:sz="0" w:space="0" w:color="FFFFFF"/>
              <w:bottom w:val="none" w:sz="0" w:space="0" w:color="FFFFFF"/>
              <w:right w:val="none" w:sz="0" w:space="0" w:color="FFFFFF"/>
            </w:tcBorders>
            <w:shd w:val="clear" w:color="auto" w:fill="C0392B"/>
            <w:tcMar>
              <w:top w:w="60" w:type="dxa"/>
              <w:left w:w="60" w:type="dxa"/>
              <w:bottom w:w="60" w:type="dxa"/>
              <w:right w:w="60" w:type="dxa"/>
            </w:tcMar>
          </w:tcPr>
          <w:p w14:paraId="03AC8D0C" w14:textId="77777777" w:rsidR="000830D4" w:rsidRPr="000830D4" w:rsidRDefault="000830D4" w:rsidP="0071142E">
            <w:pPr>
              <w:rPr>
                <w:sz w:val="24"/>
                <w:szCs w:val="24"/>
              </w:rPr>
            </w:pPr>
          </w:p>
        </w:tc>
        <w:tc>
          <w:tcPr>
            <w:tcW w:w="8820" w:type="dxa"/>
            <w:tcBorders>
              <w:top w:val="single" w:sz="1" w:space="0" w:color="C0C0C0"/>
              <w:left w:val="single" w:sz="1" w:space="0" w:color="C0C0C0"/>
              <w:bottom w:val="single" w:sz="1" w:space="0" w:color="C0C0C0"/>
              <w:right w:val="single" w:sz="1" w:space="0" w:color="C0C0C0"/>
            </w:tcBorders>
            <w:tcMar>
              <w:top w:w="100" w:type="dxa"/>
              <w:left w:w="160" w:type="dxa"/>
              <w:bottom w:w="100" w:type="dxa"/>
              <w:right w:w="160" w:type="dxa"/>
            </w:tcMar>
          </w:tcPr>
          <w:p w14:paraId="0DABB2C5" w14:textId="77777777" w:rsidR="000830D4" w:rsidRPr="000830D4" w:rsidRDefault="000830D4" w:rsidP="0071142E">
            <w:pPr>
              <w:rPr>
                <w:sz w:val="24"/>
                <w:szCs w:val="24"/>
              </w:rPr>
            </w:pPr>
            <w:r w:rsidRPr="000830D4">
              <w:rPr>
                <w:b/>
                <w:bCs/>
                <w:color w:val="C0392B"/>
                <w:sz w:val="24"/>
                <w:szCs w:val="24"/>
              </w:rPr>
              <w:t>High Open-Ticket Rate Across All Priorities</w:t>
            </w:r>
          </w:p>
          <w:p w14:paraId="0EF5E5E5" w14:textId="77777777" w:rsidR="000830D4" w:rsidRPr="000830D4" w:rsidRDefault="000830D4" w:rsidP="0071142E">
            <w:pPr>
              <w:rPr>
                <w:sz w:val="24"/>
                <w:szCs w:val="24"/>
              </w:rPr>
            </w:pPr>
            <w:r w:rsidRPr="000830D4">
              <w:rPr>
                <w:color w:val="1C2833"/>
              </w:rPr>
              <w:t>65–69% of all tickets remain unresolved regardless of priority. Implement strict SLA tiers with automated escalation for Critical and High priority tickets to drive resolution rates up.</w:t>
            </w:r>
          </w:p>
        </w:tc>
      </w:tr>
      <w:tr w:rsidR="000830D4" w:rsidRPr="000830D4" w14:paraId="256328A3" w14:textId="77777777" w:rsidTr="0071142E">
        <w:tc>
          <w:tcPr>
            <w:tcW w:w="540" w:type="dxa"/>
            <w:tcBorders>
              <w:top w:val="none" w:sz="0" w:space="0" w:color="FFFFFF"/>
              <w:left w:val="none" w:sz="0" w:space="0" w:color="FFFFFF"/>
              <w:bottom w:val="none" w:sz="0" w:space="0" w:color="FFFFFF"/>
              <w:right w:val="none" w:sz="0" w:space="0" w:color="FFFFFF"/>
            </w:tcBorders>
            <w:shd w:val="clear" w:color="auto" w:fill="2E86C1"/>
            <w:tcMar>
              <w:top w:w="60" w:type="dxa"/>
              <w:left w:w="60" w:type="dxa"/>
              <w:bottom w:w="60" w:type="dxa"/>
              <w:right w:w="60" w:type="dxa"/>
            </w:tcMar>
          </w:tcPr>
          <w:p w14:paraId="182BA75C" w14:textId="77777777" w:rsidR="000830D4" w:rsidRPr="000830D4" w:rsidRDefault="000830D4" w:rsidP="0071142E">
            <w:pPr>
              <w:rPr>
                <w:sz w:val="24"/>
                <w:szCs w:val="24"/>
              </w:rPr>
            </w:pPr>
          </w:p>
        </w:tc>
        <w:tc>
          <w:tcPr>
            <w:tcW w:w="8820" w:type="dxa"/>
            <w:tcBorders>
              <w:top w:val="single" w:sz="1" w:space="0" w:color="C0C0C0"/>
              <w:left w:val="single" w:sz="1" w:space="0" w:color="C0C0C0"/>
              <w:bottom w:val="single" w:sz="1" w:space="0" w:color="C0C0C0"/>
              <w:right w:val="single" w:sz="1" w:space="0" w:color="C0C0C0"/>
            </w:tcBorders>
            <w:tcMar>
              <w:top w:w="100" w:type="dxa"/>
              <w:left w:w="160" w:type="dxa"/>
              <w:bottom w:w="100" w:type="dxa"/>
              <w:right w:w="160" w:type="dxa"/>
            </w:tcMar>
          </w:tcPr>
          <w:p w14:paraId="5DC02A85" w14:textId="77777777" w:rsidR="000830D4" w:rsidRPr="000830D4" w:rsidRDefault="000830D4" w:rsidP="0071142E">
            <w:pPr>
              <w:rPr>
                <w:sz w:val="24"/>
                <w:szCs w:val="24"/>
              </w:rPr>
            </w:pPr>
            <w:r w:rsidRPr="000830D4">
              <w:rPr>
                <w:b/>
                <w:bCs/>
                <w:color w:val="2E86C1"/>
                <w:sz w:val="24"/>
                <w:szCs w:val="24"/>
              </w:rPr>
              <w:t>Electronics Dominates Support Volume</w:t>
            </w:r>
          </w:p>
          <w:p w14:paraId="302C0FB4" w14:textId="77777777" w:rsidR="000830D4" w:rsidRPr="000830D4" w:rsidRDefault="000830D4" w:rsidP="0071142E">
            <w:pPr>
              <w:rPr>
                <w:sz w:val="24"/>
                <w:szCs w:val="24"/>
              </w:rPr>
            </w:pPr>
            <w:r w:rsidRPr="000830D4">
              <w:rPr>
                <w:color w:val="1C2833"/>
              </w:rPr>
              <w:t>Electronics &amp; Gadgets accounts for the largest category (~2.1K tickets). Invest in self-service knowledge bases, FAQs, and video tutorials for common Electronics issues to deflect routine queries.</w:t>
            </w:r>
          </w:p>
        </w:tc>
      </w:tr>
      <w:tr w:rsidR="000830D4" w:rsidRPr="000830D4" w14:paraId="4A56131D" w14:textId="77777777" w:rsidTr="0071142E">
        <w:tc>
          <w:tcPr>
            <w:tcW w:w="540" w:type="dxa"/>
            <w:tcBorders>
              <w:top w:val="none" w:sz="0" w:space="0" w:color="FFFFFF"/>
              <w:left w:val="none" w:sz="0" w:space="0" w:color="FFFFFF"/>
              <w:bottom w:val="none" w:sz="0" w:space="0" w:color="FFFFFF"/>
              <w:right w:val="none" w:sz="0" w:space="0" w:color="FFFFFF"/>
            </w:tcBorders>
            <w:shd w:val="clear" w:color="auto" w:fill="117A65"/>
            <w:tcMar>
              <w:top w:w="60" w:type="dxa"/>
              <w:left w:w="60" w:type="dxa"/>
              <w:bottom w:w="60" w:type="dxa"/>
              <w:right w:w="60" w:type="dxa"/>
            </w:tcMar>
          </w:tcPr>
          <w:p w14:paraId="681AAA30" w14:textId="77777777" w:rsidR="000830D4" w:rsidRPr="000830D4" w:rsidRDefault="000830D4" w:rsidP="0071142E">
            <w:pPr>
              <w:rPr>
                <w:sz w:val="24"/>
                <w:szCs w:val="24"/>
              </w:rPr>
            </w:pPr>
          </w:p>
        </w:tc>
        <w:tc>
          <w:tcPr>
            <w:tcW w:w="8820" w:type="dxa"/>
            <w:tcBorders>
              <w:top w:val="single" w:sz="1" w:space="0" w:color="C0C0C0"/>
              <w:left w:val="single" w:sz="1" w:space="0" w:color="C0C0C0"/>
              <w:bottom w:val="single" w:sz="1" w:space="0" w:color="C0C0C0"/>
              <w:right w:val="single" w:sz="1" w:space="0" w:color="C0C0C0"/>
            </w:tcBorders>
            <w:tcMar>
              <w:top w:w="100" w:type="dxa"/>
              <w:left w:w="160" w:type="dxa"/>
              <w:bottom w:w="100" w:type="dxa"/>
              <w:right w:w="160" w:type="dxa"/>
            </w:tcMar>
          </w:tcPr>
          <w:p w14:paraId="61FFDD62" w14:textId="77777777" w:rsidR="000830D4" w:rsidRPr="000830D4" w:rsidRDefault="000830D4" w:rsidP="0071142E">
            <w:pPr>
              <w:rPr>
                <w:sz w:val="24"/>
                <w:szCs w:val="24"/>
              </w:rPr>
            </w:pPr>
            <w:r w:rsidRPr="000830D4">
              <w:rPr>
                <w:b/>
                <w:bCs/>
                <w:color w:val="117A65"/>
                <w:sz w:val="24"/>
                <w:szCs w:val="24"/>
              </w:rPr>
              <w:t>Balanced Multi-Channel Model</w:t>
            </w:r>
          </w:p>
          <w:p w14:paraId="2FDCF2A9" w14:textId="77777777" w:rsidR="000830D4" w:rsidRPr="000830D4" w:rsidRDefault="000830D4" w:rsidP="0071142E">
            <w:pPr>
              <w:rPr>
                <w:sz w:val="24"/>
                <w:szCs w:val="24"/>
              </w:rPr>
            </w:pPr>
            <w:r w:rsidRPr="000830D4">
              <w:rPr>
                <w:color w:val="1C2833"/>
              </w:rPr>
              <w:t>All four channels handle approximately 25% of traffic — an impressive balance. Maintain this by monitoring channel-specific response KPIs and rebalancing agent allocation when drift occurs.</w:t>
            </w:r>
          </w:p>
        </w:tc>
      </w:tr>
      <w:tr w:rsidR="000830D4" w:rsidRPr="000830D4" w14:paraId="2CE82564" w14:textId="77777777" w:rsidTr="0071142E">
        <w:tc>
          <w:tcPr>
            <w:tcW w:w="540" w:type="dxa"/>
            <w:tcBorders>
              <w:top w:val="none" w:sz="0" w:space="0" w:color="FFFFFF"/>
              <w:left w:val="none" w:sz="0" w:space="0" w:color="FFFFFF"/>
              <w:bottom w:val="none" w:sz="0" w:space="0" w:color="FFFFFF"/>
              <w:right w:val="none" w:sz="0" w:space="0" w:color="FFFFFF"/>
            </w:tcBorders>
            <w:shd w:val="clear" w:color="auto" w:fill="7D3C98"/>
            <w:tcMar>
              <w:top w:w="60" w:type="dxa"/>
              <w:left w:w="60" w:type="dxa"/>
              <w:bottom w:w="60" w:type="dxa"/>
              <w:right w:w="60" w:type="dxa"/>
            </w:tcMar>
          </w:tcPr>
          <w:p w14:paraId="63281194" w14:textId="77777777" w:rsidR="000830D4" w:rsidRPr="000830D4" w:rsidRDefault="000830D4" w:rsidP="0071142E">
            <w:pPr>
              <w:rPr>
                <w:sz w:val="24"/>
                <w:szCs w:val="24"/>
              </w:rPr>
            </w:pPr>
          </w:p>
        </w:tc>
        <w:tc>
          <w:tcPr>
            <w:tcW w:w="8820" w:type="dxa"/>
            <w:tcBorders>
              <w:top w:val="single" w:sz="1" w:space="0" w:color="C0C0C0"/>
              <w:left w:val="single" w:sz="1" w:space="0" w:color="C0C0C0"/>
              <w:bottom w:val="single" w:sz="1" w:space="0" w:color="C0C0C0"/>
              <w:right w:val="single" w:sz="1" w:space="0" w:color="C0C0C0"/>
            </w:tcBorders>
            <w:tcMar>
              <w:top w:w="100" w:type="dxa"/>
              <w:left w:w="160" w:type="dxa"/>
              <w:bottom w:w="100" w:type="dxa"/>
              <w:right w:w="160" w:type="dxa"/>
            </w:tcMar>
          </w:tcPr>
          <w:p w14:paraId="13375700" w14:textId="77777777" w:rsidR="000830D4" w:rsidRPr="000830D4" w:rsidRDefault="000830D4" w:rsidP="0071142E">
            <w:pPr>
              <w:rPr>
                <w:sz w:val="24"/>
                <w:szCs w:val="24"/>
              </w:rPr>
            </w:pPr>
            <w:r w:rsidRPr="000830D4">
              <w:rPr>
                <w:b/>
                <w:bCs/>
                <w:color w:val="7D3C98"/>
                <w:sz w:val="24"/>
                <w:szCs w:val="24"/>
              </w:rPr>
              <w:t>Older Customers Are the Primary Users</w:t>
            </w:r>
          </w:p>
          <w:p w14:paraId="4D11549F" w14:textId="77777777" w:rsidR="000830D4" w:rsidRPr="000830D4" w:rsidRDefault="000830D4" w:rsidP="0071142E">
            <w:pPr>
              <w:rPr>
                <w:sz w:val="24"/>
                <w:szCs w:val="24"/>
              </w:rPr>
            </w:pPr>
            <w:r w:rsidRPr="000830D4">
              <w:rPr>
                <w:color w:val="1C2833"/>
              </w:rPr>
              <w:t>The 47–59 segment generates the most tickets. Consider dedicated senior support queues with extended hours, simplified IVR, and patient-style communication guidelines.</w:t>
            </w:r>
          </w:p>
        </w:tc>
      </w:tr>
      <w:tr w:rsidR="000830D4" w:rsidRPr="000830D4" w14:paraId="6DB0A247" w14:textId="77777777" w:rsidTr="0071142E">
        <w:tc>
          <w:tcPr>
            <w:tcW w:w="540" w:type="dxa"/>
            <w:tcBorders>
              <w:top w:val="none" w:sz="0" w:space="0" w:color="FFFFFF"/>
              <w:left w:val="none" w:sz="0" w:space="0" w:color="FFFFFF"/>
              <w:bottom w:val="none" w:sz="0" w:space="0" w:color="FFFFFF"/>
              <w:right w:val="none" w:sz="0" w:space="0" w:color="FFFFFF"/>
            </w:tcBorders>
            <w:shd w:val="clear" w:color="auto" w:fill="D4AC0D"/>
            <w:tcMar>
              <w:top w:w="60" w:type="dxa"/>
              <w:left w:w="60" w:type="dxa"/>
              <w:bottom w:w="60" w:type="dxa"/>
              <w:right w:w="60" w:type="dxa"/>
            </w:tcMar>
          </w:tcPr>
          <w:p w14:paraId="60EF27B2" w14:textId="77777777" w:rsidR="000830D4" w:rsidRPr="000830D4" w:rsidRDefault="000830D4" w:rsidP="0071142E">
            <w:pPr>
              <w:rPr>
                <w:sz w:val="24"/>
                <w:szCs w:val="24"/>
              </w:rPr>
            </w:pPr>
          </w:p>
        </w:tc>
        <w:tc>
          <w:tcPr>
            <w:tcW w:w="8820" w:type="dxa"/>
            <w:tcBorders>
              <w:top w:val="single" w:sz="1" w:space="0" w:color="C0C0C0"/>
              <w:left w:val="single" w:sz="1" w:space="0" w:color="C0C0C0"/>
              <w:bottom w:val="single" w:sz="1" w:space="0" w:color="C0C0C0"/>
              <w:right w:val="single" w:sz="1" w:space="0" w:color="C0C0C0"/>
            </w:tcBorders>
            <w:tcMar>
              <w:top w:w="100" w:type="dxa"/>
              <w:left w:w="160" w:type="dxa"/>
              <w:bottom w:w="100" w:type="dxa"/>
              <w:right w:w="160" w:type="dxa"/>
            </w:tcMar>
          </w:tcPr>
          <w:p w14:paraId="51D2C49C" w14:textId="77777777" w:rsidR="000830D4" w:rsidRPr="000830D4" w:rsidRDefault="000830D4" w:rsidP="0071142E">
            <w:pPr>
              <w:rPr>
                <w:sz w:val="24"/>
                <w:szCs w:val="24"/>
              </w:rPr>
            </w:pPr>
            <w:r w:rsidRPr="000830D4">
              <w:rPr>
                <w:b/>
                <w:bCs/>
                <w:color w:val="D4AC0D"/>
                <w:sz w:val="24"/>
                <w:szCs w:val="24"/>
              </w:rPr>
              <w:t>First Response Is the Key Bottleneck</w:t>
            </w:r>
          </w:p>
          <w:p w14:paraId="1DCD728F" w14:textId="77777777" w:rsidR="000830D4" w:rsidRPr="000830D4" w:rsidRDefault="000830D4" w:rsidP="0071142E">
            <w:pPr>
              <w:rPr>
                <w:sz w:val="24"/>
                <w:szCs w:val="24"/>
              </w:rPr>
            </w:pPr>
            <w:r w:rsidRPr="000830D4">
              <w:rPr>
                <w:color w:val="1C2833"/>
              </w:rPr>
              <w:t xml:space="preserve">Average response time (19.35 </w:t>
            </w:r>
            <w:proofErr w:type="spellStart"/>
            <w:r w:rsidRPr="000830D4">
              <w:rPr>
                <w:color w:val="1C2833"/>
              </w:rPr>
              <w:t>hrs</w:t>
            </w:r>
            <w:proofErr w:type="spellEnd"/>
            <w:r w:rsidRPr="000830D4">
              <w:rPr>
                <w:color w:val="1C2833"/>
              </w:rPr>
              <w:t xml:space="preserve">) is more than double the resolution time (9.61 </w:t>
            </w:r>
            <w:proofErr w:type="spellStart"/>
            <w:r w:rsidRPr="000830D4">
              <w:rPr>
                <w:color w:val="1C2833"/>
              </w:rPr>
              <w:t>hrs</w:t>
            </w:r>
            <w:proofErr w:type="spellEnd"/>
            <w:r w:rsidRPr="000830D4">
              <w:rPr>
                <w:color w:val="1C2833"/>
              </w:rPr>
              <w:t>). Reducing first-response lag through chatbot triage or auto-acknowledgement would have the highest impact on satisfaction.</w:t>
            </w:r>
          </w:p>
        </w:tc>
      </w:tr>
      <w:tr w:rsidR="000830D4" w:rsidRPr="000830D4" w14:paraId="6595FF1E" w14:textId="77777777" w:rsidTr="0071142E">
        <w:tc>
          <w:tcPr>
            <w:tcW w:w="540" w:type="dxa"/>
            <w:tcBorders>
              <w:top w:val="none" w:sz="0" w:space="0" w:color="FFFFFF"/>
              <w:left w:val="none" w:sz="0" w:space="0" w:color="FFFFFF"/>
              <w:bottom w:val="none" w:sz="0" w:space="0" w:color="FFFFFF"/>
              <w:right w:val="none" w:sz="0" w:space="0" w:color="FFFFFF"/>
            </w:tcBorders>
            <w:shd w:val="clear" w:color="auto" w:fill="E91E8C"/>
            <w:tcMar>
              <w:top w:w="60" w:type="dxa"/>
              <w:left w:w="60" w:type="dxa"/>
              <w:bottom w:w="60" w:type="dxa"/>
              <w:right w:w="60" w:type="dxa"/>
            </w:tcMar>
          </w:tcPr>
          <w:p w14:paraId="2C4E5ED4" w14:textId="77777777" w:rsidR="000830D4" w:rsidRPr="000830D4" w:rsidRDefault="000830D4" w:rsidP="0071142E">
            <w:pPr>
              <w:rPr>
                <w:sz w:val="24"/>
                <w:szCs w:val="24"/>
              </w:rPr>
            </w:pPr>
          </w:p>
        </w:tc>
        <w:tc>
          <w:tcPr>
            <w:tcW w:w="8820" w:type="dxa"/>
            <w:tcBorders>
              <w:top w:val="single" w:sz="1" w:space="0" w:color="C0C0C0"/>
              <w:left w:val="single" w:sz="1" w:space="0" w:color="C0C0C0"/>
              <w:bottom w:val="single" w:sz="1" w:space="0" w:color="C0C0C0"/>
              <w:right w:val="single" w:sz="1" w:space="0" w:color="C0C0C0"/>
            </w:tcBorders>
            <w:tcMar>
              <w:top w:w="100" w:type="dxa"/>
              <w:left w:w="160" w:type="dxa"/>
              <w:bottom w:w="100" w:type="dxa"/>
              <w:right w:w="160" w:type="dxa"/>
            </w:tcMar>
          </w:tcPr>
          <w:p w14:paraId="5598A72F" w14:textId="77777777" w:rsidR="000830D4" w:rsidRPr="000830D4" w:rsidRDefault="000830D4" w:rsidP="0071142E">
            <w:pPr>
              <w:rPr>
                <w:sz w:val="24"/>
                <w:szCs w:val="24"/>
              </w:rPr>
            </w:pPr>
            <w:r w:rsidRPr="000830D4">
              <w:rPr>
                <w:b/>
                <w:bCs/>
                <w:color w:val="E91E8C"/>
                <w:sz w:val="24"/>
                <w:szCs w:val="24"/>
              </w:rPr>
              <w:t>Satisfaction Not Driven by Resolution Alone</w:t>
            </w:r>
          </w:p>
          <w:p w14:paraId="5C528A71" w14:textId="77777777" w:rsidR="000830D4" w:rsidRPr="000830D4" w:rsidRDefault="000830D4" w:rsidP="0071142E">
            <w:pPr>
              <w:rPr>
                <w:sz w:val="24"/>
                <w:szCs w:val="24"/>
              </w:rPr>
            </w:pPr>
            <w:r w:rsidRPr="000830D4">
              <w:rPr>
                <w:color w:val="1C2833"/>
              </w:rPr>
              <w:t>Uniform rating distribution across resolved tickets (1–5 stars) suggests soft skills matter. Agent training in empathy, communication, and follow-up may lift average ratings above 3.0.</w:t>
            </w:r>
          </w:p>
        </w:tc>
      </w:tr>
    </w:tbl>
    <w:p w14:paraId="46691B95" w14:textId="77777777" w:rsidR="000830D4" w:rsidRPr="000830D4" w:rsidRDefault="000830D4" w:rsidP="000830D4">
      <w:pPr>
        <w:rPr>
          <w:sz w:val="24"/>
          <w:szCs w:val="24"/>
        </w:rPr>
      </w:pPr>
    </w:p>
    <w:p w14:paraId="4953FC5E" w14:textId="77777777" w:rsidR="000830D4" w:rsidRPr="000830D4" w:rsidRDefault="000830D4" w:rsidP="000830D4">
      <w:pPr>
        <w:pBdr>
          <w:bottom w:val="single" w:sz="6" w:space="4" w:color="2E86C1"/>
        </w:pBdr>
        <w:rPr>
          <w:sz w:val="24"/>
          <w:szCs w:val="24"/>
        </w:rPr>
      </w:pPr>
    </w:p>
    <w:p w14:paraId="360588CD" w14:textId="77777777" w:rsidR="000830D4" w:rsidRPr="000830D4" w:rsidRDefault="000830D4" w:rsidP="000830D4">
      <w:pPr>
        <w:pStyle w:val="Heading1"/>
        <w:rPr>
          <w:sz w:val="44"/>
          <w:szCs w:val="44"/>
        </w:rPr>
      </w:pPr>
      <w:r w:rsidRPr="000830D4">
        <w:rPr>
          <w:sz w:val="44"/>
          <w:szCs w:val="44"/>
        </w:rPr>
        <w:lastRenderedPageBreak/>
        <w:t>6. Methodology</w:t>
      </w:r>
    </w:p>
    <w:p w14:paraId="0D5DF478" w14:textId="77777777" w:rsidR="000830D4" w:rsidRPr="000830D4" w:rsidRDefault="000830D4" w:rsidP="000830D4">
      <w:pPr>
        <w:spacing w:before="60" w:after="100"/>
        <w:rPr>
          <w:sz w:val="24"/>
          <w:szCs w:val="24"/>
        </w:rPr>
      </w:pPr>
      <w:r w:rsidRPr="000830D4">
        <w:rPr>
          <w:color w:val="1C2833"/>
          <w:sz w:val="24"/>
          <w:szCs w:val="24"/>
        </w:rPr>
        <w:t xml:space="preserve">The analysis was conducted using Python in a </w:t>
      </w:r>
      <w:proofErr w:type="spellStart"/>
      <w:r w:rsidRPr="000830D4">
        <w:rPr>
          <w:color w:val="1C2833"/>
          <w:sz w:val="24"/>
          <w:szCs w:val="24"/>
        </w:rPr>
        <w:t>Jupyter</w:t>
      </w:r>
      <w:proofErr w:type="spellEnd"/>
      <w:r w:rsidRPr="000830D4">
        <w:rPr>
          <w:color w:val="1C2833"/>
          <w:sz w:val="24"/>
          <w:szCs w:val="24"/>
        </w:rPr>
        <w:t xml:space="preserve"> Notebook environment with the following libraries:</w:t>
      </w:r>
    </w:p>
    <w:p w14:paraId="68786AD2" w14:textId="77777777" w:rsidR="000830D4" w:rsidRPr="000830D4" w:rsidRDefault="000830D4" w:rsidP="000830D4">
      <w:pPr>
        <w:pStyle w:val="ListParagraph"/>
        <w:numPr>
          <w:ilvl w:val="0"/>
          <w:numId w:val="1"/>
        </w:numPr>
        <w:contextualSpacing w:val="0"/>
        <w:rPr>
          <w:sz w:val="24"/>
          <w:szCs w:val="24"/>
        </w:rPr>
      </w:pPr>
      <w:r w:rsidRPr="000830D4">
        <w:t>pandas — data loading, cleaning, grouping, and feature engineering</w:t>
      </w:r>
    </w:p>
    <w:p w14:paraId="6EA6E236" w14:textId="77777777" w:rsidR="000830D4" w:rsidRPr="000830D4" w:rsidRDefault="000830D4" w:rsidP="000830D4">
      <w:pPr>
        <w:pStyle w:val="ListParagraph"/>
        <w:numPr>
          <w:ilvl w:val="0"/>
          <w:numId w:val="1"/>
        </w:numPr>
        <w:contextualSpacing w:val="0"/>
        <w:rPr>
          <w:sz w:val="24"/>
          <w:szCs w:val="24"/>
        </w:rPr>
      </w:pPr>
      <w:proofErr w:type="spellStart"/>
      <w:r w:rsidRPr="000830D4">
        <w:t>numpy</w:t>
      </w:r>
      <w:proofErr w:type="spellEnd"/>
      <w:r w:rsidRPr="000830D4">
        <w:t xml:space="preserve"> — numerical operations</w:t>
      </w:r>
    </w:p>
    <w:p w14:paraId="13412F5A" w14:textId="77777777" w:rsidR="000830D4" w:rsidRPr="000830D4" w:rsidRDefault="000830D4" w:rsidP="000830D4">
      <w:pPr>
        <w:pStyle w:val="ListParagraph"/>
        <w:numPr>
          <w:ilvl w:val="0"/>
          <w:numId w:val="1"/>
        </w:numPr>
        <w:contextualSpacing w:val="0"/>
        <w:rPr>
          <w:sz w:val="24"/>
          <w:szCs w:val="24"/>
        </w:rPr>
      </w:pPr>
      <w:r w:rsidRPr="000830D4">
        <w:t>matplotlib — base plotting</w:t>
      </w:r>
    </w:p>
    <w:p w14:paraId="46C23B61" w14:textId="77777777" w:rsidR="000830D4" w:rsidRPr="000830D4" w:rsidRDefault="000830D4" w:rsidP="000830D4">
      <w:pPr>
        <w:pStyle w:val="ListParagraph"/>
        <w:numPr>
          <w:ilvl w:val="0"/>
          <w:numId w:val="1"/>
        </w:numPr>
        <w:contextualSpacing w:val="0"/>
        <w:rPr>
          <w:sz w:val="24"/>
          <w:szCs w:val="24"/>
        </w:rPr>
      </w:pPr>
      <w:r w:rsidRPr="000830D4">
        <w:t xml:space="preserve">seaborn — statistical </w:t>
      </w:r>
      <w:proofErr w:type="spellStart"/>
      <w:r w:rsidRPr="000830D4">
        <w:t>visualisations</w:t>
      </w:r>
      <w:proofErr w:type="spellEnd"/>
      <w:r w:rsidRPr="000830D4">
        <w:t xml:space="preserve"> (</w:t>
      </w:r>
      <w:proofErr w:type="spellStart"/>
      <w:r w:rsidRPr="000830D4">
        <w:t>countplot</w:t>
      </w:r>
      <w:proofErr w:type="spellEnd"/>
      <w:r w:rsidRPr="000830D4">
        <w:t xml:space="preserve">, </w:t>
      </w:r>
      <w:proofErr w:type="spellStart"/>
      <w:r w:rsidRPr="000830D4">
        <w:t>histplot</w:t>
      </w:r>
      <w:proofErr w:type="spellEnd"/>
      <w:r w:rsidRPr="000830D4">
        <w:t xml:space="preserve">, </w:t>
      </w:r>
      <w:proofErr w:type="spellStart"/>
      <w:r w:rsidRPr="000830D4">
        <w:t>barplot</w:t>
      </w:r>
      <w:proofErr w:type="spellEnd"/>
      <w:r w:rsidRPr="000830D4">
        <w:t>, boxplot)</w:t>
      </w:r>
    </w:p>
    <w:p w14:paraId="246CCE1C" w14:textId="77777777" w:rsidR="000830D4" w:rsidRPr="000830D4" w:rsidRDefault="000830D4" w:rsidP="000830D4">
      <w:pPr>
        <w:rPr>
          <w:sz w:val="24"/>
          <w:szCs w:val="24"/>
        </w:rPr>
      </w:pPr>
    </w:p>
    <w:p w14:paraId="7D2BC1CA" w14:textId="77777777" w:rsidR="000830D4" w:rsidRPr="000830D4" w:rsidRDefault="000830D4" w:rsidP="000830D4">
      <w:pPr>
        <w:spacing w:before="60" w:after="100"/>
        <w:rPr>
          <w:sz w:val="24"/>
          <w:szCs w:val="24"/>
        </w:rPr>
      </w:pPr>
      <w:r w:rsidRPr="000830D4">
        <w:rPr>
          <w:color w:val="1C2833"/>
          <w:sz w:val="24"/>
          <w:szCs w:val="24"/>
        </w:rPr>
        <w:t xml:space="preserve">Key data preprocessing steps included: column name </w:t>
      </w:r>
      <w:proofErr w:type="spellStart"/>
      <w:r w:rsidRPr="000830D4">
        <w:rPr>
          <w:color w:val="1C2833"/>
          <w:sz w:val="24"/>
          <w:szCs w:val="24"/>
        </w:rPr>
        <w:t>standardisation</w:t>
      </w:r>
      <w:proofErr w:type="spellEnd"/>
      <w:r w:rsidRPr="000830D4">
        <w:rPr>
          <w:color w:val="1C2833"/>
          <w:sz w:val="24"/>
          <w:szCs w:val="24"/>
        </w:rPr>
        <w:t xml:space="preserve"> (lowercase, underscore-separated), datetime parsing for </w:t>
      </w:r>
      <w:proofErr w:type="spellStart"/>
      <w:r w:rsidRPr="000830D4">
        <w:rPr>
          <w:color w:val="1C2833"/>
          <w:sz w:val="24"/>
          <w:szCs w:val="24"/>
        </w:rPr>
        <w:t>date_of_purchase</w:t>
      </w:r>
      <w:proofErr w:type="spellEnd"/>
      <w:r w:rsidRPr="000830D4">
        <w:rPr>
          <w:color w:val="1C2833"/>
          <w:sz w:val="24"/>
          <w:szCs w:val="24"/>
        </w:rPr>
        <w:t xml:space="preserve">, </w:t>
      </w:r>
      <w:proofErr w:type="spellStart"/>
      <w:r w:rsidRPr="000830D4">
        <w:rPr>
          <w:color w:val="1C2833"/>
          <w:sz w:val="24"/>
          <w:szCs w:val="24"/>
        </w:rPr>
        <w:t>first_response_time</w:t>
      </w:r>
      <w:proofErr w:type="spellEnd"/>
      <w:r w:rsidRPr="000830D4">
        <w:rPr>
          <w:color w:val="1C2833"/>
          <w:sz w:val="24"/>
          <w:szCs w:val="24"/>
        </w:rPr>
        <w:t xml:space="preserve">, and </w:t>
      </w:r>
      <w:proofErr w:type="spellStart"/>
      <w:r w:rsidRPr="000830D4">
        <w:rPr>
          <w:color w:val="1C2833"/>
          <w:sz w:val="24"/>
          <w:szCs w:val="24"/>
        </w:rPr>
        <w:t>time_to_resolution</w:t>
      </w:r>
      <w:proofErr w:type="spellEnd"/>
      <w:r w:rsidRPr="000830D4">
        <w:rPr>
          <w:color w:val="1C2833"/>
          <w:sz w:val="24"/>
          <w:szCs w:val="24"/>
        </w:rPr>
        <w:t xml:space="preserve">, derivation of </w:t>
      </w:r>
      <w:proofErr w:type="spellStart"/>
      <w:r w:rsidRPr="000830D4">
        <w:rPr>
          <w:color w:val="1C2833"/>
          <w:sz w:val="24"/>
          <w:szCs w:val="24"/>
        </w:rPr>
        <w:t>resolution_time_hours</w:t>
      </w:r>
      <w:proofErr w:type="spellEnd"/>
      <w:r w:rsidRPr="000830D4">
        <w:rPr>
          <w:color w:val="1C2833"/>
          <w:sz w:val="24"/>
          <w:szCs w:val="24"/>
        </w:rPr>
        <w:t xml:space="preserve">, product </w:t>
      </w:r>
      <w:proofErr w:type="spellStart"/>
      <w:r w:rsidRPr="000830D4">
        <w:rPr>
          <w:color w:val="1C2833"/>
          <w:sz w:val="24"/>
          <w:szCs w:val="24"/>
        </w:rPr>
        <w:t>categorisation</w:t>
      </w:r>
      <w:proofErr w:type="spellEnd"/>
      <w:r w:rsidRPr="000830D4">
        <w:rPr>
          <w:color w:val="1C2833"/>
          <w:sz w:val="24"/>
          <w:szCs w:val="24"/>
        </w:rPr>
        <w:t>, and age group binning.</w:t>
      </w:r>
    </w:p>
    <w:p w14:paraId="12B65660" w14:textId="77777777" w:rsidR="000830D4" w:rsidRPr="000830D4" w:rsidRDefault="000830D4" w:rsidP="000830D4">
      <w:pPr>
        <w:rPr>
          <w:sz w:val="24"/>
          <w:szCs w:val="24"/>
        </w:rPr>
      </w:pPr>
    </w:p>
    <w:p w14:paraId="781C5B3E" w14:textId="77777777" w:rsidR="000830D4" w:rsidRPr="000830D4" w:rsidRDefault="000830D4" w:rsidP="000830D4">
      <w:pPr>
        <w:pBdr>
          <w:bottom w:val="single" w:sz="6" w:space="4" w:color="2E86C1"/>
        </w:pBdr>
        <w:rPr>
          <w:sz w:val="24"/>
          <w:szCs w:val="24"/>
        </w:rPr>
      </w:pPr>
    </w:p>
    <w:p w14:paraId="72E54677" w14:textId="77777777" w:rsidR="000830D4" w:rsidRPr="000830D4" w:rsidRDefault="000830D4" w:rsidP="000830D4">
      <w:pPr>
        <w:pStyle w:val="Heading1"/>
        <w:rPr>
          <w:sz w:val="44"/>
          <w:szCs w:val="44"/>
        </w:rPr>
      </w:pPr>
    </w:p>
    <w:p w14:paraId="60CD47A1" w14:textId="77777777" w:rsidR="000830D4" w:rsidRPr="000830D4" w:rsidRDefault="000830D4" w:rsidP="000830D4">
      <w:pPr>
        <w:pStyle w:val="Heading1"/>
        <w:rPr>
          <w:sz w:val="44"/>
          <w:szCs w:val="44"/>
        </w:rPr>
      </w:pPr>
      <w:r w:rsidRPr="000830D4">
        <w:rPr>
          <w:sz w:val="44"/>
          <w:szCs w:val="44"/>
        </w:rPr>
        <w:t>7. Conclusion</w:t>
      </w:r>
    </w:p>
    <w:p w14:paraId="3E41C3D4" w14:textId="77777777" w:rsidR="000830D4" w:rsidRPr="000830D4" w:rsidRDefault="000830D4" w:rsidP="000830D4">
      <w:pPr>
        <w:spacing w:before="60" w:after="100"/>
        <w:rPr>
          <w:sz w:val="24"/>
          <w:szCs w:val="24"/>
        </w:rPr>
      </w:pPr>
      <w:r w:rsidRPr="000830D4">
        <w:rPr>
          <w:color w:val="1C2833"/>
          <w:sz w:val="24"/>
          <w:szCs w:val="24"/>
        </w:rPr>
        <w:t>This EDA reveals a support ecosystem that is high-volume, balanced across channels, and demographically diverse. The primary challenges are a persistently high backlog of open tickets and slow initial response times. Priority-based SLA differentiation appears to be ineffective in its current form.</w:t>
      </w:r>
    </w:p>
    <w:p w14:paraId="7C027BC5" w14:textId="77777777" w:rsidR="000830D4" w:rsidRPr="000830D4" w:rsidRDefault="000830D4" w:rsidP="000830D4">
      <w:pPr>
        <w:rPr>
          <w:sz w:val="24"/>
          <w:szCs w:val="24"/>
        </w:rPr>
      </w:pPr>
    </w:p>
    <w:p w14:paraId="06533A04" w14:textId="77777777" w:rsidR="000830D4" w:rsidRPr="000830D4" w:rsidRDefault="000830D4" w:rsidP="000830D4">
      <w:pPr>
        <w:spacing w:before="60" w:after="100"/>
        <w:rPr>
          <w:sz w:val="24"/>
          <w:szCs w:val="24"/>
        </w:rPr>
      </w:pPr>
      <w:r w:rsidRPr="000830D4">
        <w:rPr>
          <w:color w:val="1C2833"/>
          <w:sz w:val="24"/>
          <w:szCs w:val="24"/>
        </w:rPr>
        <w:t>Addressing first-response lag through automation, reducing ticket backlog for Critical issues, and improving self-service resources for Electronics &amp; Gadgets should be the immediate priorities. Longer-term, improving the average satisfaction score above 3.0 will require investment in agent communication skills and structured follow-up processes.</w:t>
      </w:r>
    </w:p>
    <w:p w14:paraId="41E57243" w14:textId="77777777" w:rsidR="000830D4" w:rsidRPr="000830D4" w:rsidRDefault="000830D4" w:rsidP="000830D4">
      <w:pPr>
        <w:rPr>
          <w:sz w:val="24"/>
          <w:szCs w:val="24"/>
        </w:rPr>
      </w:pPr>
    </w:p>
    <w:p w14:paraId="1A5D40C5" w14:textId="77777777" w:rsidR="000830D4" w:rsidRPr="000830D4" w:rsidRDefault="000830D4" w:rsidP="000830D4">
      <w:pPr>
        <w:spacing w:before="60" w:after="100"/>
        <w:rPr>
          <w:sz w:val="24"/>
          <w:szCs w:val="24"/>
        </w:rPr>
      </w:pPr>
      <w:r w:rsidRPr="000830D4">
        <w:rPr>
          <w:color w:val="1C2833"/>
          <w:sz w:val="24"/>
          <w:szCs w:val="24"/>
        </w:rPr>
        <w:t xml:space="preserve">All code for this analysis is available in the accompanying </w:t>
      </w:r>
      <w:proofErr w:type="spellStart"/>
      <w:r w:rsidRPr="000830D4">
        <w:rPr>
          <w:color w:val="1C2833"/>
          <w:sz w:val="24"/>
          <w:szCs w:val="24"/>
        </w:rPr>
        <w:t>Jupyter</w:t>
      </w:r>
      <w:proofErr w:type="spellEnd"/>
      <w:r w:rsidRPr="000830D4">
        <w:rPr>
          <w:color w:val="1C2833"/>
          <w:sz w:val="24"/>
          <w:szCs w:val="24"/>
        </w:rPr>
        <w:t xml:space="preserve"> Notebook (</w:t>
      </w:r>
      <w:proofErr w:type="spellStart"/>
      <w:r w:rsidRPr="000830D4">
        <w:rPr>
          <w:color w:val="1C2833"/>
          <w:sz w:val="24"/>
          <w:szCs w:val="24"/>
        </w:rPr>
        <w:t>capstone_</w:t>
      </w:r>
      <w:proofErr w:type="gramStart"/>
      <w:r w:rsidRPr="000830D4">
        <w:rPr>
          <w:color w:val="1C2833"/>
          <w:sz w:val="24"/>
          <w:szCs w:val="24"/>
        </w:rPr>
        <w:t>proj.ipynb</w:t>
      </w:r>
      <w:proofErr w:type="spellEnd"/>
      <w:proofErr w:type="gramEnd"/>
      <w:r w:rsidRPr="000830D4">
        <w:rPr>
          <w:color w:val="1C2833"/>
          <w:sz w:val="24"/>
          <w:szCs w:val="24"/>
        </w:rPr>
        <w:t>).</w:t>
      </w:r>
    </w:p>
    <w:p w14:paraId="639263F8" w14:textId="77777777" w:rsidR="000E7363" w:rsidRPr="000830D4" w:rsidRDefault="000E7363">
      <w:pPr>
        <w:rPr>
          <w:sz w:val="24"/>
          <w:szCs w:val="24"/>
        </w:rPr>
      </w:pPr>
    </w:p>
    <w:sectPr w:rsidR="000E7363" w:rsidRPr="000830D4" w:rsidSect="000830D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24AF" w14:textId="77777777" w:rsidR="004E063B" w:rsidRDefault="004E063B" w:rsidP="000830D4">
      <w:r>
        <w:separator/>
      </w:r>
    </w:p>
  </w:endnote>
  <w:endnote w:type="continuationSeparator" w:id="0">
    <w:p w14:paraId="65943F82" w14:textId="77777777" w:rsidR="004E063B" w:rsidRDefault="004E063B" w:rsidP="00083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5556" w14:textId="189193ED" w:rsidR="000830D4" w:rsidRDefault="000830D4">
    <w:pPr>
      <w:pBdr>
        <w:top w:val="single" w:sz="4" w:space="4" w:color="2E86C1"/>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43C5" w14:textId="77777777" w:rsidR="004E063B" w:rsidRDefault="004E063B" w:rsidP="000830D4">
      <w:r>
        <w:separator/>
      </w:r>
    </w:p>
  </w:footnote>
  <w:footnote w:type="continuationSeparator" w:id="0">
    <w:p w14:paraId="07308881" w14:textId="77777777" w:rsidR="004E063B" w:rsidRDefault="004E063B" w:rsidP="00083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9E35" w14:textId="56BFD5F1" w:rsidR="000830D4" w:rsidRDefault="000830D4">
    <w:pPr>
      <w:pBdr>
        <w:bottom w:val="single" w:sz="6" w:space="4" w:color="2E86C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47F5F"/>
    <w:multiLevelType w:val="hybridMultilevel"/>
    <w:tmpl w:val="88C208A6"/>
    <w:lvl w:ilvl="0" w:tplc="24A432A4">
      <w:start w:val="1"/>
      <w:numFmt w:val="bullet"/>
      <w:lvlText w:val="•"/>
      <w:lvlJc w:val="left"/>
      <w:pPr>
        <w:ind w:left="720" w:hanging="360"/>
      </w:pPr>
    </w:lvl>
    <w:lvl w:ilvl="1" w:tplc="317A606A">
      <w:numFmt w:val="decimal"/>
      <w:lvlText w:val=""/>
      <w:lvlJc w:val="left"/>
    </w:lvl>
    <w:lvl w:ilvl="2" w:tplc="16BC6EA6">
      <w:numFmt w:val="decimal"/>
      <w:lvlText w:val=""/>
      <w:lvlJc w:val="left"/>
    </w:lvl>
    <w:lvl w:ilvl="3" w:tplc="312E0060">
      <w:numFmt w:val="decimal"/>
      <w:lvlText w:val=""/>
      <w:lvlJc w:val="left"/>
    </w:lvl>
    <w:lvl w:ilvl="4" w:tplc="A66C159E">
      <w:numFmt w:val="decimal"/>
      <w:lvlText w:val=""/>
      <w:lvlJc w:val="left"/>
    </w:lvl>
    <w:lvl w:ilvl="5" w:tplc="8B5484B8">
      <w:numFmt w:val="decimal"/>
      <w:lvlText w:val=""/>
      <w:lvlJc w:val="left"/>
    </w:lvl>
    <w:lvl w:ilvl="6" w:tplc="F15E303A">
      <w:numFmt w:val="decimal"/>
      <w:lvlText w:val=""/>
      <w:lvlJc w:val="left"/>
    </w:lvl>
    <w:lvl w:ilvl="7" w:tplc="98940630">
      <w:numFmt w:val="decimal"/>
      <w:lvlText w:val=""/>
      <w:lvlJc w:val="left"/>
    </w:lvl>
    <w:lvl w:ilvl="8" w:tplc="B7282F14">
      <w:numFmt w:val="decimal"/>
      <w:lvlText w:val=""/>
      <w:lvlJc w:val="left"/>
    </w:lvl>
  </w:abstractNum>
  <w:num w:numId="1" w16cid:durableId="440759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D4"/>
    <w:rsid w:val="000830D4"/>
    <w:rsid w:val="000E7363"/>
    <w:rsid w:val="00166157"/>
    <w:rsid w:val="002930A8"/>
    <w:rsid w:val="004E063B"/>
    <w:rsid w:val="007E7A67"/>
    <w:rsid w:val="009B0468"/>
    <w:rsid w:val="00C50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542D"/>
  <w15:chartTrackingRefBased/>
  <w15:docId w15:val="{23F1F84E-ECD4-43AC-B998-9249BDB3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0D4"/>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083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0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0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0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0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0D4"/>
    <w:rPr>
      <w:rFonts w:eastAsiaTheme="majorEastAsia" w:cstheme="majorBidi"/>
      <w:color w:val="272727" w:themeColor="text1" w:themeTint="D8"/>
    </w:rPr>
  </w:style>
  <w:style w:type="paragraph" w:styleId="Title">
    <w:name w:val="Title"/>
    <w:basedOn w:val="Normal"/>
    <w:next w:val="Normal"/>
    <w:link w:val="TitleChar"/>
    <w:uiPriority w:val="10"/>
    <w:qFormat/>
    <w:rsid w:val="000830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0D4"/>
    <w:pPr>
      <w:spacing w:before="160"/>
      <w:jc w:val="center"/>
    </w:pPr>
    <w:rPr>
      <w:i/>
      <w:iCs/>
      <w:color w:val="404040" w:themeColor="text1" w:themeTint="BF"/>
    </w:rPr>
  </w:style>
  <w:style w:type="character" w:customStyle="1" w:styleId="QuoteChar">
    <w:name w:val="Quote Char"/>
    <w:basedOn w:val="DefaultParagraphFont"/>
    <w:link w:val="Quote"/>
    <w:uiPriority w:val="29"/>
    <w:rsid w:val="000830D4"/>
    <w:rPr>
      <w:i/>
      <w:iCs/>
      <w:color w:val="404040" w:themeColor="text1" w:themeTint="BF"/>
    </w:rPr>
  </w:style>
  <w:style w:type="paragraph" w:styleId="ListParagraph">
    <w:name w:val="List Paragraph"/>
    <w:basedOn w:val="Normal"/>
    <w:qFormat/>
    <w:rsid w:val="000830D4"/>
    <w:pPr>
      <w:ind w:left="720"/>
      <w:contextualSpacing/>
    </w:pPr>
  </w:style>
  <w:style w:type="character" w:styleId="IntenseEmphasis">
    <w:name w:val="Intense Emphasis"/>
    <w:basedOn w:val="DefaultParagraphFont"/>
    <w:uiPriority w:val="21"/>
    <w:qFormat/>
    <w:rsid w:val="000830D4"/>
    <w:rPr>
      <w:i/>
      <w:iCs/>
      <w:color w:val="0F4761" w:themeColor="accent1" w:themeShade="BF"/>
    </w:rPr>
  </w:style>
  <w:style w:type="paragraph" w:styleId="IntenseQuote">
    <w:name w:val="Intense Quote"/>
    <w:basedOn w:val="Normal"/>
    <w:next w:val="Normal"/>
    <w:link w:val="IntenseQuoteChar"/>
    <w:uiPriority w:val="30"/>
    <w:qFormat/>
    <w:rsid w:val="00083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0D4"/>
    <w:rPr>
      <w:i/>
      <w:iCs/>
      <w:color w:val="0F4761" w:themeColor="accent1" w:themeShade="BF"/>
    </w:rPr>
  </w:style>
  <w:style w:type="character" w:styleId="IntenseReference">
    <w:name w:val="Intense Reference"/>
    <w:basedOn w:val="DefaultParagraphFont"/>
    <w:uiPriority w:val="32"/>
    <w:qFormat/>
    <w:rsid w:val="000830D4"/>
    <w:rPr>
      <w:b/>
      <w:bCs/>
      <w:smallCaps/>
      <w:color w:val="0F4761" w:themeColor="accent1" w:themeShade="BF"/>
      <w:spacing w:val="5"/>
    </w:rPr>
  </w:style>
  <w:style w:type="paragraph" w:styleId="Header">
    <w:name w:val="header"/>
    <w:basedOn w:val="Normal"/>
    <w:link w:val="HeaderChar"/>
    <w:uiPriority w:val="99"/>
    <w:unhideWhenUsed/>
    <w:rsid w:val="000830D4"/>
    <w:pPr>
      <w:tabs>
        <w:tab w:val="center" w:pos="4680"/>
        <w:tab w:val="right" w:pos="9360"/>
      </w:tabs>
    </w:pPr>
  </w:style>
  <w:style w:type="character" w:customStyle="1" w:styleId="HeaderChar">
    <w:name w:val="Header Char"/>
    <w:basedOn w:val="DefaultParagraphFont"/>
    <w:link w:val="Header"/>
    <w:uiPriority w:val="99"/>
    <w:rsid w:val="000830D4"/>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0830D4"/>
    <w:pPr>
      <w:tabs>
        <w:tab w:val="center" w:pos="4680"/>
        <w:tab w:val="right" w:pos="9360"/>
      </w:tabs>
    </w:pPr>
  </w:style>
  <w:style w:type="character" w:customStyle="1" w:styleId="FooterChar">
    <w:name w:val="Footer Char"/>
    <w:basedOn w:val="DefaultParagraphFont"/>
    <w:link w:val="Footer"/>
    <w:uiPriority w:val="99"/>
    <w:rsid w:val="000830D4"/>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1047</Words>
  <Characters>5973</Characters>
  <Application>Microsoft Office Word</Application>
  <DocSecurity>0</DocSecurity>
  <Lines>49</Lines>
  <Paragraphs>14</Paragraphs>
  <ScaleCrop>false</ScaleCrop>
  <Company>Amazon</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Moiz [C]</dc:creator>
  <cp:keywords/>
  <dc:description/>
  <cp:lastModifiedBy>Khan, Moiz [C]</cp:lastModifiedBy>
  <cp:revision>8</cp:revision>
  <dcterms:created xsi:type="dcterms:W3CDTF">2026-04-27T15:46:00Z</dcterms:created>
  <dcterms:modified xsi:type="dcterms:W3CDTF">2026-04-27T15:51:00Z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2026-04-27T15:49:51Z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a435ac30-efa3-467e-b880-aa375263af4e</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