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В стандарте IEEE 829 перечислены пункты, из которых должен состоять тест-план: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1) Test plan identifier (идентификатор);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2) Introduction (описание/цель) - Предельно краткое описание цели разработки приложения (частично это напоминает бизнес-требования);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>3) Features to be tested (Области, подвергаемые тестированию) - Перечень функций и/или нефункциональных особенностей приложения, которые будут подвергнуты тестированию. В некоторых случаях здесь также приводится приоритет соответствующей области.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4) Features not to be tested (Области, не подвергаемые тестированию) - Перечень функций и/или нефункциональных особенностей приложения, которые не будут подвергнуты тестированию. Причины исключения той или иной области из списка тестируемых могут быть самыми различными — от предельно низкой их важности для заказчика до нехватки времени или иных ресурсов. Этот перечень составляется, чтобы у проектной команды и иных заинтересованных лиц было чёткое единое понимание, что тестирование таких-то особенностей приложения не запланировано — такой подход позволяет исключить появление ложных ожиданий и неприятных сюрпризов;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5) Approach (стратегия и подходы)- Описание процесса тестирования с точки зрения применяемых методов, подходов, видов тестирования, технологий, инструментальных средств и т.д.;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6) Item pass/fail criteria - Этот раздел включает такие подразделы, как приёмочные критерии, критерии качества — любые объективные показатели качества, которым разрабатываемый продукт должен соответствовать с точки зрения заказчика или пользователя, чтобы считаться готовым к эксплуатации;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>7) Suspension criteria and resumption requirements (критерии входа и выхода, приостановки и возобновления) – Критерии входа - перечень условий, при выполнении которых команда приступает к тестированию. Наличие этого критерия страхует команду от бессмысленной траты усилий в условиях, когда тестирование не принесёт ожидаемой пользы.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>Критерии приостановки тестирования (suspension criteria) — перечень условий, при выполнении которых тестирование приостанавливается. Наличие этого критерия также страхует команду от бессмысленной траты усилий в условиях, когда тестирование не принесёт ожидаемой пользы.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Критерии возобновления тестирования (resumption criteria) — перечень условий, при выполнении которых тестирование возобновляется (как правило, после приостановки).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Критерии выхода (exit criteria) — перечень условий, при выполнении которых тестирование завершается. Наличие этого критерия страхует команду как от преждевременного прекращения тестирования, так и от продолжения тестирования в условиях, когда оно уже перестаёт приносить ощутимый эффект;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8) Test deliverables (результаты тестирования);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9) Testing tasks (задачи тестирования);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10) Responsibilities (ответственность) - Перечень необходимых ролей (например, «ведущий тестировщик», «эксперт по оптимизации производительности») и область ответственности специалистов, выполняющих эти роли;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11) Staffing and training needs (необходимые кадры и их обучение);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12) Schedule - Фактически это календарь, в котором указано, что и к какому моменту должно быть сделано. Особое внимание уделяется «ключевым точкам», к моменту наступления которых должен быть получен определенный результат;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13) Risks and contingencies (риски и непредвиденные случаи) - Перечень рисков, которые с высокой вероятностью могут возникнуть в процессе работы над проектом. По каждому риску даётся оценка представляемой им угрозы и приводятся варианты выхода из ситуации; </w:t>
      </w:r>
    </w:p>
    <w:p>
      <w:pPr>
        <w:pStyle w:val="Normal1"/>
        <w:shd w:val="clear" w:fill="FFFFFF"/>
        <w:ind w:firstLine="700"/>
        <w:rPr>
          <w:rFonts w:ascii="Times New Roman" w:hAnsi="Times New Roman" w:eastAsia="Times New Roman" w:cs="Times New Roman"/>
          <w:color w:val="292929"/>
          <w:sz w:val="24"/>
          <w:szCs w:val="24"/>
        </w:rPr>
      </w:pPr>
      <w:r>
        <w:rPr>
          <w:rFonts w:eastAsia="Times New Roman" w:cs="Times New Roman" w:ascii="Times New Roman" w:hAnsi="Times New Roman"/>
          <w:color w:val="292929"/>
          <w:sz w:val="24"/>
          <w:szCs w:val="24"/>
        </w:rPr>
        <w:t xml:space="preserve">14) Approvals (утверждение тест - плана).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LibreOffice/7.5.3.2$Linux_X86_64 LibreOffice_project/50$Build-2</Application>
  <AppVersion>15.0000</AppVersion>
  <Pages>2</Pages>
  <Words>431</Words>
  <Characters>3091</Characters>
  <CharactersWithSpaces>3527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