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8"/>
        </w:rPr>
        <w:t>PROPOSAL PENELITIAN</w:t>
      </w:r>
    </w:p>
    <w:p>
      <w:pPr>
        <w:jc w:val="center"/>
      </w:pPr>
      <w:r>
        <w:rPr>
          <w:rFonts w:ascii="Calibri" w:hAnsi="Calibri" w:eastAsia="Calibri"/>
          <w:b/>
          <w:sz w:val="26"/>
        </w:rPr>
        <w:t>PENGEMBANGAN PLATFORM PRIMA+ BERBASIS KESADARAN BERBAHASA UNTUK MENGUATKAN LOYALITAS BAHASA INDONESIA REMAJA</w:t>
      </w:r>
    </w:p>
    <w:p>
      <w:pPr>
        <w:jc w:val="center"/>
      </w:pPr>
      <w:r>
        <w:t>Ketua: Larisa Dianti</w:t>
      </w:r>
    </w:p>
    <w:p>
      <w:pPr>
        <w:jc w:val="center"/>
      </w:pPr>
      <w:r>
        <w:t>Anggota: Gusti Nazwa Azizah</w:t>
      </w:r>
    </w:p>
    <w:p>
      <w:pPr>
        <w:jc w:val="center"/>
      </w:pPr>
      <w:r>
        <w:t>Bidang Ilmu Sosial Humaniora (ISH), Subbidang Bahasa dan Sastra</w:t>
      </w:r>
    </w:p>
    <w:p>
      <w:pPr>
        <w:jc w:val="center"/>
      </w:pPr>
      <w:r>
        <w:t>MAN Kotawaringin Timur, Kalimantan Tengah</w:t>
      </w:r>
    </w:p>
    <w:p>
      <w:pPr>
        <w:jc w:val="center"/>
      </w:pPr>
      <w:r>
        <w:t>Tahun 2026</w:t>
      </w:r>
    </w:p>
    <w:p>
      <w:r>
        <w:br w:type="page"/>
      </w:r>
    </w:p>
    <w:p>
      <w:pPr>
        <w:pStyle w:val="Heading1"/>
      </w:pPr>
      <w:r>
        <w:t>BAB 1. PENDAHULUAN</w:t>
      </w:r>
    </w:p>
    <w:p>
      <w:pPr>
        <w:pStyle w:val="Heading2"/>
      </w:pPr>
      <w:r>
        <w:t>1.1 Latar Belakang</w:t>
      </w:r>
    </w:p>
    <w:p>
      <w:r>
        <w:t>Di lingkungan sekolah, bahasa Indonesia sebenarnya hadir hampir di semua kegiatan siswa: saat belajar di kelas, berdiskusi dengan teman, menulis tugas, mengikuti organisasi, sampai membuat unggahan di media sosial. Namun, cara siswa menggunakan bahasa tidak selalu sama pada setiap situasi. Ada saatnya mereka memakai bahasa yang lebih santai, ada saatnya mereka perlu memakai bahasa Indonesia yang lebih tertib dan jelas. Karena itu, loyalitas terhadap bahasa Indonesia tidak cukup dipahami sebagai kewajiban memakai bahasa baku terus-menerus, tetapi sebagai kesadaran untuk memilih bahasa yang tepat sesuai tempat, tujuan, dan lawan bicara.</w:t>
      </w:r>
    </w:p>
    <w:p>
      <w:r>
        <w:t>Di media sosial, remaja terbiasa menulis dengan gaya yang cepat dan ringkas. Mereka memakai slang, emotikon, campur kode Indonesia-Inggris, serta istilah seperti happy, healing, deadline, vibes, atau relate. Gaya seperti ini tidak selalu salah karena bahasa memang berubah mengikuti lingkungan pemakainya. Akan tetapi, kebiasaan tersebut dapat menjadi masalah ketika siswa tidak lagi peka terhadap perbedaan situasi. Bahasa untuk story Instagram tentu tidak selalu cocok dipakai untuk menulis laporan, pengumuman kelas, atau komunikasi resmi di sekolah.</w:t>
      </w:r>
    </w:p>
    <w:p>
      <w:r>
        <w:t>Kebutuhan untuk menguatkan kemampuan berbahasa Indonesia pada pelajar juga tampak dari data kebahasaan. Balai Bahasa Provinsi Jambi (2025) menjelaskan bahwa UKBI digunakan sebagai alat untuk melihat kemahiran berbahasa Indonesia secara lebih terstandar. Data pelajar tahun 2024 yang disoroti dalam laporan tersebut menunjukkan bahwa pembinaan kemahiran berbahasa masih perlu diperkuat. Artinya, pembinaan bahasa Indonesia perlu dibuat lebih dekat dengan kebiasaan siswa hari ini, termasuk kebiasaan mereka berkomunikasi melalui media digital.</w:t>
      </w:r>
    </w:p>
    <w:p>
      <w:r>
        <w:t>Pendekatan kesadaran berbahasa atau language awareness sesuai dengan masalah tersebut karena tidak langsung menghakimi cara berbahasa remaja. Pendekatan ini mengajak siswa memperhatikan bentuk bahasa, fungsi bahasa, konteks pemakaian, dan dampak sosial dari pilihan kata yang mereka gunakan (Carter, 2003; Fairclough, 1992). Dengan pendekatan ini, siswa tidak hanya diberi tahu bahwa bahasa tertentu benar atau salah, tetapi diajak memahami mengapa suatu pilihan bahasa cocok untuk satu situasi dan kurang cocok untuk situasi lain.</w:t>
      </w:r>
    </w:p>
    <w:p>
      <w:r>
        <w:t>Berdasarkan keadaan tersebut, penelitian ini mengembangkan PRIMA+ sebagai media digital untuk melatih kesadaran berbahasa siswa. PRIMA+ memuat contoh kasus bahasa digital, kuis kontekstual, refleksi pilihan bahasa, sistem skor, dan umpan balik. Melalui platform ini, siswa diharapkan tidak hanya menjawab soal, tetapi juga belajar menimbang pilihan bahasa yang mereka gunakan. Penelitian ini kemudian menguji apakah penggunaan PRIMA+ dapat membantu menguatkan loyalitas bahasa Indonesia remaja secara terukur.</w:t>
      </w:r>
    </w:p>
    <w:p>
      <w:pPr>
        <w:pStyle w:val="Heading2"/>
      </w:pPr>
      <w:r>
        <w:t>1.2 Fokus Masalah dan Gap Penelitian</w:t>
      </w:r>
    </w:p>
    <w:p>
      <w:r>
        <w:t>Penelitian ini berangkat dari celah sederhana tetapi penting. Banyak tulisan sudah membahas campur kode, bahasa gaul, dan perubahan bahasa di media sosial. Di sisi lain, penelitian tentang gamifikasi bahasa lebih sering membahas pembelajaran bahasa asing. Masih belum banyak model yang secara khusus menghubungkan kesadaran berbahasa, loyalitas bahasa Indonesia, dan media digital interaktif untuk remaja. PRIMA+ dikembangkan untuk mengisi ruang tersebut.</w:t>
      </w:r>
    </w:p>
    <w:p>
      <w:pPr>
        <w:pStyle w:val="Heading2"/>
      </w:pPr>
      <w:r>
        <w:t>1.3 Rumusan Masalah</w:t>
      </w:r>
    </w:p>
    <w:p>
      <w:pPr>
        <w:pStyle w:val="ListNumber"/>
        <w:spacing w:after="80"/>
      </w:pPr>
      <w:r>
        <w:t>Bagaimana kebutuhan dan rancangan platform PRIMA+ berbasis kesadaran berbahasa untuk menguatkan loyalitas bahasa Indonesia remaja?</w:t>
      </w:r>
    </w:p>
    <w:p>
      <w:pPr>
        <w:pStyle w:val="ListNumber"/>
        <w:spacing w:after="80"/>
      </w:pPr>
      <w:r>
        <w:t>Bagaimana kelayakan materi, bahasa, media, dan instrumen PRIMA+ berdasarkan validasi guru atau ahli?</w:t>
      </w:r>
    </w:p>
    <w:p>
      <w:pPr>
        <w:pStyle w:val="ListNumber"/>
        <w:spacing w:after="80"/>
      </w:pPr>
      <w:r>
        <w:t>Bagaimana efektivitas penggunaan PRIMA+ terhadap peningkatan loyalitas bahasa Indonesia remaja berdasarkan indikator sikap positif, kesetiaan penggunaan, kesadaran norma, kebanggaan bahasa, dan kemampuan memilih ragam bahasa sesuai konteks?</w:t>
      </w:r>
    </w:p>
    <w:p>
      <w:pPr>
        <w:pStyle w:val="Heading2"/>
      </w:pPr>
      <w:r>
        <w:t>1.4 Tujuan Penelitian</w:t>
      </w:r>
    </w:p>
    <w:p>
      <w:pPr>
        <w:pStyle w:val="ListNumber"/>
        <w:spacing w:after="80"/>
      </w:pPr>
      <w:r>
        <w:t>Mengembangkan platform PRIMA+ berbasis kesadaran berbahasa sesuai kebutuhan remaja pengguna media digital.</w:t>
      </w:r>
    </w:p>
    <w:p>
      <w:pPr>
        <w:pStyle w:val="ListNumber"/>
        <w:spacing w:after="80"/>
      </w:pPr>
      <w:r>
        <w:t>Menilai kelayakan PRIMA+ dari aspek materi, bahasa, media, dan instrumen penelitian.</w:t>
      </w:r>
    </w:p>
    <w:p>
      <w:pPr>
        <w:pStyle w:val="ListNumber"/>
        <w:spacing w:after="80"/>
      </w:pPr>
      <w:r>
        <w:t>Menguji efektivitas PRIMA+ dalam menguatkan loyalitas bahasa Indonesia remaja melalui desain pretest-posttest.</w:t>
      </w:r>
    </w:p>
    <w:p>
      <w:pPr>
        <w:pStyle w:val="Heading2"/>
      </w:pPr>
      <w:r>
        <w:t>1.5 Manfaat Penelitian</w:t>
      </w:r>
    </w:p>
    <w:p>
      <w:pPr>
        <w:pStyle w:val="Heading3"/>
      </w:pPr>
      <w:r>
        <w:t>1.5.1 Manfaat Teoretis</w:t>
      </w:r>
    </w:p>
    <w:p>
      <w:r>
        <w:t>Secara teoretis, penelitian ini diharapkan menambah contoh penerapan kajian sosiolinguistik dalam pembelajaran bahasa Indonesia. Penelitian ini juga menunjukkan bahwa media digital dapat dipakai bukan hanya untuk melatih pengetahuan kaidah bahasa, tetapi juga untuk membangun sikap dan kesadaran berbahasa.</w:t>
      </w:r>
    </w:p>
    <w:p>
      <w:pPr>
        <w:pStyle w:val="Heading3"/>
      </w:pPr>
      <w:r>
        <w:t>1.5.2 Manfaat Praktis</w:t>
      </w:r>
    </w:p>
    <w:p>
      <w:pPr>
        <w:pStyle w:val="ListBullet"/>
        <w:spacing w:after="80"/>
      </w:pPr>
      <w:r>
        <w:t>Bagi siswa, PRIMA+ diharapkan membantu mereka lebih peka saat menggunakan bahasa Indonesia, terutama ketika berpindah dari ruang santai di media sosial ke situasi yang lebih resmi di sekolah.</w:t>
      </w:r>
    </w:p>
    <w:p>
      <w:pPr>
        <w:pStyle w:val="ListBullet"/>
        <w:spacing w:after="80"/>
      </w:pPr>
      <w:r>
        <w:t>Bagi guru Bahasa Indonesia, PRIMA+ dapat menjadi contoh media pembelajaran yang mengaitkan materi bahasa dengan situasi nyata yang sering ditemui siswa.</w:t>
      </w:r>
    </w:p>
    <w:p>
      <w:pPr>
        <w:pStyle w:val="ListBullet"/>
        <w:spacing w:after="80"/>
      </w:pPr>
      <w:r>
        <w:t>Bagi sekolah, penelitian ini dapat mendukung program literasi dan pembiasaan berbahasa Indonesia yang lebih dekat dengan keseharian siswa.</w:t>
      </w:r>
    </w:p>
    <w:p>
      <w:pPr>
        <w:pStyle w:val="ListBullet"/>
        <w:spacing w:after="80"/>
      </w:pPr>
      <w:r>
        <w:t>Bagi pengembang media pendidikan, penelitian ini dapat menjadi rancangan awal untuk membuat media belajar bahasa Indonesia yang lebih interaktif.</w:t>
      </w:r>
    </w:p>
    <w:p>
      <w:pPr>
        <w:pStyle w:val="Heading2"/>
      </w:pPr>
      <w:r>
        <w:t>1.6 Batasan Penelitian</w:t>
      </w:r>
    </w:p>
    <w:p>
      <w:pPr>
        <w:pStyle w:val="ListBullet"/>
        <w:spacing w:after="80"/>
      </w:pPr>
      <w:r>
        <w:t>Penelitian ini dibatasi pada uji coba terbatas di MAN Kotawaringin Timur.</w:t>
      </w:r>
    </w:p>
    <w:p>
      <w:pPr>
        <w:pStyle w:val="ListBullet"/>
        <w:spacing w:after="80"/>
      </w:pPr>
      <w:r>
        <w:t>Produk PRIMA+ dalam penelitian ini masih difokuskan sebagai prototipe pembelajaran interaktif, belum sebagai aplikasi komersial yang lengkap.</w:t>
      </w:r>
    </w:p>
    <w:p>
      <w:pPr>
        <w:pStyle w:val="ListBullet"/>
        <w:spacing w:after="80"/>
      </w:pPr>
      <w:r>
        <w:t>Loyalitas bahasa Indonesia diukur melalui indikator sikap dan perilaku berbahasa yang dapat diamati lewat kuesioner, tes skenario, serta aktivitas siswa saat menggunakan platform.</w:t>
      </w:r>
    </w:p>
    <w:p>
      <w:pPr>
        <w:pStyle w:val="ListBullet"/>
        <w:spacing w:after="80"/>
      </w:pPr>
      <w:r>
        <w:t>Data empiris lokal tidak diasumsikan sejak awal. Data tersebut akan diperoleh melalui survei kebutuhan, pretest, posttest, dan refleksi pengguna selama proses penelitian.</w:t>
      </w:r>
    </w:p>
    <w:p>
      <w:pPr>
        <w:pStyle w:val="Heading1"/>
      </w:pPr>
      <w:r>
        <w:t>BAB 2. TINJAUAN PUSTAKA</w:t>
      </w:r>
    </w:p>
    <w:p>
      <w:pPr>
        <w:pStyle w:val="Heading2"/>
      </w:pPr>
      <w:r>
        <w:t>2.1 Bahasa Indonesia, Remaja, dan Komunikasi Digital</w:t>
      </w:r>
    </w:p>
    <w:p>
      <w:r>
        <w:t>Komunikasi remaja di ruang digital berlangsung cepat dan sering memadukan teks, gambar, suara, emotikon, serta video. Crystal (2011) menjelaskan bahwa teknologi digital dapat mengubah praktik bahasa, pola interaksi, dan norma komunikasi. Dalam konteks Indonesia, bahasa gaul dan campur kode di media sosial perlu dilihat sebagai gejala sosial. Namun, gejala tersebut tetap menjadi tantangan bagi pembinaan bahasa Indonesia, terutama ketika siswa belum mampu menyesuaikan bahasa dengan konteksnya.</w:t>
      </w:r>
    </w:p>
    <w:p>
      <w:pPr>
        <w:pStyle w:val="Heading2"/>
      </w:pPr>
      <w:r>
        <w:t>2.2 Kesadaran Berbahasa</w:t>
      </w:r>
    </w:p>
    <w:p>
      <w:r>
        <w:t>Kesadaran berbahasa menekankan kemampuan seseorang untuk memperhatikan bentuk, fungsi, konteks, dan akibat sosial dari bahasa yang digunakan. Carter (2003) memandang language awareness sebagai kesadaran terhadap bentuk dan fungsi bahasa, sedangkan Fairclough (1992) menekankan pentingnya sikap kritis dalam melihat hubungan bahasa dan kehidupan sosial. Dalam penelitian ini, kesadaran berbahasa diarahkan pada kemampuan siswa menilai pilihan bahasa dalam konteks formal, informal, sekolah, dan media sosial.</w:t>
      </w:r>
    </w:p>
    <w:p>
      <w:pPr>
        <w:pStyle w:val="Heading2"/>
      </w:pPr>
      <w:r>
        <w:t>2.3 Loyalitas Bahasa Indonesia</w:t>
      </w:r>
    </w:p>
    <w:p>
      <w:r>
        <w:t>Loyalitas bahasa dapat dipahami sebagai kemauan untuk tetap menggunakan dan menjaga bahasa sebagai bagian dari identitas sosial. Garvin dan Mathiot (1968) menempatkan loyalitas bahasa sebagai salah satu unsur sikap bahasa, bersama kebanggaan bahasa dan kesadaran terhadap norma. Dalam penelitian ini, loyalitas bahasa Indonesia tidak berarti menolak semua bahasa asing atau bahasa gaul. Loyalitas lebih dipahami sebagai kemauan untuk tetap menempatkan bahasa Indonesia secara tepat, terutama pada situasi yang memang membutuhkan bahasa Indonesia yang jelas dan tertib.</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vAlign w:val="center"/>
            <w:tcMar>
              <w:top w:w="80" w:type="dxa"/>
              <w:start w:w="120" w:type="dxa"/>
              <w:bottom w:w="80" w:type="dxa"/>
              <w:end w:w="120" w:type="dxa"/>
            </w:tcMar>
            <w:shd w:fill="F4F6F9"/>
          </w:tcPr>
          <w:p>
            <w:pPr>
              <w:spacing w:after="0"/>
              <w:jc w:val="center"/>
            </w:pPr>
            <w:r/>
            <w:r>
              <w:rPr>
                <w:rFonts w:ascii="Calibri" w:hAnsi="Calibri" w:eastAsia="Calibri"/>
                <w:b/>
                <w:sz w:val="17"/>
              </w:rPr>
              <w:t>Indikator</w:t>
            </w:r>
          </w:p>
        </w:tc>
        <w:tc>
          <w:tcPr>
            <w:tcW w:type="dxa" w:w="2665"/>
            <w:vAlign w:val="center"/>
            <w:tcMar>
              <w:top w:w="80" w:type="dxa"/>
              <w:start w:w="120" w:type="dxa"/>
              <w:bottom w:w="80" w:type="dxa"/>
              <w:end w:w="120" w:type="dxa"/>
            </w:tcMar>
            <w:shd w:fill="F4F6F9"/>
          </w:tcPr>
          <w:p>
            <w:pPr>
              <w:spacing w:after="0"/>
              <w:jc w:val="center"/>
            </w:pPr>
            <w:r/>
            <w:r>
              <w:rPr>
                <w:rFonts w:ascii="Calibri" w:hAnsi="Calibri" w:eastAsia="Calibri"/>
                <w:b/>
                <w:sz w:val="17"/>
              </w:rPr>
              <w:t>Definisi Operasional</w:t>
            </w:r>
          </w:p>
        </w:tc>
        <w:tc>
          <w:tcPr>
            <w:tcW w:type="dxa" w:w="1757"/>
            <w:vAlign w:val="center"/>
            <w:tcMar>
              <w:top w:w="80" w:type="dxa"/>
              <w:start w:w="120" w:type="dxa"/>
              <w:bottom w:w="80" w:type="dxa"/>
              <w:end w:w="120" w:type="dxa"/>
            </w:tcMar>
            <w:shd w:fill="F4F6F9"/>
          </w:tcPr>
          <w:p>
            <w:pPr>
              <w:spacing w:after="0"/>
              <w:jc w:val="center"/>
            </w:pPr>
            <w:r/>
            <w:r>
              <w:rPr>
                <w:rFonts w:ascii="Calibri" w:hAnsi="Calibri" w:eastAsia="Calibri"/>
                <w:b/>
                <w:sz w:val="17"/>
              </w:rPr>
              <w:t>Sumber Data</w:t>
            </w:r>
          </w:p>
        </w:tc>
        <w:tc>
          <w:tcPr>
            <w:tcW w:type="dxa" w:w="2948"/>
            <w:vAlign w:val="center"/>
            <w:tcMar>
              <w:top w:w="80" w:type="dxa"/>
              <w:start w:w="120" w:type="dxa"/>
              <w:bottom w:w="80" w:type="dxa"/>
              <w:end w:w="120" w:type="dxa"/>
            </w:tcMar>
            <w:shd w:fill="F4F6F9"/>
          </w:tcPr>
          <w:p>
            <w:pPr>
              <w:spacing w:after="0"/>
              <w:jc w:val="center"/>
            </w:pPr>
            <w:r/>
            <w:r>
              <w:rPr>
                <w:rFonts w:ascii="Calibri" w:hAnsi="Calibri" w:eastAsia="Calibri"/>
                <w:b/>
                <w:sz w:val="17"/>
              </w:rPr>
              <w:t>Contoh Butir/Perilaku</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Sikap positif</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Penilaian bahwa bahasa Indonesia penting dan bernilai</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Kuesioner Likert</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Saya merasa bahasa Indonesia tetap penting di ruang digital.</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Kesetiaan penggunaan</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Kecenderungan memilih bahasa Indonesia pada konteks sekolah dan komunikasi resmi</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Skenario pilihan bahasa</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Memilih ragam Indonesia yang tepat untuk pengumuman kelas.</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Kesadaran norma</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Pemahaman perbedaan ragam baku, santai, slang, dan campur kode</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Tes skenario/kuis</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Mengenali konteks saat campur kode kurang tepat.</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Kebanggaan bahasa</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Rasa bangga dan percaya diri menggunakan bahasa Indonesia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Kuesioner Likert</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Tidak menganggap bahasa Indonesia kalah modern.</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Pemilihan ragam</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Kemampuan menyesuaikan bahasa dengan tujuan, audiens, dan media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Kuis PRIMA+ dan refleksi</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Menulis ulang caption agar sesuai konteks formal.</w:t>
            </w:r>
          </w:p>
        </w:tc>
      </w:tr>
    </w:tbl>
    <w:p/>
    <w:p>
      <w:pPr>
        <w:pStyle w:val="Heading2"/>
      </w:pPr>
      <w:r>
        <w:t>2.4 Platform Digital, Gamifikasi, dan Pembelajaran Bahasa</w:t>
      </w:r>
    </w:p>
    <w:p>
      <w:r>
        <w:t>Gamifikasi memanfaatkan unsur permainan, seperti poin, tantangan, misi, umpan balik, dan capaian, agar proses belajar terasa lebih menarik. Beberapa tinjauan sistematis menunjukkan bahwa gamifikasi dapat mendukung motivasi belajar bahasa, meskipun hasilnya tetap bergantung pada desain pembelajaran, kualitas umpan balik, dan cara mengukur capaian belajar (Al-Dosakee &amp; Ozdamli, 2021; Luo, 2023; Shortt et al., 2021). Karena itu, PRIMA+ tidak cukup hanya dibuat menarik. Platform ini juga perlu memiliki tujuan, indikator, instrumen, dan evaluasi yang jelas.</w:t>
      </w:r>
    </w:p>
    <w:p>
      <w:pPr>
        <w:pStyle w:val="Heading2"/>
      </w:pPr>
      <w:r>
        <w:t>2.5 Posisi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F4F6F9"/>
          </w:tcPr>
          <w:p>
            <w:pPr>
              <w:spacing w:after="0"/>
              <w:jc w:val="center"/>
            </w:pPr>
            <w:r/>
            <w:r>
              <w:rPr>
                <w:rFonts w:ascii="Calibri" w:hAnsi="Calibri" w:eastAsia="Calibri"/>
                <w:b/>
                <w:sz w:val="17"/>
              </w:rPr>
              <w:t>Klaster Kajian</w:t>
            </w:r>
          </w:p>
        </w:tc>
        <w:tc>
          <w:tcPr>
            <w:tcW w:type="dxa" w:w="2381"/>
            <w:vAlign w:val="center"/>
            <w:tcMar>
              <w:top w:w="80" w:type="dxa"/>
              <w:start w:w="120" w:type="dxa"/>
              <w:bottom w:w="80" w:type="dxa"/>
              <w:end w:w="120" w:type="dxa"/>
            </w:tcMar>
            <w:shd w:fill="F4F6F9"/>
          </w:tcPr>
          <w:p>
            <w:pPr>
              <w:spacing w:after="0"/>
              <w:jc w:val="center"/>
            </w:pPr>
            <w:r/>
            <w:r>
              <w:rPr>
                <w:rFonts w:ascii="Calibri" w:hAnsi="Calibri" w:eastAsia="Calibri"/>
                <w:b/>
                <w:sz w:val="17"/>
              </w:rPr>
              <w:t>Temuan Utama</w:t>
            </w:r>
          </w:p>
        </w:tc>
        <w:tc>
          <w:tcPr>
            <w:tcW w:type="dxa" w:w="2381"/>
            <w:vAlign w:val="center"/>
            <w:tcMar>
              <w:top w:w="80" w:type="dxa"/>
              <w:start w:w="120" w:type="dxa"/>
              <w:bottom w:w="80" w:type="dxa"/>
              <w:end w:w="120" w:type="dxa"/>
            </w:tcMar>
            <w:shd w:fill="F4F6F9"/>
          </w:tcPr>
          <w:p>
            <w:pPr>
              <w:spacing w:after="0"/>
              <w:jc w:val="center"/>
            </w:pPr>
            <w:r/>
            <w:r>
              <w:rPr>
                <w:rFonts w:ascii="Calibri" w:hAnsi="Calibri" w:eastAsia="Calibri"/>
                <w:b/>
                <w:sz w:val="17"/>
              </w:rPr>
              <w:t>Keterbatasan yang Disasar</w:t>
            </w:r>
          </w:p>
        </w:tc>
        <w:tc>
          <w:tcPr>
            <w:tcW w:type="dxa" w:w="2324"/>
            <w:vAlign w:val="center"/>
            <w:tcMar>
              <w:top w:w="80" w:type="dxa"/>
              <w:start w:w="120" w:type="dxa"/>
              <w:bottom w:w="80" w:type="dxa"/>
              <w:end w:w="120" w:type="dxa"/>
            </w:tcMar>
            <w:shd w:fill="F4F6F9"/>
          </w:tcPr>
          <w:p>
            <w:pPr>
              <w:spacing w:after="0"/>
              <w:jc w:val="center"/>
            </w:pPr>
            <w:r/>
            <w:r>
              <w:rPr>
                <w:rFonts w:ascii="Calibri" w:hAnsi="Calibri" w:eastAsia="Calibri"/>
                <w:b/>
                <w:sz w:val="17"/>
              </w:rPr>
              <w:t>Posisi PRIMA+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Bahasa digital dan campur kode</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Media sosial memunculkan variasi bahasa, campur kode, dan gaya komunikasi baru.</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Sering berhenti pada deskripsi fenomena.</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Mengubah fenomena menjadi materi refleksi dan kuis kontekstual.</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Kesadaran berbahasa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Kesadaran bahasa membantu siswa memahami fungsi dan konteks 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Belum selalu diwujudkan dalam media digital interaktif.</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Menjadikan language awareness sebagai prinsip desain platform.</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Gamifikasi 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Gamifikasi dapat meningkatkan motivasi, tetapi hasilnya bergantung pada desain.</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Banyak kajian berfokus pada bahasa asing.</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Menerapkan gamifikasi untuk penguatan loyalitas bahasa Indonesia.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R&amp;D media pembelajaran</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ADDIE memberi tahapan pengembangan sistematis.</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Sering kurang kuat dalam uji efektivitas.</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Menggabungkan ADDIE dengan pretest-posttest dan validasi ahli.</w:t>
            </w:r>
          </w:p>
        </w:tc>
      </w:tr>
    </w:tbl>
    <w:p/>
    <w:p>
      <w:pPr>
        <w:pStyle w:val="Heading1"/>
      </w:pPr>
      <w:r>
        <w:t>BAB 3. METODE PENELITIAN</w:t>
      </w:r>
    </w:p>
    <w:p>
      <w:pPr>
        <w:pStyle w:val="Heading2"/>
      </w:pPr>
      <w:r>
        <w:t>3.1 Desain Penelitian</w:t>
      </w:r>
    </w:p>
    <w:p>
      <w:r>
        <w:t>Penelitian ini menggunakan metode Research and Development (R&amp;D) dengan model ADDIE, yaitu Analyze, Design, Develop, Implement, dan Evaluate (Branch, 2009). Model ADDIE dipilih karena tahapannya membantu peneliti mengembangkan produk secara bertahap, mulai dari membaca kebutuhan siswa sampai mengevaluasi hasil uji coba. Untuk melihat efektivitas PRIMA+, penelitian ini menggunakan desain one-group pretest-posttest. Desain tersebut sesuai karena penelitian masih berada pada tahap pengembangan prototipe dan uji coba terbatas.</w:t>
      </w:r>
    </w:p>
    <w:p>
      <w:pPr>
        <w:pStyle w:val="Heading2"/>
      </w:pPr>
      <w:r>
        <w:t>3.2 Waktu dan Tempat Penelitian</w:t>
      </w:r>
    </w:p>
    <w:p>
      <w:r>
        <w:t>Penelitian direncanakan berlangsung pada April-Agustus 2026 di MAN Kotawaringin Timur, Kalimantan Tengah. Selama rentang waktu tersebut, kegiatan penelitian dimulai dari analisis kebutuhan, perancangan, pengembangan prototipe, validasi, uji coba terbatas, analisis data, revisi produk, hingga penyusunan laporan akhir.</w:t>
      </w:r>
    </w:p>
    <w:p>
      <w:pPr>
        <w:pStyle w:val="Heading2"/>
      </w:pPr>
      <w:r>
        <w:t>3.3 Subjek Penelitian dan Sampling</w:t>
      </w:r>
    </w:p>
    <w:p>
      <w:r>
        <w:t>Subjek penelitian adalah siswa MAN Kotawaringin Timur kelas X atau XI yang aktif menggunakan media digital. Uji coba terbatas direncanakan melibatkan 30-40 siswa. Jumlah ini dipilih agar data pretest-posttest lebih memadai dibandingkan uji coba dengan responden yang terlalu sedikit. Sampel ditentukan secara purposive, yaitu siswa yang aktif, bersedia mengikuti rangkaian penelitian, memiliki akses perangkat untuk mencoba platform, dan memperoleh izin sesuai ketentuan sekolah.</w:t>
      </w:r>
    </w:p>
    <w:p>
      <w:pPr>
        <w:pStyle w:val="Heading2"/>
      </w:pPr>
      <w:r>
        <w:t>3.4 Spesifikasi Produk PRIMA+</w:t>
      </w:r>
    </w:p>
    <w:tbl>
      <w:tblPr>
        <w:tblStyle w:val="TableGrid"/>
        <w:tblW w:type="auto" w:w="0"/>
        <w:jc w:val="center"/>
        <w:tblLook w:firstColumn="1" w:firstRow="1" w:lastColumn="0" w:lastRow="0" w:noHBand="0" w:noVBand="1" w:val="04A0"/>
      </w:tblPr>
      <w:tblGrid>
        <w:gridCol w:w="3120"/>
        <w:gridCol w:w="3120"/>
        <w:gridCol w:w="3120"/>
      </w:tblGrid>
      <w:tr>
        <w:tc>
          <w:tcPr>
            <w:tcW w:type="dxa" w:w="1984"/>
            <w:vAlign w:val="center"/>
            <w:tcMar>
              <w:top w:w="80" w:type="dxa"/>
              <w:start w:w="120" w:type="dxa"/>
              <w:bottom w:w="80" w:type="dxa"/>
              <w:end w:w="120" w:type="dxa"/>
            </w:tcMar>
            <w:shd w:fill="F4F6F9"/>
          </w:tcPr>
          <w:p>
            <w:pPr>
              <w:spacing w:after="0"/>
              <w:jc w:val="center"/>
            </w:pPr>
            <w:r/>
            <w:r>
              <w:rPr>
                <w:rFonts w:ascii="Calibri" w:hAnsi="Calibri" w:eastAsia="Calibri"/>
                <w:b/>
                <w:sz w:val="17"/>
              </w:rPr>
              <w:t>Komponen Produk</w:t>
            </w:r>
          </w:p>
        </w:tc>
        <w:tc>
          <w:tcPr>
            <w:tcW w:type="dxa" w:w="3969"/>
            <w:vAlign w:val="center"/>
            <w:tcMar>
              <w:top w:w="80" w:type="dxa"/>
              <w:start w:w="120" w:type="dxa"/>
              <w:bottom w:w="80" w:type="dxa"/>
              <w:end w:w="120" w:type="dxa"/>
            </w:tcMar>
            <w:shd w:fill="F4F6F9"/>
          </w:tcPr>
          <w:p>
            <w:pPr>
              <w:spacing w:after="0"/>
              <w:jc w:val="center"/>
            </w:pPr>
            <w:r/>
            <w:r>
              <w:rPr>
                <w:rFonts w:ascii="Calibri" w:hAnsi="Calibri" w:eastAsia="Calibri"/>
                <w:b/>
                <w:sz w:val="17"/>
              </w:rPr>
              <w:t>Isi/Fungsi</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Keluaran yang Diukur</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Modul kasus bahasa digital</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Contoh caption, chat, story, dan situasi sekolah yang memuat pilihan ragam bahasa.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Kemampuan mengenali konteks bahasa.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Kuis kontekstual</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Soal pilihan dan skenario tentang bahasa baku, santai, slang, dan campur kode.</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pemahaman dan kesadaran norma.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Refleksi bahasa</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Pertanyaan singkat mengapa pilihan bahasa tertentu tepat/kurang tepat.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Alasan siswa dalam memilih ragam bahasa.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Umpan balik otomatis</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Penjelasan setelah siswa menjawab kuis.</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Perbaikan pemahaman setelah latihan.</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Skor dan capaian</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Poin, level, atau badge sederhana.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Keterlibatan dan penyelesaian aktivitas.</w:t>
            </w:r>
          </w:p>
        </w:tc>
      </w:tr>
    </w:tbl>
    <w:p/>
    <w:p>
      <w:pPr>
        <w:pStyle w:val="Heading2"/>
      </w:pPr>
      <w:r>
        <w:t>3.5 Konstruk, Indikator, dan Instrumen Penelitian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Konstruk</w:t>
            </w:r>
          </w:p>
        </w:tc>
        <w:tc>
          <w:tcPr>
            <w:tcW w:type="dxa" w:w="1872"/>
          </w:tcPr>
          <w:p>
            <w:r>
              <w:t>Definisi Konseptual</w:t>
            </w:r>
          </w:p>
        </w:tc>
        <w:tc>
          <w:tcPr>
            <w:tcW w:type="dxa" w:w="1872"/>
          </w:tcPr>
          <w:p>
            <w:r>
              <w:t>Dimensi/Indikator</w:t>
            </w:r>
          </w:p>
        </w:tc>
        <w:tc>
          <w:tcPr>
            <w:tcW w:type="dxa" w:w="1872"/>
          </w:tcPr>
          <w:p>
            <w:r>
              <w:t>Instrumen</w:t>
            </w:r>
          </w:p>
        </w:tc>
        <w:tc>
          <w:tcPr>
            <w:tcW w:type="dxa" w:w="1872"/>
          </w:tcPr>
          <w:p>
            <w:r>
              <w:t>Data</w:t>
            </w:r>
          </w:p>
        </w:tc>
      </w:tr>
      <w:tr>
        <w:tc>
          <w:tcPr>
            <w:tcW w:type="dxa" w:w="1872"/>
          </w:tcPr>
          <w:p>
            <w:r>
              <w:t>Kesadaran berbahasa</w:t>
            </w:r>
          </w:p>
        </w:tc>
        <w:tc>
          <w:tcPr>
            <w:tcW w:type="dxa" w:w="1872"/>
          </w:tcPr>
          <w:p>
            <w:r>
              <w:t>Kepekaan siswa dalam mengenali bentuk bahasa, fungsi bahasa, konteks pemakaian, dan dampak sosial dari pilihan bahasa.</w:t>
            </w:r>
          </w:p>
        </w:tc>
        <w:tc>
          <w:tcPr>
            <w:tcW w:type="dxa" w:w="1872"/>
          </w:tcPr>
          <w:p>
            <w:r>
              <w:t>Mengenali ragam bahasa; menilai kesesuaian bahasa dengan konteks; menjelaskan alasan memilih ragam bahasa; merefleksikan dampak pilihan bahasa.</w:t>
            </w:r>
          </w:p>
        </w:tc>
        <w:tc>
          <w:tcPr>
            <w:tcW w:type="dxa" w:w="1872"/>
          </w:tcPr>
          <w:p>
            <w:r>
              <w:t>Tes skenario/kuis PRIMA+ dan refleksi singkat.</w:t>
            </w:r>
          </w:p>
        </w:tc>
        <w:tc>
          <w:tcPr>
            <w:tcW w:type="dxa" w:w="1872"/>
          </w:tcPr>
          <w:p>
            <w:r>
              <w:t>Skor kuis dan catatan refleksi.</w:t>
            </w:r>
          </w:p>
        </w:tc>
      </w:tr>
      <w:tr>
        <w:tc>
          <w:tcPr>
            <w:tcW w:type="dxa" w:w="1872"/>
          </w:tcPr>
          <w:p>
            <w:r>
              <w:t>Loyalitas berbahasa Indonesia</w:t>
            </w:r>
          </w:p>
        </w:tc>
        <w:tc>
          <w:tcPr>
            <w:tcW w:type="dxa" w:w="1872"/>
          </w:tcPr>
          <w:p>
            <w:r>
              <w:t>Kemauan siswa untuk tetap menempatkan bahasa Indonesia secara tepat sebagai bagian dari identitas, terutama pada situasi yang membutuhkan bahasa Indonesia yang jelas dan tertib.</w:t>
            </w:r>
          </w:p>
        </w:tc>
        <w:tc>
          <w:tcPr>
            <w:tcW w:type="dxa" w:w="1872"/>
          </w:tcPr>
          <w:p>
            <w:r>
              <w:t>Sikap positif; kesetiaan penggunaan; kesadaran norma; kebanggaan bahasa; kemampuan memilih ragam bahasa sesuai konteks.</w:t>
            </w:r>
          </w:p>
        </w:tc>
        <w:tc>
          <w:tcPr>
            <w:tcW w:type="dxa" w:w="1872"/>
          </w:tcPr>
          <w:p>
            <w:r>
              <w:t>Kuesioner Likert 20 butir dan pretest-posttest.</w:t>
            </w:r>
          </w:p>
        </w:tc>
        <w:tc>
          <w:tcPr>
            <w:tcW w:type="dxa" w:w="1872"/>
          </w:tcPr>
          <w:p>
            <w:r>
              <w:t>Skor pretest dan posttest.</w:t>
            </w:r>
          </w:p>
        </w:tc>
      </w:tr>
      <w:tr>
        <w:tc>
          <w:tcPr>
            <w:tcW w:type="dxa" w:w="1872"/>
          </w:tcPr>
          <w:p>
            <w:r>
              <w:t>Kelayakan platform PRIMA+</w:t>
            </w:r>
          </w:p>
        </w:tc>
        <w:tc>
          <w:tcPr>
            <w:tcW w:type="dxa" w:w="1872"/>
          </w:tcPr>
          <w:p>
            <w:r>
              <w:t>Tingkat kelayakan produk sebagai media pembelajaran bahasa berdasarkan aspek materi, bahasa, tampilan, navigasi, dan kegunaan.</w:t>
            </w:r>
          </w:p>
        </w:tc>
        <w:tc>
          <w:tcPr>
            <w:tcW w:type="dxa" w:w="1872"/>
          </w:tcPr>
          <w:p>
            <w:r>
              <w:t>Kesesuaian materi; kejelasan bahasa; kemudahan penggunaan; tampilan; kualitas umpan balik; kesesuaian fitur dengan tujuan pembelajaran.</w:t>
            </w:r>
          </w:p>
        </w:tc>
        <w:tc>
          <w:tcPr>
            <w:tcW w:type="dxa" w:w="1872"/>
          </w:tcPr>
          <w:p>
            <w:r>
              <w:t>Lembar validasi guru/ahli.</w:t>
            </w:r>
          </w:p>
        </w:tc>
        <w:tc>
          <w:tcPr>
            <w:tcW w:type="dxa" w:w="1872"/>
          </w:tcPr>
          <w:p>
            <w:r>
              <w:t>Skor validasi skala 1-4.</w:t>
            </w:r>
          </w:p>
        </w:tc>
      </w:tr>
      <w:tr>
        <w:tc>
          <w:tcPr>
            <w:tcW w:type="dxa" w:w="1872"/>
          </w:tcPr>
          <w:p>
            <w:r>
              <w:t>Respons pengguna</w:t>
            </w:r>
          </w:p>
        </w:tc>
        <w:tc>
          <w:tcPr>
            <w:tcW w:type="dxa" w:w="1872"/>
          </w:tcPr>
          <w:p>
            <w:r>
              <w:t>Tanggapan siswa setelah menggunakan PRIMA+, terutama terkait kemudahan, kemenarikan, manfaat, dan kendala penggunaan.</w:t>
            </w:r>
          </w:p>
        </w:tc>
        <w:tc>
          <w:tcPr>
            <w:tcW w:type="dxa" w:w="1872"/>
          </w:tcPr>
          <w:p>
            <w:r>
              <w:t>Kemudahan akses; kemenarikan aktivitas; manfaat terhadap pemahaman bahasa; kendala teknis; saran perbaikan.</w:t>
            </w:r>
          </w:p>
        </w:tc>
        <w:tc>
          <w:tcPr>
            <w:tcW w:type="dxa" w:w="1872"/>
          </w:tcPr>
          <w:p>
            <w:r>
              <w:t>Angket respons dan refleksi/wawancara singkat.</w:t>
            </w:r>
          </w:p>
        </w:tc>
        <w:tc>
          <w:tcPr>
            <w:tcW w:type="dxa" w:w="1872"/>
          </w:tcPr>
          <w:p>
            <w:r>
              <w:t>Persentase dan ringkasan tema.</w:t>
            </w:r>
          </w:p>
        </w:tc>
      </w:tr>
    </w:tbl>
    <w:p>
      <w:r>
        <w:t>Pada penelitian ini, konstruk dipahami sebagai konsep utama yang diukur atau dinilai. Konstruk utama yang diuji adalah loyalitas berbahasa Indonesia, sedangkan kesadaran berbahasa menjadi konstruk proses yang dilatih melalui PRIMA+. Selain itu, kelayakan platform dan respons pengguna dinilai untuk memastikan produk yang dikembangkan dapat digunakan dalam uji coba terbatas.</w:t>
      </w:r>
    </w:p>
    <w:p>
      <w:pPr>
        <w:pStyle w:val="Heading2"/>
      </w:pPr>
      <w:r>
        <w:t>3.6 Alat dan Bahan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7"/>
            <w:vAlign w:val="center"/>
            <w:tcMar>
              <w:top w:w="80" w:type="dxa"/>
              <w:start w:w="120" w:type="dxa"/>
              <w:bottom w:w="80" w:type="dxa"/>
              <w:end w:w="120" w:type="dxa"/>
            </w:tcMar>
            <w:shd w:fill="F4F6F9"/>
          </w:tcPr>
          <w:p>
            <w:pPr>
              <w:spacing w:after="0"/>
              <w:jc w:val="center"/>
            </w:pPr>
            <w:r/>
            <w:r>
              <w:rPr>
                <w:rFonts w:ascii="Calibri" w:hAnsi="Calibri" w:eastAsia="Calibri"/>
                <w:b/>
                <w:sz w:val="17"/>
              </w:rPr>
              <w:t>Kategori</w:t>
            </w:r>
          </w:p>
        </w:tc>
        <w:tc>
          <w:tcPr>
            <w:tcW w:type="dxa" w:w="2608"/>
            <w:vAlign w:val="center"/>
            <w:tcMar>
              <w:top w:w="80" w:type="dxa"/>
              <w:start w:w="120" w:type="dxa"/>
              <w:bottom w:w="80" w:type="dxa"/>
              <w:end w:w="120" w:type="dxa"/>
            </w:tcMar>
            <w:shd w:fill="F4F6F9"/>
          </w:tcPr>
          <w:p>
            <w:pPr>
              <w:spacing w:after="0"/>
              <w:jc w:val="center"/>
            </w:pPr>
            <w:r/>
            <w:r>
              <w:rPr>
                <w:rFonts w:ascii="Calibri" w:hAnsi="Calibri" w:eastAsia="Calibri"/>
                <w:b/>
                <w:sz w:val="17"/>
              </w:rPr>
              <w:t>Nama</w:t>
            </w:r>
          </w:p>
        </w:tc>
        <w:tc>
          <w:tcPr>
            <w:tcW w:type="dxa" w:w="1757"/>
            <w:vAlign w:val="center"/>
            <w:tcMar>
              <w:top w:w="80" w:type="dxa"/>
              <w:start w:w="120" w:type="dxa"/>
              <w:bottom w:w="80" w:type="dxa"/>
              <w:end w:w="120" w:type="dxa"/>
            </w:tcMar>
            <w:shd w:fill="F4F6F9"/>
          </w:tcPr>
          <w:p>
            <w:pPr>
              <w:spacing w:after="0"/>
              <w:jc w:val="center"/>
            </w:pPr>
            <w:r/>
            <w:r>
              <w:rPr>
                <w:rFonts w:ascii="Calibri" w:hAnsi="Calibri" w:eastAsia="Calibri"/>
                <w:b/>
                <w:sz w:val="17"/>
              </w:rPr>
              <w:t>Jumlah</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Fungsi</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Laptop pengembang</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unit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Mendesain platform, mengolah data, dan menyusun laporan.</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Telepon pintar/laptop siswa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30-40 perangkat milik responden</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Menguji akses dan penggunaan PRIMA+.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 lunak</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Godot Engine atau platform web sederhana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sistem</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Membangun prototipe interaktif PRIMA+.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 lunak</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Spreadsheet/statistik sederhana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Mengolah skor pretest-posttest, N-gain, dan grafik.</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Skenario kasus bahasa digital</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Materi utama kuis dan refleksi bahasa.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Kuesioner loyalitas bahasa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20 butir</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Mengukur indikator loyalitas bahasa Indonesia.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Lembar validasi ahli/guru</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2-3 validator</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Menilai kelayakan materi, bahasa, dan media.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Aset visual/audio</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Mendukung tampilan dan pengalaman belajar.</w:t>
            </w:r>
          </w:p>
        </w:tc>
      </w:tr>
    </w:tbl>
    <w:p/>
    <w:p>
      <w:pPr>
        <w:pStyle w:val="Heading2"/>
      </w:pPr>
      <w:r>
        <w:t>3.7 Prosedur Penelitian</w:t>
      </w:r>
    </w:p>
    <w:p>
      <w:r>
        <w:t>Prosedur penelitian disusun dengan model ADDIE agar proses pengembangan PRIMA+ terlihat runtut, mulai dari membaca kebutuhan siswa sampai melakukan evaluasi dan revisi akhir.</w:t>
      </w:r>
    </w:p>
    <w:p>
      <w:pPr>
        <w:jc w:val="center"/>
      </w:pPr>
      <w:r>
        <w:drawing>
          <wp:inline xmlns:a="http://schemas.openxmlformats.org/drawingml/2006/main" xmlns:pic="http://schemas.openxmlformats.org/drawingml/2006/picture">
            <wp:extent cx="5580000" cy="6696000"/>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580000" cy="6696000"/>
                    </a:xfrm>
                    <a:prstGeom prst="rect"/>
                  </pic:spPr>
                </pic:pic>
              </a:graphicData>
            </a:graphic>
          </wp:inline>
        </w:drawing>
      </w:r>
    </w:p>
    <w:p>
      <w:pPr>
        <w:jc w:val="center"/>
      </w:pPr>
      <w:r>
        <w:t>Gambar 1. Prosedur penelitian PRIMA+ berbasis ADDIE</w:t>
      </w:r>
    </w:p>
    <w:tbl>
      <w:tblPr>
        <w:tblStyle w:val="TableGrid"/>
        <w:tblW w:type="auto" w:w="0"/>
        <w:jc w:val="center"/>
        <w:tblLook w:firstColumn="1" w:firstRow="1" w:lastColumn="0" w:lastRow="0" w:noHBand="0" w:noVBand="1" w:val="04A0"/>
      </w:tblPr>
      <w:tblGrid>
        <w:gridCol w:w="3120"/>
        <w:gridCol w:w="3120"/>
        <w:gridCol w:w="3120"/>
      </w:tblGrid>
      <w:tr>
        <w:tc>
          <w:tcPr>
            <w:tcW w:type="dxa" w:w="1474"/>
            <w:vAlign w:val="center"/>
            <w:tcMar>
              <w:top w:w="80" w:type="dxa"/>
              <w:start w:w="120" w:type="dxa"/>
              <w:bottom w:w="80" w:type="dxa"/>
              <w:end w:w="120" w:type="dxa"/>
            </w:tcMar>
            <w:shd w:fill="F4F6F9"/>
          </w:tcPr>
          <w:p>
            <w:pPr>
              <w:spacing w:after="0"/>
              <w:jc w:val="center"/>
            </w:pPr>
            <w:r/>
            <w:r>
              <w:rPr>
                <w:rFonts w:ascii="Calibri" w:hAnsi="Calibri" w:eastAsia="Calibri"/>
                <w:b/>
                <w:sz w:val="17"/>
              </w:rPr>
              <w:t>Tahap ADDIE</w:t>
            </w:r>
          </w:p>
        </w:tc>
        <w:tc>
          <w:tcPr>
            <w:tcW w:type="dxa" w:w="4535"/>
            <w:vAlign w:val="center"/>
            <w:tcMar>
              <w:top w:w="80" w:type="dxa"/>
              <w:start w:w="120" w:type="dxa"/>
              <w:bottom w:w="80" w:type="dxa"/>
              <w:end w:w="120" w:type="dxa"/>
            </w:tcMar>
            <w:shd w:fill="F4F6F9"/>
          </w:tcPr>
          <w:p>
            <w:pPr>
              <w:spacing w:after="0"/>
              <w:jc w:val="center"/>
            </w:pPr>
            <w:r/>
            <w:r>
              <w:rPr>
                <w:rFonts w:ascii="Calibri" w:hAnsi="Calibri" w:eastAsia="Calibri"/>
                <w:b/>
                <w:sz w:val="17"/>
              </w:rPr>
              <w:t>Aktivitas</w:t>
            </w:r>
          </w:p>
        </w:tc>
        <w:tc>
          <w:tcPr>
            <w:tcW w:type="dxa" w:w="3061"/>
            <w:vAlign w:val="center"/>
            <w:tcMar>
              <w:top w:w="80" w:type="dxa"/>
              <w:start w:w="120" w:type="dxa"/>
              <w:bottom w:w="80" w:type="dxa"/>
              <w:end w:w="120" w:type="dxa"/>
            </w:tcMar>
            <w:shd w:fill="F4F6F9"/>
          </w:tcPr>
          <w:p>
            <w:pPr>
              <w:spacing w:after="0"/>
              <w:jc w:val="center"/>
            </w:pPr>
            <w:r/>
            <w:r>
              <w:rPr>
                <w:rFonts w:ascii="Calibri" w:hAnsi="Calibri" w:eastAsia="Calibri"/>
                <w:b/>
                <w:sz w:val="17"/>
              </w:rPr>
              <w:t>Luaran</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Analyze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Analisis kebutuhan, observasi contoh bahasa digital, kajian literatur, dan pemetaan indikator loyalitas.</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Profil kebutuhan, indikator penelitian, dan bahan awal kasus bahasa.</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Design</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Merancang fitur PRIMA+, alur pengguna, kisi-kisi instrumen, skenario kuis, dan rubrik validasi.</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Blueprint platform, kisi-kisi, dan instrumen awal.</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Develop</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Membangun prototipe, menyusun konten kuis/refleksi, menyiapkan aset visual/audio, dan uji teknis internal.</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Prototipe PRIMA+ versi uji.</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Validate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Validasi oleh guru/ahli terhadap materi, bahasa, media, dan instrumen.</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Skor kelayakan dan daftar revisi.</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Implement</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Pretest, penggunaan PRIMA+, posttest, dan pengumpulan respons pengguna.</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Data skor, log aktivitas, dan respons siswa.</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Evaluate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Analisis efektivitas, interpretasi data, revisi akhir produk, dan penyusunan laporan.</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Produk akhir, hasil penelitian, dan rekomendasi pengembangan.</w:t>
            </w:r>
          </w:p>
        </w:tc>
      </w:tr>
    </w:tbl>
    <w:p/>
    <w:p>
      <w:pPr>
        <w:pStyle w:val="Heading2"/>
      </w:pPr>
      <w:r>
        <w:t>3.8 Teknik Pengumpulan Data</w:t>
      </w:r>
    </w:p>
    <w:p>
      <w:pPr>
        <w:pStyle w:val="ListNumber"/>
        <w:spacing w:after="80"/>
      </w:pPr>
      <w:r>
        <w:t>Angket analisis kebutuhan untuk mengetahui kebiasaan siswa menggunakan bahasa di ruang digital.</w:t>
      </w:r>
    </w:p>
    <w:p>
      <w:pPr>
        <w:pStyle w:val="ListNumber"/>
        <w:spacing w:after="80"/>
      </w:pPr>
      <w:r>
        <w:t>Validasi ahli/guru terhadap materi, bahasa, media, dan instrumen.</w:t>
      </w:r>
    </w:p>
    <w:p>
      <w:pPr>
        <w:pStyle w:val="ListNumber"/>
        <w:spacing w:after="80"/>
      </w:pPr>
      <w:r>
        <w:t>Pretest loyalitas bahasa Indonesia dan tes pemahaman penggunaan bahasa kontekstual.</w:t>
      </w:r>
    </w:p>
    <w:p>
      <w:pPr>
        <w:pStyle w:val="ListNumber"/>
        <w:spacing w:after="80"/>
      </w:pPr>
      <w:r>
        <w:t>Uji coba PRIMA+ dan pencatatan skor aktivitas platform.</w:t>
      </w:r>
    </w:p>
    <w:p>
      <w:pPr>
        <w:pStyle w:val="ListNumber"/>
        <w:spacing w:after="80"/>
      </w:pPr>
      <w:r>
        <w:t>Posttest setelah penggunaan PRIMA+.</w:t>
      </w:r>
    </w:p>
    <w:p>
      <w:pPr>
        <w:pStyle w:val="ListNumber"/>
        <w:spacing w:after="80"/>
      </w:pPr>
      <w:r>
        <w:t>Refleksi singkat atau wawancara terbatas untuk mengetahui pengalaman siswa.</w:t>
      </w:r>
    </w:p>
    <w:p>
      <w:pPr>
        <w:pStyle w:val="Heading2"/>
      </w:pPr>
      <w:r>
        <w:t>3.9 Teknik Analisis Data</w:t>
      </w:r>
    </w:p>
    <w:p>
      <w:r>
        <w:t>Data dianalisis secara kuantitatif dan kualitatif sederhana. Hasil validasi ahli dihitung dalam bentuk persentase kelayakan. Skor pretest dan posttest dibandingkan melalui rata-rata, persentase peningkatan, dan N-gain. Jika data memenuhi syarat, peningkatan skor diuji dengan paired sample t-test. Jika syarat tersebut tidak terpenuhi, digunakan uji Wilcoxon. Refleksi siswa kemudian dibaca secara tematik untuk melihat pengalaman, kendala, dan saran mereka setelah menggunakan PRIMA+.</w:t>
      </w:r>
    </w:p>
    <w:tbl>
      <w:tblPr>
        <w:tblStyle w:val="TableGrid"/>
        <w:tblW w:type="auto" w:w="0"/>
        <w:jc w:val="center"/>
        <w:tblLook w:firstColumn="1" w:firstRow="1" w:lastColumn="0" w:lastRow="0" w:noHBand="0" w:noVBand="1" w:val="04A0"/>
      </w:tblPr>
      <w:tblGrid>
        <w:gridCol w:w="3120"/>
        <w:gridCol w:w="3120"/>
        <w:gridCol w:w="3120"/>
      </w:tblGrid>
      <w:tr>
        <w:tc>
          <w:tcPr>
            <w:tcW w:type="dxa" w:w="2041"/>
            <w:vAlign w:val="center"/>
            <w:tcMar>
              <w:top w:w="80" w:type="dxa"/>
              <w:start w:w="120" w:type="dxa"/>
              <w:bottom w:w="80" w:type="dxa"/>
              <w:end w:w="120" w:type="dxa"/>
            </w:tcMar>
            <w:shd w:fill="F4F6F9"/>
          </w:tcPr>
          <w:p>
            <w:pPr>
              <w:spacing w:after="0"/>
              <w:jc w:val="center"/>
            </w:pPr>
            <w:r/>
            <w:r>
              <w:rPr>
                <w:rFonts w:ascii="Calibri" w:hAnsi="Calibri" w:eastAsia="Calibri"/>
                <w:b/>
                <w:sz w:val="17"/>
              </w:rPr>
              <w:t>Data</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Analisis</w:t>
            </w:r>
          </w:p>
        </w:tc>
        <w:tc>
          <w:tcPr>
            <w:tcW w:type="dxa" w:w="3912"/>
            <w:vAlign w:val="center"/>
            <w:tcMar>
              <w:top w:w="80" w:type="dxa"/>
              <w:start w:w="120" w:type="dxa"/>
              <w:bottom w:w="80" w:type="dxa"/>
              <w:end w:w="120" w:type="dxa"/>
            </w:tcMar>
            <w:shd w:fill="F4F6F9"/>
          </w:tcPr>
          <w:p>
            <w:pPr>
              <w:spacing w:after="0"/>
              <w:jc w:val="center"/>
            </w:pPr>
            <w:r/>
            <w:r>
              <w:rPr>
                <w:rFonts w:ascii="Calibri" w:hAnsi="Calibri" w:eastAsia="Calibri"/>
                <w:b/>
                <w:sz w:val="17"/>
              </w:rPr>
              <w:t>Kriteria Interpretasi</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Validasi ahli/guru</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Persentase kelayakan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Sangat layak, layak, cukup, atau perlu revisi.</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Pretest-posttest loyalitas</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Rata-rata, persentase peningkatan, N-gain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Ada peningkatan skor setelah penggunaan PRIMA+.</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Tes skenario bahasa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benar-salah dan persentase ketepatan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Pemahaman konteks bahasa meningkat.</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Uji beda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Paired t-test atau Wilcoxon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Perbedaan dinilai bermakna jika p &lt; 0,05.</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Refleksi pengguna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Koding tema ringkas</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Menjelaskan kelebihan, kendala, dan saran revisi.</w:t>
            </w:r>
          </w:p>
        </w:tc>
      </w:tr>
    </w:tbl>
    <w:p/>
    <w:p>
      <w:pPr>
        <w:pStyle w:val="Heading2"/>
      </w:pPr>
      <w:r>
        <w:t>3.10 Kriteria Keberhasilan</w:t>
      </w:r>
    </w:p>
    <w:p>
      <w:pPr>
        <w:pStyle w:val="ListBullet"/>
        <w:spacing w:after="80"/>
      </w:pPr>
      <w:r>
        <w:t>Produk memperoleh kategori minimal layak berdasarkan penilaian validator.</w:t>
      </w:r>
    </w:p>
    <w:p>
      <w:pPr>
        <w:pStyle w:val="ListBullet"/>
        <w:spacing w:after="80"/>
      </w:pPr>
      <w:r>
        <w:t>Rata-rata skor posttest lebih tinggi dibandingkan skor pretest.</w:t>
      </w:r>
    </w:p>
    <w:p>
      <w:pPr>
        <w:pStyle w:val="ListBullet"/>
        <w:spacing w:after="80"/>
      </w:pPr>
      <w:r>
        <w:t>Nilai N-gain minimal berada pada kategori sedang, atau setidaknya menunjukkan peningkatan yang dapat dijelaskan secara akademik.</w:t>
      </w:r>
    </w:p>
    <w:p>
      <w:pPr>
        <w:pStyle w:val="ListBullet"/>
        <w:spacing w:after="80"/>
      </w:pPr>
      <w:r>
        <w:t>Sebagian besar responden menyatakan bahwa PRIMA+ mudah digunakan dan membantu mereka memahami pilihan bahasa sesuai konteks.</w:t>
      </w:r>
    </w:p>
    <w:p>
      <w:pPr>
        <w:pStyle w:val="Heading1"/>
      </w:pPr>
      <w:r>
        <w:t>BAB 4. RANCANGAN ANGGARAN BIAYA DAN JADWAL</w:t>
      </w:r>
    </w:p>
    <w:p>
      <w:pPr>
        <w:pStyle w:val="Heading2"/>
      </w:pPr>
      <w:r>
        <w:t>4.1 Rancangan Anggaran Biaya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vAlign w:val="center"/>
            <w:tcMar>
              <w:top w:w="80" w:type="dxa"/>
              <w:start w:w="120" w:type="dxa"/>
              <w:bottom w:w="80" w:type="dxa"/>
              <w:end w:w="120" w:type="dxa"/>
            </w:tcMar>
            <w:shd w:fill="F4F6F9"/>
          </w:tcPr>
          <w:p>
            <w:pPr>
              <w:spacing w:after="0"/>
              <w:jc w:val="center"/>
            </w:pPr>
            <w:r/>
            <w:r>
              <w:rPr>
                <w:rFonts w:ascii="Calibri" w:hAnsi="Calibri" w:eastAsia="Calibri"/>
                <w:b/>
                <w:sz w:val="17"/>
              </w:rPr>
              <w:t>No.</w:t>
            </w:r>
          </w:p>
        </w:tc>
        <w:tc>
          <w:tcPr>
            <w:tcW w:type="dxa" w:w="2835"/>
            <w:vAlign w:val="center"/>
            <w:tcMar>
              <w:top w:w="80" w:type="dxa"/>
              <w:start w:w="120" w:type="dxa"/>
              <w:bottom w:w="80" w:type="dxa"/>
              <w:end w:w="120" w:type="dxa"/>
            </w:tcMar>
            <w:shd w:fill="F4F6F9"/>
          </w:tcPr>
          <w:p>
            <w:pPr>
              <w:spacing w:after="0"/>
              <w:jc w:val="center"/>
            </w:pPr>
            <w:r/>
            <w:r>
              <w:rPr>
                <w:rFonts w:ascii="Calibri" w:hAnsi="Calibri" w:eastAsia="Calibri"/>
                <w:b/>
                <w:sz w:val="17"/>
              </w:rPr>
              <w:t>Komponen</w:t>
            </w:r>
          </w:p>
        </w:tc>
        <w:tc>
          <w:tcPr>
            <w:tcW w:type="dxa" w:w="1304"/>
            <w:vAlign w:val="center"/>
            <w:tcMar>
              <w:top w:w="80" w:type="dxa"/>
              <w:start w:w="120" w:type="dxa"/>
              <w:bottom w:w="80" w:type="dxa"/>
              <w:end w:w="120" w:type="dxa"/>
            </w:tcMar>
            <w:shd w:fill="F4F6F9"/>
          </w:tcPr>
          <w:p>
            <w:pPr>
              <w:spacing w:after="0"/>
              <w:jc w:val="center"/>
            </w:pPr>
            <w:r/>
            <w:r>
              <w:rPr>
                <w:rFonts w:ascii="Calibri" w:hAnsi="Calibri" w:eastAsia="Calibri"/>
                <w:b/>
                <w:sz w:val="17"/>
              </w:rPr>
              <w:t>Jumlah</w:t>
            </w:r>
          </w:p>
        </w:tc>
        <w:tc>
          <w:tcPr>
            <w:tcW w:type="dxa" w:w="1587"/>
            <w:vAlign w:val="center"/>
            <w:tcMar>
              <w:top w:w="80" w:type="dxa"/>
              <w:start w:w="120" w:type="dxa"/>
              <w:bottom w:w="80" w:type="dxa"/>
              <w:end w:w="120" w:type="dxa"/>
            </w:tcMar>
            <w:shd w:fill="F4F6F9"/>
          </w:tcPr>
          <w:p>
            <w:pPr>
              <w:spacing w:after="0"/>
              <w:jc w:val="center"/>
            </w:pPr>
            <w:r/>
            <w:r>
              <w:rPr>
                <w:rFonts w:ascii="Calibri" w:hAnsi="Calibri" w:eastAsia="Calibri"/>
                <w:b/>
                <w:sz w:val="17"/>
              </w:rPr>
              <w:t>Subtotal</w:t>
            </w:r>
          </w:p>
        </w:tc>
        <w:tc>
          <w:tcPr>
            <w:tcW w:type="dxa" w:w="2778"/>
            <w:vAlign w:val="center"/>
            <w:tcMar>
              <w:top w:w="80" w:type="dxa"/>
              <w:start w:w="120" w:type="dxa"/>
              <w:bottom w:w="80" w:type="dxa"/>
              <w:end w:w="120" w:type="dxa"/>
            </w:tcMar>
            <w:shd w:fill="F4F6F9"/>
          </w:tcPr>
          <w:p>
            <w:pPr>
              <w:spacing w:after="0"/>
              <w:jc w:val="center"/>
            </w:pPr>
            <w:r/>
            <w:r>
              <w:rPr>
                <w:rFonts w:ascii="Calibri" w:hAnsi="Calibri" w:eastAsia="Calibri"/>
                <w:b/>
                <w:sz w:val="17"/>
              </w:rPr>
              <w:t>Keterangan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1</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Pengembangan prototipe PRIMA+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Rp2.500.000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Desain alur, fitur kuis, skor, umpan balik, dan integrasi konten.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2</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Aset visual antarmuka/game</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Karakter, ikon, map sederhana, tombol, dan elemen UI.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3</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Aset audio permainan</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Rp600.000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Efek suara, musik latar, dan audio pendukung.</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Perangkat pendukung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Headset, penyimpanan, kabel, dan kebutuhan teknis lapangan.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5</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Internet, hosting/domain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Rp1.000.000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Akses referensi, pengembangan, unggah prototipe, dan uji akses.</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6</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Cetak instrumen penelitian</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Rp700.000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Kuesioner, lembar validasi, pretest-posttest, dan formulir observasi.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7</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Dokumentasi dan bahan presentasi</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Rp800.000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Dokumentasi kegiatan, poster, slide, dan laporan visual.</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8</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Operasional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Koordinasi responden, konsumsi terbatas, dan kebutuhan kegiatan.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9</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Validasi ahli/guru dan revisi materi</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Rp800.000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Honorarium/transport terbatas validator dan perbaikan konten.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Total</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Rp10.000.000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r>
          </w:p>
        </w:tc>
      </w:tr>
    </w:tbl>
    <w:p/>
    <w:p>
      <w:r>
        <w:t>Total anggaran dirancang sebesar Rp10.000.000. Jumlah ini dipilih karena masih berada di bawah batas maksimal Rp15.000.000, tetapi sudah cukup untuk mendukung pengembangan prototipe dan uji coba terbatas. Godot Engine atau perangkat lunak open-source tidak dihitung sebagai biaya lisensi. Anggaran diarahkan pada pembuatan prototipe, penyediaan aset, penyusunan instrumen, pelaksanaan uji coba, validasi, dan dokumentasi.</w:t>
      </w:r>
    </w:p>
    <w:p>
      <w:pPr>
        <w:pStyle w:val="Heading2"/>
      </w:pPr>
      <w:r>
        <w:t>4.2 Jadwal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vAlign w:val="center"/>
            <w:tcMar>
              <w:top w:w="80" w:type="dxa"/>
              <w:start w:w="120" w:type="dxa"/>
              <w:bottom w:w="80" w:type="dxa"/>
              <w:end w:w="120" w:type="dxa"/>
            </w:tcMar>
            <w:shd w:fill="F4F6F9"/>
          </w:tcPr>
          <w:p>
            <w:pPr>
              <w:spacing w:after="0"/>
              <w:jc w:val="center"/>
            </w:pPr>
            <w:r/>
            <w:r>
              <w:rPr>
                <w:rFonts w:ascii="Calibri" w:hAnsi="Calibri" w:eastAsia="Calibri"/>
                <w:b/>
                <w:sz w:val="17"/>
              </w:rPr>
              <w:t>No.</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Tahap</w:t>
            </w:r>
          </w:p>
        </w:tc>
        <w:tc>
          <w:tcPr>
            <w:tcW w:type="dxa" w:w="2268"/>
            <w:vAlign w:val="center"/>
            <w:tcMar>
              <w:top w:w="80" w:type="dxa"/>
              <w:start w:w="120" w:type="dxa"/>
              <w:bottom w:w="80" w:type="dxa"/>
              <w:end w:w="120" w:type="dxa"/>
            </w:tcMar>
            <w:shd w:fill="F4F6F9"/>
          </w:tcPr>
          <w:p>
            <w:pPr>
              <w:spacing w:after="0"/>
              <w:jc w:val="center"/>
            </w:pPr>
            <w:r/>
            <w:r>
              <w:rPr>
                <w:rFonts w:ascii="Calibri" w:hAnsi="Calibri" w:eastAsia="Calibri"/>
                <w:b/>
                <w:sz w:val="17"/>
              </w:rPr>
              <w:t>Waktu</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Luaran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1</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Analyze: studi literatur dan analisis kebutuhan</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6-16 April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Data kebutuhan dan indikator penelitian.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2</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Design: rancangan platform dan instrumen</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17-30 April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Blueprint PRIMA+, kisi-kisi, dan instrumen.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3</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Develop: pembuatan prototipe</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1-25 Mei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Prototipe PRIMA+ versi uji.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Validate: validasi dan revisi awal</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26 Mei-5 Juni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kelayakan dan daftar revisi.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5</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Implement: pretest, uji coba, posttest</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6-30 Juni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Data efektivitas dan respons siswa.</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Evaluate: analisis dan revisi akhir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1-25 Juli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Produk revisi dan hasil analisis.</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7</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Penyusunan laporan akhir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26 Juli-20 Agustus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Laporan penelitian final.</w:t>
            </w:r>
          </w:p>
        </w:tc>
      </w:tr>
    </w:tbl>
    <w:p/>
    <w:p>
      <w:pPr>
        <w:pStyle w:val="Heading1"/>
      </w:pPr>
      <w:r>
        <w:t>PERNYATAAN PENGGUNAAN ARTIFICIAL INTELLIGENCE (AI)</w:t>
      </w:r>
    </w:p>
    <w:p>
      <w:r>
        <w:t>Penelitian ini menggunakan bantuan Artificial Intelligence (AI), yaitu Gemini dan ChatGPT, secara terbatas. AI digunakan untuk membantu mencari referensi awal, memahami teori, merapikan kerangka metodologi, dan mencari alternatif ide alur permainan atau kuis bahasa. Namun, keputusan penelitian, penyusunan instrumen, pengembangan produk, pengambilan data, analisis data, dan penarikan kesimpulan tetap dilakukan oleh peneliti. AI tidak digunakan untuk membuat data palsu, menggantikan proses uji coba, atau menulis hasil penelitian tanpa verifikasi.</w:t>
      </w:r>
    </w:p>
    <w:p>
      <w:pPr>
        <w:pStyle w:val="Heading1"/>
      </w:pPr>
      <w:r>
        <w:t>DAFTAR PUSTAKA</w:t>
      </w:r>
    </w:p>
    <w:p>
      <w:pPr>
        <w:ind w:hanging="425" w:left="425"/>
        <w:jc w:val="left"/>
      </w:pPr>
      <w:r>
        <w:t>Al-Dosakee, K., &amp; Ozdamli, F. (2021). Gamification in teaching and learning languages: A systematic literature review. Revista Romaneasca pentru Educatie Multidimensionala, 13(2), 559-577. https://doi.org/10.18662/rrem/13.2/436</w:t>
      </w:r>
    </w:p>
    <w:p>
      <w:pPr>
        <w:ind w:hanging="425" w:left="425"/>
        <w:jc w:val="left"/>
      </w:pPr>
      <w:r>
        <w:t>Alwi, H., &amp; Sugono, D. (2011). Politik Bahasa Nasional. Badan Pengembangan dan Pembinaan Bahasa.</w:t>
      </w:r>
    </w:p>
    <w:p>
      <w:pPr>
        <w:ind w:hanging="425" w:left="425"/>
        <w:jc w:val="left"/>
      </w:pPr>
      <w:r>
        <w:t>Amelia, S. R., Siroj, M. B., &amp; Afgani, M. W. (2024). Analisis perkembangan bahasa Indonesia di era digital: Tantangan dan peluang. Jurnal Multidisiplin Dehasen, 3(3), 125-132. https://doi.org/10.37676/mude.v3i3.5792</w:t>
      </w:r>
    </w:p>
    <w:p>
      <w:pPr>
        <w:ind w:hanging="425" w:left="425"/>
        <w:jc w:val="left"/>
      </w:pPr>
      <w:r>
        <w:t>Balai Bahasa Provinsi Jambi. (2025). UKBI jadi instrumen strategis wujudkan kemahiran berbahasa Indonesia yang terstandar. Kementerian Pendidikan Dasar dan Menengah.</w:t>
      </w:r>
    </w:p>
    <w:p>
      <w:pPr>
        <w:ind w:hanging="425" w:left="425"/>
        <w:jc w:val="left"/>
      </w:pPr>
      <w:r>
        <w:t>Branch, R. M. (2009). Instructional Design: The ADDIE Approach. Springer. https://doi.org/10.1007/978-0-387-09506-6</w:t>
      </w:r>
    </w:p>
    <w:p>
      <w:pPr>
        <w:ind w:hanging="425" w:left="425"/>
        <w:jc w:val="left"/>
      </w:pPr>
      <w:r>
        <w:t>Carter, R. (2003). Language awareness. ELT Journal, 57(1), 64-65. https://doi.org/10.1093/elt/57.1.64</w:t>
      </w:r>
    </w:p>
    <w:p>
      <w:pPr>
        <w:ind w:hanging="425" w:left="425"/>
        <w:jc w:val="left"/>
      </w:pPr>
      <w:r>
        <w:t>Chaer, A., &amp; Agustina, L. (2014). Sosiolinguistik: Perkenalan awal. Rineka Cipta.</w:t>
      </w:r>
    </w:p>
    <w:p>
      <w:pPr>
        <w:ind w:hanging="425" w:left="425"/>
        <w:jc w:val="left"/>
      </w:pPr>
      <w:r>
        <w:t>Crystal, D. (2011). Internet Linguistics: A Student Guide. Routledge.</w:t>
      </w:r>
    </w:p>
    <w:p>
      <w:pPr>
        <w:ind w:hanging="425" w:left="425"/>
        <w:jc w:val="left"/>
      </w:pPr>
      <w:r>
        <w:t>Fairclough, N. (1992). Critical Language Awareness. Longman.</w:t>
      </w:r>
    </w:p>
    <w:p>
      <w:pPr>
        <w:ind w:hanging="425" w:left="425"/>
        <w:jc w:val="left"/>
      </w:pPr>
      <w:r>
        <w:t>Garvin, P. L., &amp; Mathiot, M. (1968). The urbanization of the Guarani language: A problem in language and culture. In J. A. Fishman (Ed.), Readings in the Sociology of Language (pp. 365-374). De Gruyter Mouton. https://doi.org/10.1515/9783110805376.365</w:t>
      </w:r>
    </w:p>
    <w:p>
      <w:pPr>
        <w:ind w:hanging="425" w:left="425"/>
        <w:jc w:val="left"/>
      </w:pPr>
      <w:r>
        <w:t>Luo, Z. (2023). The effectiveness of gamified tools for foreign language learning (FLL): A systematic review. Behavioral Sciences, 13(4), 331. https://doi.org/10.3390/bs13040331</w:t>
      </w:r>
    </w:p>
    <w:p>
      <w:pPr>
        <w:ind w:hanging="425" w:left="425"/>
        <w:jc w:val="left"/>
      </w:pPr>
      <w:r>
        <w:t>Prensky, M. (2001). Digital natives, digital immigrants. On the Horizon, 9(5), 1-6.</w:t>
      </w:r>
    </w:p>
    <w:p>
      <w:pPr>
        <w:ind w:hanging="425" w:left="425"/>
        <w:jc w:val="left"/>
      </w:pPr>
      <w:r>
        <w:t>Purba, E. N., Togatorop, D. P., Simbolon, A., &amp; Sari, Y. (2024). Analisis pengaruh media sosial terhadap keberagaman bahasa: Campur kode sebagai tren komunikasi anak muda. Atmosfer: Jurnal Pendidikan, Bahasa, Sastra, Seni, Budaya, dan Sosial Humaniora, 2(4), 184-194. https://doi.org/10.59024/atmosfer.v2i4.1060</w:t>
      </w:r>
    </w:p>
    <w:p>
      <w:pPr>
        <w:ind w:hanging="425" w:left="425"/>
        <w:jc w:val="left"/>
      </w:pPr>
      <w: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ind w:hanging="425" w:left="425"/>
        <w:jc w:val="left"/>
      </w:pPr>
      <w:r>
        <w:t>Sugiyono. (2019). Metode Penelitian dan Pengembangan: Research and Development. Alfabeta.</w:t>
      </w:r>
    </w:p>
    <w:p>
      <w:pPr>
        <w:ind w:hanging="425" w:left="425"/>
        <w:jc w:val="left"/>
      </w:pPr>
      <w:r>
        <w:t>Sugono, D. (2019). Bahasa Indonesia di era globalisasi. Badan Pengembangan dan Pembinaan Bahasa.</w:t>
      </w:r>
    </w:p>
    <w:p>
      <w:pPr>
        <w:pStyle w:val="Heading1"/>
      </w:pPr>
      <w:r>
        <w:t>LAMPIRAN A. KISI-KISI INSTRUMEN KONSTRUK LOYALITAS BERBAHASA INDONESIA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Konstruk</w:t>
            </w:r>
          </w:p>
        </w:tc>
        <w:tc>
          <w:tcPr>
            <w:tcW w:type="dxa" w:w="1872"/>
          </w:tcPr>
          <w:p>
            <w:r>
              <w:t>Indikator</w:t>
            </w:r>
          </w:p>
        </w:tc>
        <w:tc>
          <w:tcPr>
            <w:tcW w:type="dxa" w:w="1872"/>
          </w:tcPr>
          <w:p>
            <w:r>
              <w:t>Jumlah Butir</w:t>
            </w:r>
          </w:p>
        </w:tc>
        <w:tc>
          <w:tcPr>
            <w:tcW w:type="dxa" w:w="1872"/>
          </w:tcPr>
          <w:p>
            <w:r>
              <w:t>Contoh Pernyataan</w:t>
            </w:r>
          </w:p>
        </w:tc>
        <w:tc>
          <w:tcPr>
            <w:tcW w:type="dxa" w:w="1872"/>
          </w:tcPr>
          <w:p>
            <w:r>
              <w:t>Instrumen/Sumber Data</w:t>
            </w:r>
          </w:p>
        </w:tc>
      </w:tr>
      <w:tr>
        <w:tc>
          <w:tcPr>
            <w:tcW w:type="dxa" w:w="1872"/>
          </w:tcPr>
          <w:p>
            <w:r>
              <w:t>Loyalitas berbahasa Indonesia</w:t>
            </w:r>
          </w:p>
        </w:tc>
        <w:tc>
          <w:tcPr>
            <w:tcW w:type="dxa" w:w="1872"/>
          </w:tcPr>
          <w:p>
            <w:r>
              <w:t>Sikap positif</w:t>
            </w:r>
          </w:p>
        </w:tc>
        <w:tc>
          <w:tcPr>
            <w:tcW w:type="dxa" w:w="1872"/>
          </w:tcPr>
          <w:p>
            <w:r>
              <w:t>4</w:t>
            </w:r>
          </w:p>
        </w:tc>
        <w:tc>
          <w:tcPr>
            <w:tcW w:type="dxa" w:w="1872"/>
          </w:tcPr>
          <w:p>
            <w:r>
              <w:t>Bahasa Indonesia tetap penting digunakan di media digital.</w:t>
            </w:r>
          </w:p>
        </w:tc>
        <w:tc>
          <w:tcPr>
            <w:tcW w:type="dxa" w:w="1872"/>
          </w:tcPr>
          <w:p>
            <w:r>
              <w:t>Kuesioner Likert</w:t>
            </w:r>
          </w:p>
        </w:tc>
      </w:tr>
      <w:tr>
        <w:tc>
          <w:tcPr>
            <w:tcW w:type="dxa" w:w="1872"/>
          </w:tcPr>
          <w:p>
            <w:r>
              <w:t>Loyalitas berbahasa Indonesia</w:t>
            </w:r>
          </w:p>
        </w:tc>
        <w:tc>
          <w:tcPr>
            <w:tcW w:type="dxa" w:w="1872"/>
          </w:tcPr>
          <w:p>
            <w:r>
              <w:t>Kesetiaan penggunaan</w:t>
            </w:r>
          </w:p>
        </w:tc>
        <w:tc>
          <w:tcPr>
            <w:tcW w:type="dxa" w:w="1872"/>
          </w:tcPr>
          <w:p>
            <w:r>
              <w:t>4</w:t>
            </w:r>
          </w:p>
        </w:tc>
        <w:tc>
          <w:tcPr>
            <w:tcW w:type="dxa" w:w="1872"/>
          </w:tcPr>
          <w:p>
            <w:r>
              <w:t>Saya memilih bahasa Indonesia yang jelas saat menulis informasi sekolah.</w:t>
            </w:r>
          </w:p>
        </w:tc>
        <w:tc>
          <w:tcPr>
            <w:tcW w:type="dxa" w:w="1872"/>
          </w:tcPr>
          <w:p>
            <w:r>
              <w:t>Kuesioner Likert</w:t>
            </w:r>
          </w:p>
        </w:tc>
      </w:tr>
      <w:tr>
        <w:tc>
          <w:tcPr>
            <w:tcW w:type="dxa" w:w="1872"/>
          </w:tcPr>
          <w:p>
            <w:r>
              <w:t>Loyalitas berbahasa Indonesia</w:t>
            </w:r>
          </w:p>
        </w:tc>
        <w:tc>
          <w:tcPr>
            <w:tcW w:type="dxa" w:w="1872"/>
          </w:tcPr>
          <w:p>
            <w:r>
              <w:t>Kesadaran norma</w:t>
            </w:r>
          </w:p>
        </w:tc>
        <w:tc>
          <w:tcPr>
            <w:tcW w:type="dxa" w:w="1872"/>
          </w:tcPr>
          <w:p>
            <w:r>
              <w:t>4</w:t>
            </w:r>
          </w:p>
        </w:tc>
        <w:tc>
          <w:tcPr>
            <w:tcW w:type="dxa" w:w="1872"/>
          </w:tcPr>
          <w:p>
            <w:r>
              <w:t>Saya dapat membedakan bahasa santai dan bahasa formal.</w:t>
            </w:r>
          </w:p>
        </w:tc>
        <w:tc>
          <w:tcPr>
            <w:tcW w:type="dxa" w:w="1872"/>
          </w:tcPr>
          <w:p>
            <w:r>
              <w:t>Kuesioner Likert dan tes skenario</w:t>
            </w:r>
          </w:p>
        </w:tc>
      </w:tr>
      <w:tr>
        <w:tc>
          <w:tcPr>
            <w:tcW w:type="dxa" w:w="1872"/>
          </w:tcPr>
          <w:p>
            <w:r>
              <w:t>Loyalitas berbahasa Indonesia</w:t>
            </w:r>
          </w:p>
        </w:tc>
        <w:tc>
          <w:tcPr>
            <w:tcW w:type="dxa" w:w="1872"/>
          </w:tcPr>
          <w:p>
            <w:r>
              <w:t>Kebanggaan bahasa</w:t>
            </w:r>
          </w:p>
        </w:tc>
        <w:tc>
          <w:tcPr>
            <w:tcW w:type="dxa" w:w="1872"/>
          </w:tcPr>
          <w:p>
            <w:r>
              <w:t>4</w:t>
            </w:r>
          </w:p>
        </w:tc>
        <w:tc>
          <w:tcPr>
            <w:tcW w:type="dxa" w:w="1872"/>
          </w:tcPr>
          <w:p>
            <w:r>
              <w:t>Saya bangga menggunakan bahasa Indonesia dengan baik.</w:t>
            </w:r>
          </w:p>
        </w:tc>
        <w:tc>
          <w:tcPr>
            <w:tcW w:type="dxa" w:w="1872"/>
          </w:tcPr>
          <w:p>
            <w:r>
              <w:t>Kuesioner Likert</w:t>
            </w:r>
          </w:p>
        </w:tc>
      </w:tr>
      <w:tr>
        <w:tc>
          <w:tcPr>
            <w:tcW w:type="dxa" w:w="1872"/>
          </w:tcPr>
          <w:p>
            <w:r>
              <w:t>Loyalitas berbahasa Indonesia</w:t>
            </w:r>
          </w:p>
        </w:tc>
        <w:tc>
          <w:tcPr>
            <w:tcW w:type="dxa" w:w="1872"/>
          </w:tcPr>
          <w:p>
            <w:r>
              <w:t>Pemilihan ragam bahasa</w:t>
            </w:r>
          </w:p>
        </w:tc>
        <w:tc>
          <w:tcPr>
            <w:tcW w:type="dxa" w:w="1872"/>
          </w:tcPr>
          <w:p>
            <w:r>
              <w:t>4</w:t>
            </w:r>
          </w:p>
        </w:tc>
        <w:tc>
          <w:tcPr>
            <w:tcW w:type="dxa" w:w="1872"/>
          </w:tcPr>
          <w:p>
            <w:r>
              <w:t>Saya menyesuaikan bahasa dengan lawan bicara dan tujuan komunikasi.</w:t>
            </w:r>
          </w:p>
        </w:tc>
        <w:tc>
          <w:tcPr>
            <w:tcW w:type="dxa" w:w="1872"/>
          </w:tcPr>
          <w:p>
            <w:r>
              <w:t>Kuesioner Likert, kuis PRIMA+, dan refleksi</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Penelitian PRIMA+ Revisi Final</dc:title>
  <dc:subject/>
  <dc:creator/>
  <cp:keywords/>
  <dc:description/>
  <cp:lastModifiedBy/>
  <cp:revision>1</cp:revision>
  <dcterms:created xsi:type="dcterms:W3CDTF">2013-12-23T23:15:00Z</dcterms:created>
  <dcterms:modified xsi:type="dcterms:W3CDTF">2013-12-23T23:15:00Z</dcterms:modified>
  <cp:category/>
</cp:coreProperties>
</file>