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8"/>
        </w:rPr>
        <w:t>PROPOSAL PENELITIAN</w:t>
      </w:r>
    </w:p>
    <w:p>
      <w:pPr>
        <w:jc w:val="center"/>
      </w:pPr>
      <w:r>
        <w:rPr>
          <w:rFonts w:ascii="Calibri" w:hAnsi="Calibri" w:eastAsia="Calibri"/>
          <w:b/>
          <w:sz w:val="26"/>
        </w:rPr>
        <w:t>PENGEMBANGAN PLATFORM PRIMA+ BERBASIS KESADARAN BERBAHASA UNTUK MENGUATKAN LOYALITAS BAHASA INDONESIA REMAJA</w:t>
      </w:r>
    </w:p>
    <w:p>
      <w:pPr>
        <w:jc w:val="center"/>
      </w:pPr>
      <w:r>
        <w:t>Ketua: Larisa Dianti</w:t>
      </w:r>
    </w:p>
    <w:p>
      <w:pPr>
        <w:jc w:val="center"/>
      </w:pPr>
      <w:r>
        <w:t>Anggota: Gusti Nazwa Azizah</w:t>
      </w:r>
    </w:p>
    <w:p>
      <w:pPr>
        <w:jc w:val="center"/>
      </w:pPr>
      <w:r>
        <w:t>Bidang Ilmu Sosial Humaniora (ISH), Subbidang Bahasa dan Sastra</w:t>
      </w:r>
    </w:p>
    <w:p>
      <w:pPr>
        <w:jc w:val="center"/>
      </w:pPr>
      <w:r>
        <w:t>MAN Kotawaringin Timur, Kalimantan Tengah</w:t>
      </w:r>
    </w:p>
    <w:p>
      <w:pPr>
        <w:jc w:val="center"/>
      </w:pPr>
      <w:r>
        <w:t>Tahun 2026</w:t>
      </w:r>
    </w:p>
    <w:p>
      <w:r>
        <w:br w:type="page"/>
      </w:r>
    </w:p>
    <w:p>
      <w:pPr>
        <w:pStyle w:val="Heading1"/>
      </w:pPr>
      <w:r>
        <w:t>BAB 1. PENDAHULUAN</w:t>
      </w:r>
    </w:p>
    <w:p>
      <w:pPr>
        <w:pStyle w:val="Heading2"/>
      </w:pPr>
      <w:r>
        <w:t>1.1 Latar Belakang</w:t>
      </w:r>
    </w:p>
    <w:p>
      <w:r>
        <w:t>Bahasa Indonesia memegang peran penting dalam kehidupan bangsa. Ia tidak hanya menjadi alat komunikasi, tetapi juga menjadi bahasa persatuan, bahasa pendidikan, dan penanda identitas kebangsaan. Bagi remaja, bahasa juga berfungsi sebagai cara untuk menunjukkan kedekatan kelompok, membangun citra diri, dan berpartisipasi di ruang digital. Oleh sebab itu, upaya menguatkan loyalitas terhadap bahasa Indonesia sebaiknya tidak berhenti pada hafalan kaidah, tetapi diarahkan pada tumbuhnya kesadaran untuk memilih ragam bahasa yang tepat sesuai situasi.</w:t>
      </w:r>
    </w:p>
    <w:p>
      <w:r>
        <w:t>Perkembangan media sosial membuat cara berkomunikasi remaja semakin cepat, ringkas, dan variatif. Dalam percakapan digital, mereka sering memakai slang, emotikon, campur kode Indonesia-Inggris, serta istilah populer seperti happy, healing, deadline, vibes, atau relate. Fenomena seperti ini tidak dapat langsung disebut sebagai kesalahan, sebab variasi bahasa merupakan bagian dari dinamika sosial. Persoalan baru muncul ketika remaja belum mampu membedakan kapan bahasa santai dapat digunakan, kapan campur kode masih wajar, dan kapan bahasa Indonesia yang lebih sesuai norma perlu dipilih.</w:t>
      </w:r>
    </w:p>
    <w:p>
      <w:r>
        <w:t>Kebutuhan penguatan bahasa Indonesia pada pelajar juga memiliki dasar empiris. Balai Bahasa Provinsi Jambi (2025) menjelaskan bahwa UKBI digunakan sebagai instrumen strategis untuk mendorong kemahiran berbahasa Indonesia yang terstandar. Data pelajar tahun 2024 yang disoroti dalam laporan tersebut menunjukkan bahwa pembinaan kemahiran berbahasa masih perlu diperkuat. Dengan demikian, pembinaan bahasa Indonesia bagi pelajar perlu dirancang dengan cara yang lebih dekat dengan dunia mereka, termasuk kebiasaan berkomunikasi di ruang digital.</w:t>
      </w:r>
    </w:p>
    <w:p>
      <w:r>
        <w:t>Pendekatan kesadaran berbahasa atau language awareness menjadi relevan karena menekankan kepekaan terhadap bentuk, fungsi, konteks, dan dampak sosial penggunaan bahasa (Carter, 2003; Fairclough, 1992). Melalui pendekatan ini, remaja tidak sekadar diberi larangan untuk memakai campur kode atau bahasa gaul. Mereka justru diajak melihat alasan di balik pilihan bahasa, memahami konteks pemakaiannya, lalu mengambil keputusan berbahasa secara lebih sadar. Cara pandang ini lebih adil secara sosiolinguistik dan lebih dekat dengan kenyataan komunikasi remaja saat ini.</w:t>
      </w:r>
    </w:p>
    <w:p>
      <w:r>
        <w:t>Berdasarkan persoalan tersebut, penelitian ini menawarkan PRIMA+ sebagai platform digital berbasis kesadaran berbahasa. Platform ini dirancang sebagai media interaktif yang memadukan contoh kasus bahasa digital, kuis kontekstual, refleksi pilihan bahasa, sistem skor, dan umpan balik. Dengan demikian, penelitian ini tidak hanya menghasilkan sebuah produk, tetapi juga menguji sejauh mana PRIMA+ dapat membantu menguatkan loyalitas bahasa Indonesia remaja secara terukur.</w:t>
      </w:r>
    </w:p>
    <w:p>
      <w:pPr>
        <w:pStyle w:val="Heading2"/>
      </w:pPr>
      <w:r>
        <w:t>1.2 Fokus Masalah dan Gap Penelitian</w:t>
      </w:r>
    </w:p>
    <w:p>
      <w:r>
        <w:t>Celah utama penelitian ini terletak pada masih terbatasnya model penguatan loyalitas bahasa Indonesia remaja yang menghubungkan kesadaran berbahasa dengan media digital interaktif. Kajian tentang campur kode dan bahasa digital umumnya lebih banyak menjelaskan fenomena, sedangkan penelitian gamifikasi bahasa sering berfokus pada pembelajaran bahasa asing. PRIMA+ ditempatkan untuk menjembatani celah tersebut, yaitu sebagai platform yang membantu remaja memahami konteks, menumbuhkan kebanggaan, dan mempertahankan penggunaan bahasa Indonesia secara lebih sadar.</w:t>
      </w:r>
    </w:p>
    <w:p>
      <w:pPr>
        <w:pStyle w:val="Heading2"/>
      </w:pPr>
      <w:r>
        <w:t>1.3 Rumusan Masalah</w:t>
      </w:r>
    </w:p>
    <w:p>
      <w:pPr>
        <w:pStyle w:val="ListNumber"/>
        <w:spacing w:after="80"/>
      </w:pPr>
      <w:r>
        <w:t>Bagaimana kebutuhan dan rancangan platform PRIMA+ berbasis kesadaran berbahasa untuk menguatkan loyalitas bahasa Indonesia remaja?</w:t>
      </w:r>
    </w:p>
    <w:p>
      <w:pPr>
        <w:pStyle w:val="ListNumber"/>
        <w:spacing w:after="80"/>
      </w:pPr>
      <w:r>
        <w:t>Bagaimana kelayakan materi, bahasa, media, dan instrumen PRIMA+ berdasarkan validasi guru atau ahli?</w:t>
      </w:r>
    </w:p>
    <w:p>
      <w:pPr>
        <w:pStyle w:val="ListNumber"/>
        <w:spacing w:after="80"/>
      </w:pPr>
      <w:r>
        <w:t>Bagaimana efektivitas penggunaan PRIMA+ terhadap peningkatan loyalitas bahasa Indonesia remaja berdasarkan indikator sikap positif, kesetiaan penggunaan, kesadaran norma, kebanggaan bahasa, dan kemampuan memilih ragam bahasa sesuai konteks?</w:t>
      </w:r>
    </w:p>
    <w:p>
      <w:pPr>
        <w:pStyle w:val="Heading2"/>
      </w:pPr>
      <w:r>
        <w:t>1.4 Tujuan Penelitian</w:t>
      </w:r>
    </w:p>
    <w:p>
      <w:pPr>
        <w:pStyle w:val="ListNumber"/>
        <w:spacing w:after="80"/>
      </w:pPr>
      <w:r>
        <w:t>Mengembangkan platform PRIMA+ berbasis kesadaran berbahasa sesuai kebutuhan remaja pengguna media digital.</w:t>
      </w:r>
    </w:p>
    <w:p>
      <w:pPr>
        <w:pStyle w:val="ListNumber"/>
        <w:spacing w:after="80"/>
      </w:pPr>
      <w:r>
        <w:t>Menilai kelayakan PRIMA+ dari aspek materi, bahasa, media, dan instrumen penelitian.</w:t>
      </w:r>
    </w:p>
    <w:p>
      <w:pPr>
        <w:pStyle w:val="ListNumber"/>
        <w:spacing w:after="80"/>
      </w:pPr>
      <w:r>
        <w:t>Menguji efektivitas PRIMA+ dalam menguatkan loyalitas bahasa Indonesia remaja melalui desain pretest-posttest.</w:t>
      </w:r>
    </w:p>
    <w:p>
      <w:pPr>
        <w:pStyle w:val="Heading2"/>
      </w:pPr>
      <w:r>
        <w:t>1.5 Manfaat Penelitian</w:t>
      </w:r>
    </w:p>
    <w:p>
      <w:pPr>
        <w:pStyle w:val="Heading3"/>
      </w:pPr>
      <w:r>
        <w:t>1.5.1 Manfaat Teoretis</w:t>
      </w:r>
    </w:p>
    <w:p>
      <w:r>
        <w:t>Secara teoretis, penelitian ini diharapkan memperkaya kajian sosiolinguistik terapan dan pembelajaran bahasa Indonesia. Kontribusinya terutama terletak pada pengembangan media digital yang tidak hanya mengajarkan kaidah bahasa, tetapi juga menumbuhkan sikap, kesadaran, dan loyalitas berbahasa.</w:t>
      </w:r>
    </w:p>
    <w:p>
      <w:pPr>
        <w:pStyle w:val="Heading3"/>
      </w:pPr>
      <w:r>
        <w:t>1.5.2 Manfaat Praktis</w:t>
      </w:r>
    </w:p>
    <w:p>
      <w:pPr>
        <w:pStyle w:val="ListBullet"/>
        <w:spacing w:after="80"/>
      </w:pPr>
      <w:r>
        <w:t>Bagi siswa, PRIMA+ diharapkan membantu mereka memahami penggunaan bahasa Indonesia secara lebih sadar, kontekstual, dan tetap relevan dengan kebiasaan komunikasi digital.</w:t>
      </w:r>
    </w:p>
    <w:p>
      <w:pPr>
        <w:pStyle w:val="ListBullet"/>
        <w:spacing w:after="80"/>
      </w:pPr>
      <w:r>
        <w:t>Bagi guru Bahasa Indonesia, PRIMA+ dapat menjadi contoh media pembelajaran sikap bahasa yang memadukan materi, latihan, dan pengambilan keputusan berbahasa dalam situasi yang dekat dengan kehidupan siswa.</w:t>
      </w:r>
    </w:p>
    <w:p>
      <w:pPr>
        <w:pStyle w:val="ListBullet"/>
        <w:spacing w:after="80"/>
      </w:pPr>
      <w:r>
        <w:t>Bagi sekolah, penelitian ini dapat mendukung program literasi, pembentukan karakter kebahasaan, dan penguatan identitas nasional melalui kegiatan yang lebih dekat dengan budaya digital siswa.</w:t>
      </w:r>
    </w:p>
    <w:p>
      <w:pPr>
        <w:pStyle w:val="ListBullet"/>
        <w:spacing w:after="80"/>
      </w:pPr>
      <w:r>
        <w:t>Bagi pengembang media pendidikan, penelitian ini memberi gambaran awal mengenai rancangan produk digital yang dapat dikembangkan lebih lanjut untuk pembelajaran bahasa Indonesia.</w:t>
      </w:r>
    </w:p>
    <w:p>
      <w:pPr>
        <w:pStyle w:val="Heading2"/>
      </w:pPr>
      <w:r>
        <w:t>1.6 Batasan Penelitian</w:t>
      </w:r>
    </w:p>
    <w:p>
      <w:pPr>
        <w:pStyle w:val="ListBullet"/>
        <w:spacing w:after="80"/>
      </w:pPr>
      <w:r>
        <w:t>Penelitian ini dibatasi pada uji coba terbatas di MAN Kotawaringin Timur.</w:t>
      </w:r>
    </w:p>
    <w:p>
      <w:pPr>
        <w:pStyle w:val="ListBullet"/>
        <w:spacing w:after="80"/>
      </w:pPr>
      <w:r>
        <w:t>Produk PRIMA+ dalam penelitian ini masih difokuskan sebagai prototipe pembelajaran interaktif, belum sebagai aplikasi komersial yang lengkap.</w:t>
      </w:r>
    </w:p>
    <w:p>
      <w:pPr>
        <w:pStyle w:val="ListBullet"/>
        <w:spacing w:after="80"/>
      </w:pPr>
      <w:r>
        <w:t>Loyalitas bahasa Indonesia diukur melalui indikator sikap dan perilaku berbahasa yang dapat diamati lewat kuesioner, tes skenario, serta aktivitas siswa saat menggunakan platform.</w:t>
      </w:r>
    </w:p>
    <w:p>
      <w:pPr>
        <w:pStyle w:val="ListBullet"/>
        <w:spacing w:after="80"/>
      </w:pPr>
      <w:r>
        <w:t>Data empiris lokal tidak diasumsikan sejak awal. Data tersebut akan diperoleh melalui survei kebutuhan, pretest, posttest, dan refleksi pengguna selama proses penelitian.</w:t>
      </w:r>
    </w:p>
    <w:p>
      <w:pPr>
        <w:pStyle w:val="Heading1"/>
      </w:pPr>
      <w:r>
        <w:t>BAB 2. TINJAUAN PUSTAKA</w:t>
      </w:r>
    </w:p>
    <w:p>
      <w:pPr>
        <w:pStyle w:val="Heading2"/>
      </w:pPr>
      <w:r>
        <w:t>2.1 Bahasa Indonesia, Remaja, dan Komunikasi Digital</w:t>
      </w:r>
    </w:p>
    <w:p>
      <w:r>
        <w:t>Ruang digital membuat komunikasi remaja berlangsung cepat, multimodal, dan penuh variasi. Kajian internet linguistics menunjukkan bahwa teknologi digital dapat mengubah praktik bahasa, pola interaksi, dan norma komunikasi (Crystal, 2011). Dalam konteks Indonesia, penggunaan bahasa gaul dan campur kode di media sosial perlu dipahami sebagai gejala sosial, sekaligus sebagai tantangan bagi pembinaan bahasa Indonesia.</w:t>
      </w:r>
    </w:p>
    <w:p>
      <w:pPr>
        <w:pStyle w:val="Heading2"/>
      </w:pPr>
      <w:r>
        <w:t>2.2 Kesadaran Berbahasa</w:t>
      </w:r>
    </w:p>
    <w:p>
      <w:r>
        <w:t>Kesadaran berbahasa menekankan kepekaan terhadap struktur, fungsi, konteks, dan konsekuensi sosial dari penggunaan bahasa. Carter (2003) memandang language awareness sebagai peningkatan kesadaran terhadap bentuk dan fungsi bahasa, sedangkan Fairclough (1992) menekankan dimensi kritis bahasa dalam relasi sosial. Dalam penelitian ini, kesadaran berbahasa diarahkan pada kemampuan siswa menilai pilihan bahasa dalam konteks formal, informal, sekolah, dan media sosial.</w:t>
      </w:r>
    </w:p>
    <w:p>
      <w:pPr>
        <w:pStyle w:val="Heading2"/>
      </w:pPr>
      <w:r>
        <w:t>2.3 Loyalitas Bahasa Indonesia</w:t>
      </w:r>
    </w:p>
    <w:p>
      <w:r>
        <w:t>Loyalitas bahasa dapat dipahami sebagai sikap untuk mempertahankan dan menggunakan bahasa sebagai bagian dari identitas sosial. Garvin dan Mathiot (1968) menempatkan loyalitas bahasa sebagai salah satu unsur sikap bahasa, bersama kebanggaan bahasa dan kesadaran terhadap norma. Dalam penelitian ini, loyalitas bahasa Indonesia tidak dimaknai sebagai penolakan mutlak terhadap bahasa asing atau bahasa gaul. Loyalitas dimaknai sebagai kemampuan dan kemauan untuk menjaga fungsi bahasa Indonesia secara tepat sesuai konteks.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vAlign w:val="center"/>
            <w:tcMar>
              <w:top w:w="80" w:type="dxa"/>
              <w:start w:w="120" w:type="dxa"/>
              <w:bottom w:w="80" w:type="dxa"/>
              <w:end w:w="120" w:type="dxa"/>
            </w:tcMar>
            <w:shd w:fill="F4F6F9"/>
          </w:tcPr>
          <w:p>
            <w:pPr>
              <w:spacing w:after="0"/>
              <w:jc w:val="center"/>
            </w:pPr>
            <w:r/>
            <w:r>
              <w:rPr>
                <w:rFonts w:ascii="Calibri" w:hAnsi="Calibri" w:eastAsia="Calibri"/>
                <w:b/>
                <w:sz w:val="17"/>
              </w:rPr>
              <w:t>Indikator</w:t>
            </w:r>
          </w:p>
        </w:tc>
        <w:tc>
          <w:tcPr>
            <w:tcW w:type="dxa" w:w="2665"/>
            <w:vAlign w:val="center"/>
            <w:tcMar>
              <w:top w:w="80" w:type="dxa"/>
              <w:start w:w="120" w:type="dxa"/>
              <w:bottom w:w="80" w:type="dxa"/>
              <w:end w:w="120" w:type="dxa"/>
            </w:tcMar>
            <w:shd w:fill="F4F6F9"/>
          </w:tcPr>
          <w:p>
            <w:pPr>
              <w:spacing w:after="0"/>
              <w:jc w:val="center"/>
            </w:pPr>
            <w:r/>
            <w:r>
              <w:rPr>
                <w:rFonts w:ascii="Calibri" w:hAnsi="Calibri" w:eastAsia="Calibri"/>
                <w:b/>
                <w:sz w:val="17"/>
              </w:rPr>
              <w:t>Definisi Operasional</w:t>
            </w:r>
          </w:p>
        </w:tc>
        <w:tc>
          <w:tcPr>
            <w:tcW w:type="dxa" w:w="1757"/>
            <w:vAlign w:val="center"/>
            <w:tcMar>
              <w:top w:w="80" w:type="dxa"/>
              <w:start w:w="120" w:type="dxa"/>
              <w:bottom w:w="80" w:type="dxa"/>
              <w:end w:w="120" w:type="dxa"/>
            </w:tcMar>
            <w:shd w:fill="F4F6F9"/>
          </w:tcPr>
          <w:p>
            <w:pPr>
              <w:spacing w:after="0"/>
              <w:jc w:val="center"/>
            </w:pPr>
            <w:r/>
            <w:r>
              <w:rPr>
                <w:rFonts w:ascii="Calibri" w:hAnsi="Calibri" w:eastAsia="Calibri"/>
                <w:b/>
                <w:sz w:val="17"/>
              </w:rPr>
              <w:t>Sumber Data</w:t>
            </w:r>
          </w:p>
        </w:tc>
        <w:tc>
          <w:tcPr>
            <w:tcW w:type="dxa" w:w="2948"/>
            <w:vAlign w:val="center"/>
            <w:tcMar>
              <w:top w:w="80" w:type="dxa"/>
              <w:start w:w="120" w:type="dxa"/>
              <w:bottom w:w="80" w:type="dxa"/>
              <w:end w:w="120" w:type="dxa"/>
            </w:tcMar>
            <w:shd w:fill="F4F6F9"/>
          </w:tcPr>
          <w:p>
            <w:pPr>
              <w:spacing w:after="0"/>
              <w:jc w:val="center"/>
            </w:pPr>
            <w:r/>
            <w:r>
              <w:rPr>
                <w:rFonts w:ascii="Calibri" w:hAnsi="Calibri" w:eastAsia="Calibri"/>
                <w:b/>
                <w:sz w:val="17"/>
              </w:rPr>
              <w:t>Contoh Butir/Perilaku</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Sikap positif</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Penilaian bahwa bahasa Indonesia penting dan bernilai</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Kuesioner Likert</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Saya merasa bahasa Indonesia tetap penting di ruang digital.</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Kesetiaan penggunaan</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Kecenderungan memilih bahasa Indonesia pada konteks sekolah dan komunikasi resmi</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Skenario pilihan bahasa</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Memilih ragam Indonesia yang tepat untuk pengumuman kelas.</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Kesadaran norma</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Pemahaman perbedaan ragam baku, santai, slang, dan campur kode</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Tes skenario/kuis</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Mengenali konteks saat campur kode kurang tepat.</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Kebanggaan bahasa</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Rasa bangga dan percaya diri menggunakan bahasa Indonesia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Kuesioner Likert</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Tidak menganggap bahasa Indonesia kalah modern.</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Pemilihan ragam</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Kemampuan menyesuaikan bahasa dengan tujuan, audiens, dan media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Kuis PRIMA+ dan refleksi</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Menulis ulang caption agar sesuai konteks formal.</w:t>
            </w:r>
          </w:p>
        </w:tc>
      </w:tr>
    </w:tbl>
    <w:p/>
    <w:p>
      <w:pPr>
        <w:pStyle w:val="Heading2"/>
      </w:pPr>
      <w:r>
        <w:t>2.4 Platform Digital, Gamifikasi, dan Pembelajaran Bahasa</w:t>
      </w:r>
    </w:p>
    <w:p>
      <w:r>
        <w:t>Gamifikasi memanfaatkan unsur permainan, seperti poin, tantangan, misi, umpan balik, dan capaian, untuk meningkatkan keterlibatan belajar. Beberapa tinjauan sistematis menunjukkan bahwa gamifikasi dapat mendukung motivasi belajar bahasa, meskipun efektivitasnya sangat bergantung pada desain pedagogis, kualitas umpan balik, dan cara mengukur hasil belajar (Al-Dosakee &amp; Ozdamli, 2021; Luo, 2023; Shortt et al., 2021). Oleh karena itu, PRIMA+ tidak cukup hanya dibuat menarik secara tampilan. Platform ini juga perlu memiliki indikator, instrumen, dan mekanisme evaluasi yang jelas.</w:t>
      </w:r>
    </w:p>
    <w:p>
      <w:pPr>
        <w:pStyle w:val="Heading2"/>
      </w:pPr>
      <w:r>
        <w:t>2.5 Posisi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F4F6F9"/>
          </w:tcPr>
          <w:p>
            <w:pPr>
              <w:spacing w:after="0"/>
              <w:jc w:val="center"/>
            </w:pPr>
            <w:r/>
            <w:r>
              <w:rPr>
                <w:rFonts w:ascii="Calibri" w:hAnsi="Calibri" w:eastAsia="Calibri"/>
                <w:b/>
                <w:sz w:val="17"/>
              </w:rPr>
              <w:t>Klaster Kajian</w:t>
            </w:r>
          </w:p>
        </w:tc>
        <w:tc>
          <w:tcPr>
            <w:tcW w:type="dxa" w:w="2381"/>
            <w:vAlign w:val="center"/>
            <w:tcMar>
              <w:top w:w="80" w:type="dxa"/>
              <w:start w:w="120" w:type="dxa"/>
              <w:bottom w:w="80" w:type="dxa"/>
              <w:end w:w="120" w:type="dxa"/>
            </w:tcMar>
            <w:shd w:fill="F4F6F9"/>
          </w:tcPr>
          <w:p>
            <w:pPr>
              <w:spacing w:after="0"/>
              <w:jc w:val="center"/>
            </w:pPr>
            <w:r/>
            <w:r>
              <w:rPr>
                <w:rFonts w:ascii="Calibri" w:hAnsi="Calibri" w:eastAsia="Calibri"/>
                <w:b/>
                <w:sz w:val="17"/>
              </w:rPr>
              <w:t>Temuan Utama</w:t>
            </w:r>
          </w:p>
        </w:tc>
        <w:tc>
          <w:tcPr>
            <w:tcW w:type="dxa" w:w="2381"/>
            <w:vAlign w:val="center"/>
            <w:tcMar>
              <w:top w:w="80" w:type="dxa"/>
              <w:start w:w="120" w:type="dxa"/>
              <w:bottom w:w="80" w:type="dxa"/>
              <w:end w:w="120" w:type="dxa"/>
            </w:tcMar>
            <w:shd w:fill="F4F6F9"/>
          </w:tcPr>
          <w:p>
            <w:pPr>
              <w:spacing w:after="0"/>
              <w:jc w:val="center"/>
            </w:pPr>
            <w:r/>
            <w:r>
              <w:rPr>
                <w:rFonts w:ascii="Calibri" w:hAnsi="Calibri" w:eastAsia="Calibri"/>
                <w:b/>
                <w:sz w:val="17"/>
              </w:rPr>
              <w:t>Keterbatasan yang Disasar</w:t>
            </w:r>
          </w:p>
        </w:tc>
        <w:tc>
          <w:tcPr>
            <w:tcW w:type="dxa" w:w="2324"/>
            <w:vAlign w:val="center"/>
            <w:tcMar>
              <w:top w:w="80" w:type="dxa"/>
              <w:start w:w="120" w:type="dxa"/>
              <w:bottom w:w="80" w:type="dxa"/>
              <w:end w:w="120" w:type="dxa"/>
            </w:tcMar>
            <w:shd w:fill="F4F6F9"/>
          </w:tcPr>
          <w:p>
            <w:pPr>
              <w:spacing w:after="0"/>
              <w:jc w:val="center"/>
            </w:pPr>
            <w:r/>
            <w:r>
              <w:rPr>
                <w:rFonts w:ascii="Calibri" w:hAnsi="Calibri" w:eastAsia="Calibri"/>
                <w:b/>
                <w:sz w:val="17"/>
              </w:rPr>
              <w:t>Posisi PRIMA+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Bahasa digital dan campur kode</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Media sosial memunculkan variasi bahasa, campur kode, dan gaya komunikasi baru.</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Sering berhenti pada deskripsi fenomena.</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Mengubah fenomena menjadi materi refleksi dan kuis kontekstual.</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Kesadaran berbahasa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Kesadaran bahasa membantu siswa memahami fungsi dan konteks 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Belum selalu diwujudkan dalam media digital interaktif.</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Menjadikan language awareness sebagai prinsip desain platform.</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Gamifikasi 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Gamifikasi dapat meningkatkan motivasi, tetapi hasilnya bergantung pada desain.</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Banyak kajian berfokus pada bahasa asing.</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Menerapkan gamifikasi untuk penguatan loyalitas bahasa Indonesia.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R&amp;D media pembelajaran</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ADDIE memberi tahapan pengembangan sistematis.</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Sering kurang kuat dalam uji efektivitas.</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Menggabungkan ADDIE dengan pretest-posttest dan validasi ahli.</w:t>
            </w:r>
          </w:p>
        </w:tc>
      </w:tr>
    </w:tbl>
    <w:p/>
    <w:p>
      <w:pPr>
        <w:pStyle w:val="Heading1"/>
      </w:pPr>
      <w:r>
        <w:t>BAB 3. METODE PENELITIAN</w:t>
      </w:r>
    </w:p>
    <w:p>
      <w:pPr>
        <w:pStyle w:val="Heading2"/>
      </w:pPr>
      <w:r>
        <w:t>3.1 Desain Penelitian</w:t>
      </w:r>
    </w:p>
    <w:p>
      <w:r>
        <w:t>Penelitian ini menggunakan metode Research and Development (R&amp;D) dengan model ADDIE, yaitu Analyze, Design, Develop, Implement, dan Evaluate (Branch, 2009). Model ini dipilih karena sesuai untuk penelitian yang menghasilkan dan menguji sebuah produk pembelajaran. Untuk melihat efektivitas PRIMA+, penelitian menggunakan desain one-group pretest-posttest. Desain tersebut dianggap sesuai karena penelitian berfokus pada pengembangan prototipe dan uji coba terbatas, bukan pada perbandingan antarkelas dalam skala besar.</w:t>
      </w:r>
    </w:p>
    <w:p>
      <w:pPr>
        <w:pStyle w:val="Heading2"/>
      </w:pPr>
      <w:r>
        <w:t>3.2 Waktu dan Tempat Penelitian</w:t>
      </w:r>
    </w:p>
    <w:p>
      <w:r>
        <w:t>Penelitian direncanakan berlangsung pada April-Agustus 2026 di MAN Kotawaringin Timur, Kalimantan Tengah. Kegiatannya mencakup analisis kebutuhan, perancangan, pengembangan prototipe, validasi, uji coba terbatas, analisis data, revisi produk, dan penyusunan laporan akhir.</w:t>
      </w:r>
    </w:p>
    <w:p>
      <w:pPr>
        <w:pStyle w:val="Heading2"/>
      </w:pPr>
      <w:r>
        <w:t>3.3 Subjek Penelitian dan Sampling</w:t>
      </w:r>
    </w:p>
    <w:p>
      <w:r>
        <w:t>Subjek penelitian adalah siswa MAN Kotawaringin Timur kelas X atau XI yang aktif menggunakan media digital. Uji coba terbatas direncanakan melibatkan 30-40 siswa agar data pretest-posttest yang diperoleh lebih stabil dibandingkan uji coba dengan jumlah responden yang sangat kecil. Teknik pengambilan sampel menggunakan purposive sampling, dengan kriteria siswa aktif, bersedia mengikuti rangkaian penelitian, memiliki akses perangkat untuk mencoba platform, dan memperoleh izin sesuai ketentuan sekolah.</w:t>
      </w:r>
    </w:p>
    <w:p>
      <w:pPr>
        <w:pStyle w:val="Heading2"/>
      </w:pPr>
      <w:r>
        <w:t>3.4 Spesifikasi Produk PRIMA+</w:t>
      </w:r>
    </w:p>
    <w:tbl>
      <w:tblPr>
        <w:tblStyle w:val="TableGrid"/>
        <w:tblW w:type="auto" w:w="0"/>
        <w:jc w:val="center"/>
        <w:tblLook w:firstColumn="1" w:firstRow="1" w:lastColumn="0" w:lastRow="0" w:noHBand="0" w:noVBand="1" w:val="04A0"/>
      </w:tblPr>
      <w:tblGrid>
        <w:gridCol w:w="3120"/>
        <w:gridCol w:w="3120"/>
        <w:gridCol w:w="3120"/>
      </w:tblGrid>
      <w:tr>
        <w:tc>
          <w:tcPr>
            <w:tcW w:type="dxa" w:w="1984"/>
            <w:vAlign w:val="center"/>
            <w:tcMar>
              <w:top w:w="80" w:type="dxa"/>
              <w:start w:w="120" w:type="dxa"/>
              <w:bottom w:w="80" w:type="dxa"/>
              <w:end w:w="120" w:type="dxa"/>
            </w:tcMar>
            <w:shd w:fill="F4F6F9"/>
          </w:tcPr>
          <w:p>
            <w:pPr>
              <w:spacing w:after="0"/>
              <w:jc w:val="center"/>
            </w:pPr>
            <w:r/>
            <w:r>
              <w:rPr>
                <w:rFonts w:ascii="Calibri" w:hAnsi="Calibri" w:eastAsia="Calibri"/>
                <w:b/>
                <w:sz w:val="17"/>
              </w:rPr>
              <w:t>Komponen Produk</w:t>
            </w:r>
          </w:p>
        </w:tc>
        <w:tc>
          <w:tcPr>
            <w:tcW w:type="dxa" w:w="3969"/>
            <w:vAlign w:val="center"/>
            <w:tcMar>
              <w:top w:w="80" w:type="dxa"/>
              <w:start w:w="120" w:type="dxa"/>
              <w:bottom w:w="80" w:type="dxa"/>
              <w:end w:w="120" w:type="dxa"/>
            </w:tcMar>
            <w:shd w:fill="F4F6F9"/>
          </w:tcPr>
          <w:p>
            <w:pPr>
              <w:spacing w:after="0"/>
              <w:jc w:val="center"/>
            </w:pPr>
            <w:r/>
            <w:r>
              <w:rPr>
                <w:rFonts w:ascii="Calibri" w:hAnsi="Calibri" w:eastAsia="Calibri"/>
                <w:b/>
                <w:sz w:val="17"/>
              </w:rPr>
              <w:t>Isi/Fungsi</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Keluaran yang Diukur</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Modul kasus bahasa digital</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Contoh caption, chat, story, dan situasi sekolah yang memuat pilihan ragam bahasa.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Kemampuan mengenali konteks bahasa.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Kuis kontekstual</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Soal pilihan dan skenario tentang bahasa baku, santai, slang, dan campur kode.</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pemahaman dan kesadaran norma.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Refleksi bahasa</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Pertanyaan singkat mengapa pilihan bahasa tertentu tepat/kurang tepat.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Alasan siswa dalam memilih ragam bahasa.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Umpan balik otomatis</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Penjelasan setelah siswa menjawab kuis.</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Perbaikan pemahaman setelah latihan.</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Skor dan capaian</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Poin, level, atau badge sederhana.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Keterlibatan dan penyelesaian aktivitas.</w:t>
            </w:r>
          </w:p>
        </w:tc>
      </w:tr>
    </w:tbl>
    <w:p/>
    <w:p>
      <w:pPr>
        <w:pStyle w:val="Heading2"/>
      </w:pPr>
      <w:r>
        <w:t>3.5 Variabel, Indikator, dan Instrumen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28"/>
            <w:vAlign w:val="center"/>
            <w:tcMar>
              <w:top w:w="80" w:type="dxa"/>
              <w:start w:w="120" w:type="dxa"/>
              <w:bottom w:w="80" w:type="dxa"/>
              <w:end w:w="120" w:type="dxa"/>
            </w:tcMar>
            <w:shd w:fill="F4F6F9"/>
          </w:tcPr>
          <w:p>
            <w:pPr>
              <w:spacing w:after="0"/>
              <w:jc w:val="center"/>
            </w:pPr>
            <w:r/>
            <w:r>
              <w:rPr>
                <w:rFonts w:ascii="Calibri" w:hAnsi="Calibri" w:eastAsia="Calibri"/>
                <w:b/>
                <w:sz w:val="17"/>
              </w:rPr>
              <w:t>Variabel/Aspek</w:t>
            </w:r>
          </w:p>
        </w:tc>
        <w:tc>
          <w:tcPr>
            <w:tcW w:type="dxa" w:w="3005"/>
            <w:vAlign w:val="center"/>
            <w:tcMar>
              <w:top w:w="80" w:type="dxa"/>
              <w:start w:w="120" w:type="dxa"/>
              <w:bottom w:w="80" w:type="dxa"/>
              <w:end w:w="120" w:type="dxa"/>
            </w:tcMar>
            <w:shd w:fill="F4F6F9"/>
          </w:tcPr>
          <w:p>
            <w:pPr>
              <w:spacing w:after="0"/>
              <w:jc w:val="center"/>
            </w:pPr>
            <w:r/>
            <w:r>
              <w:rPr>
                <w:rFonts w:ascii="Calibri" w:hAnsi="Calibri" w:eastAsia="Calibri"/>
                <w:b/>
                <w:sz w:val="17"/>
              </w:rPr>
              <w:t>Indikator</w:t>
            </w:r>
          </w:p>
        </w:tc>
        <w:tc>
          <w:tcPr>
            <w:tcW w:type="dxa" w:w="2268"/>
            <w:vAlign w:val="center"/>
            <w:tcMar>
              <w:top w:w="80" w:type="dxa"/>
              <w:start w:w="120" w:type="dxa"/>
              <w:bottom w:w="80" w:type="dxa"/>
              <w:end w:w="120" w:type="dxa"/>
            </w:tcMar>
            <w:shd w:fill="F4F6F9"/>
          </w:tcPr>
          <w:p>
            <w:pPr>
              <w:spacing w:after="0"/>
              <w:jc w:val="center"/>
            </w:pPr>
            <w:r/>
            <w:r>
              <w:rPr>
                <w:rFonts w:ascii="Calibri" w:hAnsi="Calibri" w:eastAsia="Calibri"/>
                <w:b/>
                <w:sz w:val="17"/>
              </w:rPr>
              <w:t>Instrumen</w:t>
            </w:r>
          </w:p>
        </w:tc>
        <w:tc>
          <w:tcPr>
            <w:tcW w:type="dxa" w:w="1871"/>
            <w:vAlign w:val="center"/>
            <w:tcMar>
              <w:top w:w="80" w:type="dxa"/>
              <w:start w:w="120" w:type="dxa"/>
              <w:bottom w:w="80" w:type="dxa"/>
              <w:end w:w="120" w:type="dxa"/>
            </w:tcMar>
            <w:shd w:fill="F4F6F9"/>
          </w:tcPr>
          <w:p>
            <w:pPr>
              <w:spacing w:after="0"/>
              <w:jc w:val="center"/>
            </w:pPr>
            <w:r/>
            <w:r>
              <w:rPr>
                <w:rFonts w:ascii="Calibri" w:hAnsi="Calibri" w:eastAsia="Calibri"/>
                <w:b/>
                <w:sz w:val="17"/>
              </w:rPr>
              <w:t>Skala/Data</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Kebutuhan pengguna</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Kebiasaan berbahasa digital, kebutuhan media, preferensi fitur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Angket analisis kebutuhan</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Deskriptif persentase</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Kelayakan produk</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Materi, bahasa, media, tampilan, navigasi</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Lembar validasi guru/ahli</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Skala 1-4</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Loyalitas bahasa Indonesia</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Sikap positif, kesetiaan, kesadaran norma, kebanggaan, pemilihan ragam</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Kuesioner Likert 20 butir</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Skor pretest-posttest</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Pemahaman bahasa kontekstual</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Ketepatan memilih ragam bahasa sesuai konteks</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Tes skenario/kuis PRIMA+</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Skor benar-salah</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Respons pengguna</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Kemenarikan, kemudahan, manfaat, kendala</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Refleksi/wawancara singkat</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Data kualitatif ringkas</w:t>
            </w:r>
          </w:p>
        </w:tc>
      </w:tr>
    </w:tbl>
    <w:p/>
    <w:p>
      <w:pPr>
        <w:pStyle w:val="Heading2"/>
      </w:pPr>
      <w:r>
        <w:t>3.6 Alat dan Bahan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7"/>
            <w:vAlign w:val="center"/>
            <w:tcMar>
              <w:top w:w="80" w:type="dxa"/>
              <w:start w:w="120" w:type="dxa"/>
              <w:bottom w:w="80" w:type="dxa"/>
              <w:end w:w="120" w:type="dxa"/>
            </w:tcMar>
            <w:shd w:fill="F4F6F9"/>
          </w:tcPr>
          <w:p>
            <w:pPr>
              <w:spacing w:after="0"/>
              <w:jc w:val="center"/>
            </w:pPr>
            <w:r/>
            <w:r>
              <w:rPr>
                <w:rFonts w:ascii="Calibri" w:hAnsi="Calibri" w:eastAsia="Calibri"/>
                <w:b/>
                <w:sz w:val="17"/>
              </w:rPr>
              <w:t>Kategori</w:t>
            </w:r>
          </w:p>
        </w:tc>
        <w:tc>
          <w:tcPr>
            <w:tcW w:type="dxa" w:w="2608"/>
            <w:vAlign w:val="center"/>
            <w:tcMar>
              <w:top w:w="80" w:type="dxa"/>
              <w:start w:w="120" w:type="dxa"/>
              <w:bottom w:w="80" w:type="dxa"/>
              <w:end w:w="120" w:type="dxa"/>
            </w:tcMar>
            <w:shd w:fill="F4F6F9"/>
          </w:tcPr>
          <w:p>
            <w:pPr>
              <w:spacing w:after="0"/>
              <w:jc w:val="center"/>
            </w:pPr>
            <w:r/>
            <w:r>
              <w:rPr>
                <w:rFonts w:ascii="Calibri" w:hAnsi="Calibri" w:eastAsia="Calibri"/>
                <w:b/>
                <w:sz w:val="17"/>
              </w:rPr>
              <w:t>Nama</w:t>
            </w:r>
          </w:p>
        </w:tc>
        <w:tc>
          <w:tcPr>
            <w:tcW w:type="dxa" w:w="1757"/>
            <w:vAlign w:val="center"/>
            <w:tcMar>
              <w:top w:w="80" w:type="dxa"/>
              <w:start w:w="120" w:type="dxa"/>
              <w:bottom w:w="80" w:type="dxa"/>
              <w:end w:w="120" w:type="dxa"/>
            </w:tcMar>
            <w:shd w:fill="F4F6F9"/>
          </w:tcPr>
          <w:p>
            <w:pPr>
              <w:spacing w:after="0"/>
              <w:jc w:val="center"/>
            </w:pPr>
            <w:r/>
            <w:r>
              <w:rPr>
                <w:rFonts w:ascii="Calibri" w:hAnsi="Calibri" w:eastAsia="Calibri"/>
                <w:b/>
                <w:sz w:val="17"/>
              </w:rPr>
              <w:t>Jumlah</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Fungsi</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Laptop pengembang</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unit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Mendesain platform, mengolah data, dan menyusun laporan.</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Telepon pintar/laptop siswa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30-40 perangkat milik responden</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Menguji akses dan penggunaan PRIMA+.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 lunak</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Godot Engine atau platform web sederhana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sistem</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Membangun prototipe interaktif PRIMA+.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 lunak</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Spreadsheet/statistik sederhana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Mengolah skor pretest-posttest, N-gain, dan grafik.</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Skenario kasus bahasa digital</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Materi utama kuis dan refleksi bahasa.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Kuesioner loyalitas bahasa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20 butir</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Mengukur indikator loyalitas bahasa Indonesia.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Lembar validasi ahli/guru</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2-3 validator</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Menilai kelayakan materi, bahasa, dan media.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Aset visual/audio</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Mendukung tampilan dan pengalaman belajar.</w:t>
            </w:r>
          </w:p>
        </w:tc>
      </w:tr>
    </w:tbl>
    <w:p/>
    <w:p>
      <w:pPr>
        <w:pStyle w:val="Heading2"/>
      </w:pPr>
      <w:r>
        <w:t>3.7 Prosedur Penelitian</w:t>
      </w:r>
    </w:p>
    <w:p>
      <w:r>
        <w:t>Prosedur penelitian disusun dengan model ADDIE agar hubungan antara pengembangan produk, validasi, uji coba, dan evaluasi terlihat lebih runtut.</w:t>
      </w:r>
    </w:p>
    <w:p>
      <w:pPr>
        <w:jc w:val="center"/>
      </w:pPr>
      <w:r>
        <w:drawing>
          <wp:inline xmlns:a="http://schemas.openxmlformats.org/drawingml/2006/main" xmlns:pic="http://schemas.openxmlformats.org/drawingml/2006/picture">
            <wp:extent cx="5580000" cy="6696000"/>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580000" cy="6696000"/>
                    </a:xfrm>
                    <a:prstGeom prst="rect"/>
                  </pic:spPr>
                </pic:pic>
              </a:graphicData>
            </a:graphic>
          </wp:inline>
        </w:drawing>
      </w:r>
    </w:p>
    <w:p>
      <w:pPr>
        <w:jc w:val="center"/>
      </w:pPr>
      <w:r>
        <w:t>Gambar 1. Prosedur penelitian PRIMA+ berbasis ADDIE</w:t>
      </w:r>
    </w:p>
    <w:tbl>
      <w:tblPr>
        <w:tblStyle w:val="TableGrid"/>
        <w:tblW w:type="auto" w:w="0"/>
        <w:jc w:val="center"/>
        <w:tblLook w:firstColumn="1" w:firstRow="1" w:lastColumn="0" w:lastRow="0" w:noHBand="0" w:noVBand="1" w:val="04A0"/>
      </w:tblPr>
      <w:tblGrid>
        <w:gridCol w:w="3120"/>
        <w:gridCol w:w="3120"/>
        <w:gridCol w:w="3120"/>
      </w:tblGrid>
      <w:tr>
        <w:tc>
          <w:tcPr>
            <w:tcW w:type="dxa" w:w="1474"/>
            <w:vAlign w:val="center"/>
            <w:tcMar>
              <w:top w:w="80" w:type="dxa"/>
              <w:start w:w="120" w:type="dxa"/>
              <w:bottom w:w="80" w:type="dxa"/>
              <w:end w:w="120" w:type="dxa"/>
            </w:tcMar>
            <w:shd w:fill="F4F6F9"/>
          </w:tcPr>
          <w:p>
            <w:pPr>
              <w:spacing w:after="0"/>
              <w:jc w:val="center"/>
            </w:pPr>
            <w:r/>
            <w:r>
              <w:rPr>
                <w:rFonts w:ascii="Calibri" w:hAnsi="Calibri" w:eastAsia="Calibri"/>
                <w:b/>
                <w:sz w:val="17"/>
              </w:rPr>
              <w:t>Tahap ADDIE</w:t>
            </w:r>
          </w:p>
        </w:tc>
        <w:tc>
          <w:tcPr>
            <w:tcW w:type="dxa" w:w="4535"/>
            <w:vAlign w:val="center"/>
            <w:tcMar>
              <w:top w:w="80" w:type="dxa"/>
              <w:start w:w="120" w:type="dxa"/>
              <w:bottom w:w="80" w:type="dxa"/>
              <w:end w:w="120" w:type="dxa"/>
            </w:tcMar>
            <w:shd w:fill="F4F6F9"/>
          </w:tcPr>
          <w:p>
            <w:pPr>
              <w:spacing w:after="0"/>
              <w:jc w:val="center"/>
            </w:pPr>
            <w:r/>
            <w:r>
              <w:rPr>
                <w:rFonts w:ascii="Calibri" w:hAnsi="Calibri" w:eastAsia="Calibri"/>
                <w:b/>
                <w:sz w:val="17"/>
              </w:rPr>
              <w:t>Aktivitas</w:t>
            </w:r>
          </w:p>
        </w:tc>
        <w:tc>
          <w:tcPr>
            <w:tcW w:type="dxa" w:w="3061"/>
            <w:vAlign w:val="center"/>
            <w:tcMar>
              <w:top w:w="80" w:type="dxa"/>
              <w:start w:w="120" w:type="dxa"/>
              <w:bottom w:w="80" w:type="dxa"/>
              <w:end w:w="120" w:type="dxa"/>
            </w:tcMar>
            <w:shd w:fill="F4F6F9"/>
          </w:tcPr>
          <w:p>
            <w:pPr>
              <w:spacing w:after="0"/>
              <w:jc w:val="center"/>
            </w:pPr>
            <w:r/>
            <w:r>
              <w:rPr>
                <w:rFonts w:ascii="Calibri" w:hAnsi="Calibri" w:eastAsia="Calibri"/>
                <w:b/>
                <w:sz w:val="17"/>
              </w:rPr>
              <w:t>Luaran</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Analyze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Analisis kebutuhan, observasi contoh bahasa digital, kajian literatur, dan pemetaan indikator loyalitas.</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Profil kebutuhan, indikator penelitian, dan bahan awal kasus bahasa.</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Design</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Merancang fitur PRIMA+, alur pengguna, kisi-kisi instrumen, skenario kuis, dan rubrik validasi.</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Blueprint platform, kisi-kisi, dan instrumen awal.</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Develop</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Membangun prototipe, menyusun konten kuis/refleksi, menyiapkan aset visual/audio, dan uji teknis internal.</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Prototipe PRIMA+ versi uji.</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Validate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Validasi oleh guru/ahli terhadap materi, bahasa, media, dan instrumen.</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Skor kelayakan dan daftar revisi.</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Implement</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Pretest, penggunaan PRIMA+, posttest, dan pengumpulan respons pengguna.</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Data skor, log aktivitas, dan respons siswa.</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Evaluate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Analisis efektivitas, interpretasi data, revisi akhir produk, dan penyusunan laporan.</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Produk akhir, hasil penelitian, dan rekomendasi pengembangan.</w:t>
            </w:r>
          </w:p>
        </w:tc>
      </w:tr>
    </w:tbl>
    <w:p/>
    <w:p>
      <w:pPr>
        <w:pStyle w:val="Heading2"/>
      </w:pPr>
      <w:r>
        <w:t>3.8 Teknik Pengumpulan Data</w:t>
      </w:r>
    </w:p>
    <w:p>
      <w:pPr>
        <w:pStyle w:val="ListNumber"/>
        <w:spacing w:after="80"/>
      </w:pPr>
      <w:r>
        <w:t>Angket analisis kebutuhan untuk mengetahui kebiasaan siswa menggunakan bahasa di ruang digital.</w:t>
      </w:r>
    </w:p>
    <w:p>
      <w:pPr>
        <w:pStyle w:val="ListNumber"/>
        <w:spacing w:after="80"/>
      </w:pPr>
      <w:r>
        <w:t>Validasi ahli/guru terhadap materi, bahasa, media, dan instrumen.</w:t>
      </w:r>
    </w:p>
    <w:p>
      <w:pPr>
        <w:pStyle w:val="ListNumber"/>
        <w:spacing w:after="80"/>
      </w:pPr>
      <w:r>
        <w:t>Pretest loyalitas bahasa Indonesia dan tes pemahaman penggunaan bahasa kontekstual.</w:t>
      </w:r>
    </w:p>
    <w:p>
      <w:pPr>
        <w:pStyle w:val="ListNumber"/>
        <w:spacing w:after="80"/>
      </w:pPr>
      <w:r>
        <w:t>Uji coba PRIMA+ dan pencatatan skor aktivitas platform.</w:t>
      </w:r>
    </w:p>
    <w:p>
      <w:pPr>
        <w:pStyle w:val="ListNumber"/>
        <w:spacing w:after="80"/>
      </w:pPr>
      <w:r>
        <w:t>Posttest setelah penggunaan PRIMA+.</w:t>
      </w:r>
    </w:p>
    <w:p>
      <w:pPr>
        <w:pStyle w:val="ListNumber"/>
        <w:spacing w:after="80"/>
      </w:pPr>
      <w:r>
        <w:t>Refleksi singkat atau wawancara terbatas untuk mengetahui pengalaman siswa.</w:t>
      </w:r>
    </w:p>
    <w:p>
      <w:pPr>
        <w:pStyle w:val="Heading2"/>
      </w:pPr>
      <w:r>
        <w:t>3.9 Teknik Analisis Data</w:t>
      </w:r>
    </w:p>
    <w:p>
      <w:r>
        <w:t>Data dianalisis dengan pendekatan kuantitatif dan kualitatif sederhana. Data validasi ahli dihitung dalam bentuk persentase kelayakan. Data pretest dan posttest dianalisis melalui rata-rata, persentase peningkatan, dan N-gain. Jika data memenuhi syarat, peningkatan skor diuji menggunakan paired sample t-test; apabila syarat tersebut tidak terpenuhi, digunakan uji Wilcoxon. Sementara itu, refleksi siswa dianalisis secara tematik ringkas untuk menjelaskan pengalaman, kendala, dan saran pengguna.</w:t>
      </w:r>
    </w:p>
    <w:tbl>
      <w:tblPr>
        <w:tblStyle w:val="TableGrid"/>
        <w:tblW w:type="auto" w:w="0"/>
        <w:jc w:val="center"/>
        <w:tblLook w:firstColumn="1" w:firstRow="1" w:lastColumn="0" w:lastRow="0" w:noHBand="0" w:noVBand="1" w:val="04A0"/>
      </w:tblPr>
      <w:tblGrid>
        <w:gridCol w:w="3120"/>
        <w:gridCol w:w="3120"/>
        <w:gridCol w:w="3120"/>
      </w:tblGrid>
      <w:tr>
        <w:tc>
          <w:tcPr>
            <w:tcW w:type="dxa" w:w="2041"/>
            <w:vAlign w:val="center"/>
            <w:tcMar>
              <w:top w:w="80" w:type="dxa"/>
              <w:start w:w="120" w:type="dxa"/>
              <w:bottom w:w="80" w:type="dxa"/>
              <w:end w:w="120" w:type="dxa"/>
            </w:tcMar>
            <w:shd w:fill="F4F6F9"/>
          </w:tcPr>
          <w:p>
            <w:pPr>
              <w:spacing w:after="0"/>
              <w:jc w:val="center"/>
            </w:pPr>
            <w:r/>
            <w:r>
              <w:rPr>
                <w:rFonts w:ascii="Calibri" w:hAnsi="Calibri" w:eastAsia="Calibri"/>
                <w:b/>
                <w:sz w:val="17"/>
              </w:rPr>
              <w:t>Data</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Analisis</w:t>
            </w:r>
          </w:p>
        </w:tc>
        <w:tc>
          <w:tcPr>
            <w:tcW w:type="dxa" w:w="3912"/>
            <w:vAlign w:val="center"/>
            <w:tcMar>
              <w:top w:w="80" w:type="dxa"/>
              <w:start w:w="120" w:type="dxa"/>
              <w:bottom w:w="80" w:type="dxa"/>
              <w:end w:w="120" w:type="dxa"/>
            </w:tcMar>
            <w:shd w:fill="F4F6F9"/>
          </w:tcPr>
          <w:p>
            <w:pPr>
              <w:spacing w:after="0"/>
              <w:jc w:val="center"/>
            </w:pPr>
            <w:r/>
            <w:r>
              <w:rPr>
                <w:rFonts w:ascii="Calibri" w:hAnsi="Calibri" w:eastAsia="Calibri"/>
                <w:b/>
                <w:sz w:val="17"/>
              </w:rPr>
              <w:t>Kriteria Interpretasi</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Validasi ahli/guru</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Persentase kelayakan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Sangat layak, layak, cukup, atau perlu revisi.</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Pretest-posttest loyalitas</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Rata-rata, persentase peningkatan, N-gain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Ada peningkatan skor setelah penggunaan PRIMA+.</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Tes skenario bahasa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benar-salah dan persentase ketepatan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Pemahaman konteks bahasa meningkat.</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Uji beda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Paired t-test atau Wilcoxon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Perbedaan dinilai bermakna jika p &lt; 0,05.</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Refleksi pengguna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Koding tema ringkas</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Menjelaskan kelebihan, kendala, dan saran revisi.</w:t>
            </w:r>
          </w:p>
        </w:tc>
      </w:tr>
    </w:tbl>
    <w:p/>
    <w:p>
      <w:pPr>
        <w:pStyle w:val="Heading2"/>
      </w:pPr>
      <w:r>
        <w:t>3.10 Kriteria Keberhasilan</w:t>
      </w:r>
    </w:p>
    <w:p>
      <w:pPr>
        <w:pStyle w:val="ListBullet"/>
        <w:spacing w:after="80"/>
      </w:pPr>
      <w:r>
        <w:t>Produk memperoleh kategori minimal layak berdasarkan penilaian validator.</w:t>
      </w:r>
    </w:p>
    <w:p>
      <w:pPr>
        <w:pStyle w:val="ListBullet"/>
        <w:spacing w:after="80"/>
      </w:pPr>
      <w:r>
        <w:t>Rata-rata skor posttest lebih tinggi dibandingkan skor pretest.</w:t>
      </w:r>
    </w:p>
    <w:p>
      <w:pPr>
        <w:pStyle w:val="ListBullet"/>
        <w:spacing w:after="80"/>
      </w:pPr>
      <w:r>
        <w:t>Nilai N-gain minimal berada pada kategori sedang, atau setidaknya menunjukkan peningkatan yang dapat dijelaskan secara akademik.</w:t>
      </w:r>
    </w:p>
    <w:p>
      <w:pPr>
        <w:pStyle w:val="ListBullet"/>
        <w:spacing w:after="80"/>
      </w:pPr>
      <w:r>
        <w:t>Sebagian besar responden menyatakan bahwa PRIMA+ mudah digunakan dan membantu mereka memahami pilihan bahasa sesuai konteks.</w:t>
      </w:r>
    </w:p>
    <w:p>
      <w:pPr>
        <w:pStyle w:val="Heading1"/>
      </w:pPr>
      <w:r>
        <w:t>BAB 4. RANCANGAN ANGGARAN BIAYA DAN JADWAL</w:t>
      </w:r>
    </w:p>
    <w:p>
      <w:pPr>
        <w:pStyle w:val="Heading2"/>
      </w:pPr>
      <w:r>
        <w:t>4.1 Rancangan Anggaran Biaya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vAlign w:val="center"/>
            <w:tcMar>
              <w:top w:w="80" w:type="dxa"/>
              <w:start w:w="120" w:type="dxa"/>
              <w:bottom w:w="80" w:type="dxa"/>
              <w:end w:w="120" w:type="dxa"/>
            </w:tcMar>
            <w:shd w:fill="F4F6F9"/>
          </w:tcPr>
          <w:p>
            <w:pPr>
              <w:spacing w:after="0"/>
              <w:jc w:val="center"/>
            </w:pPr>
            <w:r/>
            <w:r>
              <w:rPr>
                <w:rFonts w:ascii="Calibri" w:hAnsi="Calibri" w:eastAsia="Calibri"/>
                <w:b/>
                <w:sz w:val="17"/>
              </w:rPr>
              <w:t>No.</w:t>
            </w:r>
          </w:p>
        </w:tc>
        <w:tc>
          <w:tcPr>
            <w:tcW w:type="dxa" w:w="2835"/>
            <w:vAlign w:val="center"/>
            <w:tcMar>
              <w:top w:w="80" w:type="dxa"/>
              <w:start w:w="120" w:type="dxa"/>
              <w:bottom w:w="80" w:type="dxa"/>
              <w:end w:w="120" w:type="dxa"/>
            </w:tcMar>
            <w:shd w:fill="F4F6F9"/>
          </w:tcPr>
          <w:p>
            <w:pPr>
              <w:spacing w:after="0"/>
              <w:jc w:val="center"/>
            </w:pPr>
            <w:r/>
            <w:r>
              <w:rPr>
                <w:rFonts w:ascii="Calibri" w:hAnsi="Calibri" w:eastAsia="Calibri"/>
                <w:b/>
                <w:sz w:val="17"/>
              </w:rPr>
              <w:t>Komponen</w:t>
            </w:r>
          </w:p>
        </w:tc>
        <w:tc>
          <w:tcPr>
            <w:tcW w:type="dxa" w:w="1304"/>
            <w:vAlign w:val="center"/>
            <w:tcMar>
              <w:top w:w="80" w:type="dxa"/>
              <w:start w:w="120" w:type="dxa"/>
              <w:bottom w:w="80" w:type="dxa"/>
              <w:end w:w="120" w:type="dxa"/>
            </w:tcMar>
            <w:shd w:fill="F4F6F9"/>
          </w:tcPr>
          <w:p>
            <w:pPr>
              <w:spacing w:after="0"/>
              <w:jc w:val="center"/>
            </w:pPr>
            <w:r/>
            <w:r>
              <w:rPr>
                <w:rFonts w:ascii="Calibri" w:hAnsi="Calibri" w:eastAsia="Calibri"/>
                <w:b/>
                <w:sz w:val="17"/>
              </w:rPr>
              <w:t>Jumlah</w:t>
            </w:r>
          </w:p>
        </w:tc>
        <w:tc>
          <w:tcPr>
            <w:tcW w:type="dxa" w:w="1587"/>
            <w:vAlign w:val="center"/>
            <w:tcMar>
              <w:top w:w="80" w:type="dxa"/>
              <w:start w:w="120" w:type="dxa"/>
              <w:bottom w:w="80" w:type="dxa"/>
              <w:end w:w="120" w:type="dxa"/>
            </w:tcMar>
            <w:shd w:fill="F4F6F9"/>
          </w:tcPr>
          <w:p>
            <w:pPr>
              <w:spacing w:after="0"/>
              <w:jc w:val="center"/>
            </w:pPr>
            <w:r/>
            <w:r>
              <w:rPr>
                <w:rFonts w:ascii="Calibri" w:hAnsi="Calibri" w:eastAsia="Calibri"/>
                <w:b/>
                <w:sz w:val="17"/>
              </w:rPr>
              <w:t>Subtotal</w:t>
            </w:r>
          </w:p>
        </w:tc>
        <w:tc>
          <w:tcPr>
            <w:tcW w:type="dxa" w:w="2778"/>
            <w:vAlign w:val="center"/>
            <w:tcMar>
              <w:top w:w="80" w:type="dxa"/>
              <w:start w:w="120" w:type="dxa"/>
              <w:bottom w:w="80" w:type="dxa"/>
              <w:end w:w="120" w:type="dxa"/>
            </w:tcMar>
            <w:shd w:fill="F4F6F9"/>
          </w:tcPr>
          <w:p>
            <w:pPr>
              <w:spacing w:after="0"/>
              <w:jc w:val="center"/>
            </w:pPr>
            <w:r/>
            <w:r>
              <w:rPr>
                <w:rFonts w:ascii="Calibri" w:hAnsi="Calibri" w:eastAsia="Calibri"/>
                <w:b/>
                <w:sz w:val="17"/>
              </w:rPr>
              <w:t>Keterangan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1</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Pengembangan prototipe PRIMA+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Rp2.500.000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Desain alur, fitur kuis, skor, umpan balik, dan integrasi konten.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2</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Aset visual antarmuka/game</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Karakter, ikon, map sederhana, tombol, dan elemen UI.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3</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Aset audio permainan</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Rp600.000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Efek suara, musik latar, dan audio pendukung.</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Perangkat pendukung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Headset, penyimpanan, kabel, dan kebutuhan teknis lapangan.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5</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Internet, hosting/domain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Rp1.000.000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Akses referensi, pengembangan, unggah prototipe, dan uji akses.</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6</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Cetak instrumen penelitian</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Rp700.000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Kuesioner, lembar validasi, pretest-posttest, dan formulir observasi.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7</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Dokumentasi dan bahan presentasi</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Rp800.000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Dokumentasi kegiatan, poster, slide, dan laporan visual.</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8</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Operasional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Koordinasi responden, konsumsi terbatas, dan kebutuhan kegiatan.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9</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Validasi ahli/guru dan revisi materi</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Rp800.000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Honorarium/transport terbatas validator dan perbaikan konten.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Total</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Rp10.000.000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r>
          </w:p>
        </w:tc>
      </w:tr>
    </w:tbl>
    <w:p/>
    <w:p>
      <w:r>
        <w:t>Total anggaran sebesar Rp10.000.000 dipilih agar kebutuhan pengembangan prototipe dan uji coba dapat terpenuhi secara realistis, tetapi tetap berada di bawah batas maksimal Rp15.000.000. Godot Engine atau perangkat lunak open-source tidak dihitung sebagai biaya lisensi. Anggaran lebih diarahkan pada pembuatan prototipe, penyediaan aset, penyusunan instrumen, pelaksanaan uji coba, validasi, dan dokumentasi.</w:t>
      </w:r>
    </w:p>
    <w:p>
      <w:pPr>
        <w:pStyle w:val="Heading2"/>
      </w:pPr>
      <w:r>
        <w:t>4.2 Jadwal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vAlign w:val="center"/>
            <w:tcMar>
              <w:top w:w="80" w:type="dxa"/>
              <w:start w:w="120" w:type="dxa"/>
              <w:bottom w:w="80" w:type="dxa"/>
              <w:end w:w="120" w:type="dxa"/>
            </w:tcMar>
            <w:shd w:fill="F4F6F9"/>
          </w:tcPr>
          <w:p>
            <w:pPr>
              <w:spacing w:after="0"/>
              <w:jc w:val="center"/>
            </w:pPr>
            <w:r/>
            <w:r>
              <w:rPr>
                <w:rFonts w:ascii="Calibri" w:hAnsi="Calibri" w:eastAsia="Calibri"/>
                <w:b/>
                <w:sz w:val="17"/>
              </w:rPr>
              <w:t>No.</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Tahap</w:t>
            </w:r>
          </w:p>
        </w:tc>
        <w:tc>
          <w:tcPr>
            <w:tcW w:type="dxa" w:w="2268"/>
            <w:vAlign w:val="center"/>
            <w:tcMar>
              <w:top w:w="80" w:type="dxa"/>
              <w:start w:w="120" w:type="dxa"/>
              <w:bottom w:w="80" w:type="dxa"/>
              <w:end w:w="120" w:type="dxa"/>
            </w:tcMar>
            <w:shd w:fill="F4F6F9"/>
          </w:tcPr>
          <w:p>
            <w:pPr>
              <w:spacing w:after="0"/>
              <w:jc w:val="center"/>
            </w:pPr>
            <w:r/>
            <w:r>
              <w:rPr>
                <w:rFonts w:ascii="Calibri" w:hAnsi="Calibri" w:eastAsia="Calibri"/>
                <w:b/>
                <w:sz w:val="17"/>
              </w:rPr>
              <w:t>Waktu</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Luaran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1</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Analyze: studi literatur dan analisis kebutuhan</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6-16 April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Data kebutuhan dan indikator penelitian.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2</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Design: rancangan platform dan instrumen</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17-30 April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Blueprint PRIMA+, kisi-kisi, dan instrumen.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3</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Develop: pembuatan prototipe</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1-25 Mei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Prototipe PRIMA+ versi uji.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Validate: validasi dan revisi awal</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26 Mei-5 Juni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kelayakan dan daftar revisi.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5</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Implement: pretest, uji coba, posttest</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6-30 Juni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Data efektivitas dan respons siswa.</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Evaluate: analisis dan revisi akhir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1-25 Juli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Produk revisi dan hasil analisis.</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7</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Penyusunan laporan akhir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26 Juli-20 Agustus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Laporan penelitian final.</w:t>
            </w:r>
          </w:p>
        </w:tc>
      </w:tr>
    </w:tbl>
    <w:p/>
    <w:p>
      <w:pPr>
        <w:pStyle w:val="Heading1"/>
      </w:pPr>
      <w:r>
        <w:t>PERNYATAAN PENGGUNAAN ARTIFICIAL INTELLIGENCE (AI)</w:t>
      </w:r>
    </w:p>
    <w:p>
      <w:r>
        <w:t>Penelitian ini menggunakan bantuan Artificial Intelligence (AI), yaitu Gemini dan ChatGPT, secara terbatas untuk mencari referensi awal, memperdalam teori, merapikan kerangka metodologi, dan menyusun alternatif alur permainan atau kuis bahasa. Meskipun demikian, seluruh keputusan penelitian, penyusunan instrumen, pengembangan produk, pengambilan data, analisis data, dan penarikan kesimpulan tetap dilakukan oleh peneliti. AI tidak digunakan untuk membuat data palsu, menggantikan proses uji coba, atau menulis hasil penelitian tanpa verifikasi.</w:t>
      </w:r>
    </w:p>
    <w:p>
      <w:pPr>
        <w:pStyle w:val="Heading1"/>
      </w:pPr>
      <w:r>
        <w:t>DAFTAR PUSTAKA</w:t>
      </w:r>
    </w:p>
    <w:p>
      <w:pPr>
        <w:ind w:hanging="425" w:left="425"/>
        <w:jc w:val="left"/>
      </w:pPr>
      <w:r>
        <w:t>Al-Dosakee, K., &amp; Ozdamli, F. (2021). Gamification in teaching and learning languages: A systematic literature review. Revista Romaneasca pentru Educatie Multidimensionala, 13(2), 559-577. https://doi.org/10.18662/rrem/13.2/436</w:t>
      </w:r>
    </w:p>
    <w:p>
      <w:pPr>
        <w:ind w:hanging="425" w:left="425"/>
        <w:jc w:val="left"/>
      </w:pPr>
      <w:r>
        <w:t>Alwi, H., &amp; Sugono, D. (2011). Politik Bahasa Nasional. Badan Pengembangan dan Pembinaan Bahasa.</w:t>
      </w:r>
    </w:p>
    <w:p>
      <w:pPr>
        <w:ind w:hanging="425" w:left="425"/>
        <w:jc w:val="left"/>
      </w:pPr>
      <w:r>
        <w:t>Amelia, S. R., Siroj, M. B., &amp; Afgani, M. W. (2024). Analisis perkembangan bahasa Indonesia di era digital: Tantangan dan peluang. Jurnal Multidisiplin Dehasen, 3(3), 125-132. https://doi.org/10.37676/mude.v3i3.5792</w:t>
      </w:r>
    </w:p>
    <w:p>
      <w:pPr>
        <w:ind w:hanging="425" w:left="425"/>
        <w:jc w:val="left"/>
      </w:pPr>
      <w:r>
        <w:t>Balai Bahasa Provinsi Jambi. (2025). UKBI jadi instrumen strategis wujudkan kemahiran berbahasa Indonesia yang terstandar. Kementerian Pendidikan Dasar dan Menengah.</w:t>
      </w:r>
    </w:p>
    <w:p>
      <w:pPr>
        <w:ind w:hanging="425" w:left="425"/>
        <w:jc w:val="left"/>
      </w:pPr>
      <w:r>
        <w:t>Branch, R. M. (2009). Instructional Design: The ADDIE Approach. Springer. https://doi.org/10.1007/978-0-387-09506-6</w:t>
      </w:r>
    </w:p>
    <w:p>
      <w:pPr>
        <w:ind w:hanging="425" w:left="425"/>
        <w:jc w:val="left"/>
      </w:pPr>
      <w:r>
        <w:t>Carter, R. (2003). Language awareness. ELT Journal, 57(1), 64-65. https://doi.org/10.1093/elt/57.1.64</w:t>
      </w:r>
    </w:p>
    <w:p>
      <w:pPr>
        <w:ind w:hanging="425" w:left="425"/>
        <w:jc w:val="left"/>
      </w:pPr>
      <w:r>
        <w:t>Chaer, A., &amp; Agustina, L. (2014). Sosiolinguistik: Perkenalan awal. Rineka Cipta.</w:t>
      </w:r>
    </w:p>
    <w:p>
      <w:pPr>
        <w:ind w:hanging="425" w:left="425"/>
        <w:jc w:val="left"/>
      </w:pPr>
      <w:r>
        <w:t>Crystal, D. (2011). Internet Linguistics: A Student Guide. Routledge.</w:t>
      </w:r>
    </w:p>
    <w:p>
      <w:pPr>
        <w:ind w:hanging="425" w:left="425"/>
        <w:jc w:val="left"/>
      </w:pPr>
      <w:r>
        <w:t>Fairclough, N. (1992). Critical Language Awareness. Longman.</w:t>
      </w:r>
    </w:p>
    <w:p>
      <w:pPr>
        <w:ind w:hanging="425" w:left="425"/>
        <w:jc w:val="left"/>
      </w:pPr>
      <w:r>
        <w:t>Garvin, P. L., &amp; Mathiot, M. (1968). The urbanization of the Guarani language: A problem in language and culture. In J. A. Fishman (Ed.), Readings in the Sociology of Language (pp. 365-374). De Gruyter Mouton. https://doi.org/10.1515/9783110805376.365</w:t>
      </w:r>
    </w:p>
    <w:p>
      <w:pPr>
        <w:ind w:hanging="425" w:left="425"/>
        <w:jc w:val="left"/>
      </w:pPr>
      <w:r>
        <w:t>Luo, Z. (2023). The effectiveness of gamified tools for foreign language learning (FLL): A systematic review. Behavioral Sciences, 13(4), 331. https://doi.org/10.3390/bs13040331</w:t>
      </w:r>
    </w:p>
    <w:p>
      <w:pPr>
        <w:ind w:hanging="425" w:left="425"/>
        <w:jc w:val="left"/>
      </w:pPr>
      <w:r>
        <w:t>Prensky, M. (2001). Digital natives, digital immigrants. On the Horizon, 9(5), 1-6.</w:t>
      </w:r>
    </w:p>
    <w:p>
      <w:pPr>
        <w:ind w:hanging="425" w:left="425"/>
        <w:jc w:val="left"/>
      </w:pPr>
      <w:r>
        <w:t>Purba, E. N., Togatorop, D. P., Simbolon, A., &amp; Sari, Y. (2024). Analisis pengaruh media sosial terhadap keberagaman bahasa: Campur kode sebagai tren komunikasi anak muda. Atmosfer: Jurnal Pendidikan, Bahasa, Sastra, Seni, Budaya, dan Sosial Humaniora, 2(4), 184-194. https://doi.org/10.59024/atmosfer.v2i4.1060</w:t>
      </w:r>
    </w:p>
    <w:p>
      <w:pPr>
        <w:ind w:hanging="425" w:left="425"/>
        <w:jc w:val="left"/>
      </w:pPr>
      <w: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ind w:hanging="425" w:left="425"/>
        <w:jc w:val="left"/>
      </w:pPr>
      <w:r>
        <w:t>Sugiyono. (2019). Metode Penelitian dan Pengembangan: Research and Development. Alfabeta.</w:t>
      </w:r>
    </w:p>
    <w:p>
      <w:pPr>
        <w:ind w:hanging="425" w:left="425"/>
        <w:jc w:val="left"/>
      </w:pPr>
      <w:r>
        <w:t>Sugono, D. (2019). Bahasa Indonesia di era globalisasi. Badan Pengembangan dan Pembinaan Bahasa.</w:t>
      </w:r>
    </w:p>
    <w:p>
      <w:pPr>
        <w:pStyle w:val="Heading1"/>
      </w:pPr>
      <w:r>
        <w:t>LAMPIRAN A. KISI-KISI INSTRUMEN LOYALITAS BAHASA</w:t>
      </w:r>
    </w:p>
    <w:tbl>
      <w:tblPr>
        <w:tblStyle w:val="TableGrid"/>
        <w:tblW w:type="auto" w:w="0"/>
        <w:jc w:val="center"/>
        <w:tblLook w:firstColumn="1" w:firstRow="1" w:lastColumn="0" w:lastRow="0" w:noHBand="0" w:noVBand="1" w:val="04A0"/>
      </w:tblPr>
      <w:tblGrid>
        <w:gridCol w:w="3120"/>
        <w:gridCol w:w="3120"/>
        <w:gridCol w:w="3120"/>
      </w:tblGrid>
      <w:tr>
        <w:tc>
          <w:tcPr>
            <w:tcW w:type="dxa" w:w="2268"/>
            <w:vAlign w:val="center"/>
            <w:tcMar>
              <w:top w:w="80" w:type="dxa"/>
              <w:start w:w="120" w:type="dxa"/>
              <w:bottom w:w="80" w:type="dxa"/>
              <w:end w:w="120" w:type="dxa"/>
            </w:tcMar>
            <w:shd w:fill="F4F6F9"/>
          </w:tcPr>
          <w:p>
            <w:pPr>
              <w:spacing w:after="0"/>
              <w:jc w:val="center"/>
            </w:pPr>
            <w:r/>
            <w:r>
              <w:rPr>
                <w:rFonts w:ascii="Calibri" w:hAnsi="Calibri" w:eastAsia="Calibri"/>
                <w:b/>
                <w:sz w:val="17"/>
              </w:rPr>
              <w:t>Indikator</w:t>
            </w:r>
          </w:p>
        </w:tc>
        <w:tc>
          <w:tcPr>
            <w:tcW w:type="dxa" w:w="1701"/>
            <w:vAlign w:val="center"/>
            <w:tcMar>
              <w:top w:w="80" w:type="dxa"/>
              <w:start w:w="120" w:type="dxa"/>
              <w:bottom w:w="80" w:type="dxa"/>
              <w:end w:w="120" w:type="dxa"/>
            </w:tcMar>
            <w:shd w:fill="F4F6F9"/>
          </w:tcPr>
          <w:p>
            <w:pPr>
              <w:spacing w:after="0"/>
              <w:jc w:val="center"/>
            </w:pPr>
            <w:r/>
            <w:r>
              <w:rPr>
                <w:rFonts w:ascii="Calibri" w:hAnsi="Calibri" w:eastAsia="Calibri"/>
                <w:b/>
                <w:sz w:val="17"/>
              </w:rPr>
              <w:t>Jumlah Butir</w:t>
            </w:r>
          </w:p>
        </w:tc>
        <w:tc>
          <w:tcPr>
            <w:tcW w:type="dxa" w:w="5102"/>
            <w:vAlign w:val="center"/>
            <w:tcMar>
              <w:top w:w="80" w:type="dxa"/>
              <w:start w:w="120" w:type="dxa"/>
              <w:bottom w:w="80" w:type="dxa"/>
              <w:end w:w="120" w:type="dxa"/>
            </w:tcMar>
            <w:shd w:fill="F4F6F9"/>
          </w:tcPr>
          <w:p>
            <w:pPr>
              <w:spacing w:after="0"/>
              <w:jc w:val="center"/>
            </w:pPr>
            <w:r/>
            <w:r>
              <w:rPr>
                <w:rFonts w:ascii="Calibri" w:hAnsi="Calibri" w:eastAsia="Calibri"/>
                <w:b/>
                <w:sz w:val="17"/>
              </w:rPr>
              <w:t>Contoh Pernyataan</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Sikap positif</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Bahasa Indonesia tetap penting digunakan di media digital.</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Kesetiaan penggunaan</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Saya memilih bahasa Indonesia yang jelas saat menulis informasi sekolah.</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Kesadaran norma</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Saya dapat membedakan bahasa santai dan bahasa formal.</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Kebanggaan bahasa</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Saya bangga menggunakan bahasa Indonesia dengan baik.</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Pemilihan ragam</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Saya menyesuaikan bahasa dengan lawan bicara dan tujuan komunikasi.</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