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28"/>
        </w:rPr>
        <w:t>TABEL DAFTAR REVISI BERDASARKAN CATATAN REVIEWER</w:t>
      </w:r>
    </w:p>
    <w:p>
      <w:r>
        <w:t>Dokumen ini memetakan catatan reviewer dari revisi.jpeg dengan bentuk perbaikan yang sudah diterapkan pada naskah prima_revisi.docx.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567"/>
            <w:vAlign w:val="center"/>
            <w:shd w:fill="F4F6F9"/>
          </w:tcPr>
          <w:p>
            <w:pPr>
              <w:spacing w:after="0"/>
            </w:pPr>
            <w:r/>
            <w:r>
              <w:rPr>
                <w:rFonts w:ascii="Calibri" w:hAnsi="Calibri" w:eastAsia="Calibri"/>
                <w:b/>
                <w:sz w:val="19"/>
              </w:rPr>
              <w:t>No.</w:t>
            </w:r>
          </w:p>
        </w:tc>
        <w:tc>
          <w:tcPr>
            <w:tcW w:type="dxa" w:w="2041"/>
            <w:vAlign w:val="center"/>
            <w:shd w:fill="F4F6F9"/>
          </w:tcPr>
          <w:p>
            <w:pPr>
              <w:spacing w:after="0"/>
            </w:pPr>
            <w:r/>
            <w:r>
              <w:rPr>
                <w:rFonts w:ascii="Calibri" w:hAnsi="Calibri" w:eastAsia="Calibri"/>
                <w:b/>
                <w:sz w:val="19"/>
              </w:rPr>
              <w:t>Catatan Reviewer</w:t>
            </w:r>
          </w:p>
        </w:tc>
        <w:tc>
          <w:tcPr>
            <w:tcW w:type="dxa" w:w="2494"/>
            <w:vAlign w:val="center"/>
            <w:shd w:fill="F4F6F9"/>
          </w:tcPr>
          <w:p>
            <w:pPr>
              <w:spacing w:after="0"/>
            </w:pPr>
            <w:r/>
            <w:r>
              <w:rPr>
                <w:rFonts w:ascii="Calibri" w:hAnsi="Calibri" w:eastAsia="Calibri"/>
                <w:b/>
                <w:sz w:val="19"/>
              </w:rPr>
              <w:t>Perbaikan yang Dilakukan</w:t>
            </w:r>
          </w:p>
        </w:tc>
        <w:tc>
          <w:tcPr>
            <w:tcW w:type="dxa" w:w="1814"/>
            <w:vAlign w:val="center"/>
            <w:shd w:fill="F4F6F9"/>
          </w:tcPr>
          <w:p>
            <w:pPr>
              <w:spacing w:after="0"/>
            </w:pPr>
            <w:r/>
            <w:r>
              <w:rPr>
                <w:rFonts w:ascii="Calibri" w:hAnsi="Calibri" w:eastAsia="Calibri"/>
                <w:b/>
                <w:sz w:val="19"/>
              </w:rPr>
              <w:t>Letak Perbaikan</w:t>
            </w:r>
          </w:p>
        </w:tc>
        <w:tc>
          <w:tcPr>
            <w:tcW w:type="dxa" w:w="2268"/>
            <w:vAlign w:val="center"/>
            <w:shd w:fill="F4F6F9"/>
          </w:tcPr>
          <w:p>
            <w:pPr>
              <w:spacing w:after="0"/>
            </w:pPr>
            <w:r/>
            <w:r>
              <w:rPr>
                <w:rFonts w:ascii="Calibri" w:hAnsi="Calibri" w:eastAsia="Calibri"/>
                <w:b/>
                <w:sz w:val="19"/>
              </w:rPr>
              <w:t>Penjelasan Bentuk Perbaikan</w:t>
            </w:r>
          </w:p>
        </w:tc>
      </w:tr>
      <w:tr>
        <w:tc>
          <w:tcPr>
            <w:tcW w:type="dxa" w:w="567"/>
            <w:vAlign w:val="center"/>
          </w:tcPr>
          <w:p>
            <w:pPr>
              <w:spacing w:after="0"/>
            </w:pPr>
            <w:r/>
            <w:r>
              <w:rPr>
                <w:rFonts w:ascii="Calibri" w:hAnsi="Calibri" w:eastAsia="Calibri"/>
                <w:b w:val="0"/>
                <w:sz w:val="19"/>
              </w:rPr>
              <w:t>1</w:t>
            </w:r>
          </w:p>
        </w:tc>
        <w:tc>
          <w:tcPr>
            <w:tcW w:type="dxa" w:w="2041"/>
            <w:vAlign w:val="center"/>
          </w:tcPr>
          <w:p>
            <w:pPr>
              <w:spacing w:after="0"/>
            </w:pPr>
            <w:r/>
            <w:r>
              <w:rPr>
                <w:rFonts w:ascii="Calibri" w:hAnsi="Calibri" w:eastAsia="Calibri"/>
                <w:b w:val="0"/>
                <w:sz w:val="19"/>
              </w:rPr>
              <w:t>Judul menarik, tetapi terlalu panjang.</w:t>
            </w:r>
          </w:p>
        </w:tc>
        <w:tc>
          <w:tcPr>
            <w:tcW w:type="dxa" w:w="2494"/>
            <w:vAlign w:val="center"/>
          </w:tcPr>
          <w:p>
            <w:pPr>
              <w:spacing w:after="0"/>
            </w:pPr>
            <w:r/>
            <w:r>
              <w:rPr>
                <w:rFonts w:ascii="Calibri" w:hAnsi="Calibri" w:eastAsia="Calibri"/>
                <w:b w:val="0"/>
                <w:sz w:val="19"/>
              </w:rPr>
              <w:t>Judul diringkas menjadi 'PRIMA+: Platform Language Awareness untuk Meningkatkan Loyalitas Berbahasa Indonesia Remaja'.</w:t>
            </w:r>
          </w:p>
        </w:tc>
        <w:tc>
          <w:tcPr>
            <w:tcW w:type="dxa" w:w="1814"/>
            <w:vAlign w:val="center"/>
          </w:tcPr>
          <w:p>
            <w:pPr>
              <w:spacing w:after="0"/>
            </w:pPr>
            <w:r/>
            <w:r>
              <w:rPr>
                <w:rFonts w:ascii="Calibri" w:hAnsi="Calibri" w:eastAsia="Calibri"/>
                <w:b w:val="0"/>
                <w:sz w:val="19"/>
              </w:rPr>
              <w:t>Halaman judul/cover.</w:t>
            </w:r>
          </w:p>
        </w:tc>
        <w:tc>
          <w:tcPr>
            <w:tcW w:type="dxa" w:w="2268"/>
            <w:vAlign w:val="center"/>
          </w:tcPr>
          <w:p>
            <w:pPr>
              <w:spacing w:after="0"/>
            </w:pPr>
            <w:r/>
            <w:r>
              <w:rPr>
                <w:rFonts w:ascii="Calibri" w:hAnsi="Calibri" w:eastAsia="Calibri"/>
                <w:b w:val="0"/>
                <w:sz w:val="19"/>
              </w:rPr>
              <w:t>Judul tetap memuat PRIMA+, language awareness, loyalitas berbahasa Indonesia, dan sasaran remaja, tetapi lebih singkat dan langsung.</w:t>
            </w:r>
          </w:p>
        </w:tc>
      </w:tr>
      <w:tr>
        <w:tc>
          <w:tcPr>
            <w:tcW w:type="dxa" w:w="567"/>
            <w:vAlign w:val="center"/>
          </w:tcPr>
          <w:p>
            <w:pPr>
              <w:spacing w:after="0"/>
            </w:pPr>
            <w:r/>
            <w:r>
              <w:rPr>
                <w:rFonts w:ascii="Calibri" w:hAnsi="Calibri" w:eastAsia="Calibri"/>
                <w:b w:val="0"/>
                <w:sz w:val="19"/>
              </w:rPr>
              <w:t>2</w:t>
            </w:r>
          </w:p>
        </w:tc>
        <w:tc>
          <w:tcPr>
            <w:tcW w:type="dxa" w:w="2041"/>
            <w:vAlign w:val="center"/>
          </w:tcPr>
          <w:p>
            <w:pPr>
              <w:spacing w:after="0"/>
            </w:pPr>
            <w:r/>
            <w:r>
              <w:rPr>
                <w:rFonts w:ascii="Calibri" w:hAnsi="Calibri" w:eastAsia="Calibri"/>
                <w:b w:val="0"/>
                <w:sz w:val="19"/>
              </w:rPr>
              <w:t>Latar belakang terlalu umum dan belum didukung data empiris.</w:t>
            </w:r>
          </w:p>
        </w:tc>
        <w:tc>
          <w:tcPr>
            <w:tcW w:type="dxa" w:w="2494"/>
            <w:vAlign w:val="center"/>
          </w:tcPr>
          <w:p>
            <w:pPr>
              <w:spacing w:after="0"/>
            </w:pPr>
            <w:r/>
            <w:r>
              <w:rPr>
                <w:rFonts w:ascii="Calibri" w:hAnsi="Calibri" w:eastAsia="Calibri"/>
                <w:b w:val="0"/>
                <w:sz w:val="19"/>
              </w:rPr>
              <w:t>Ditambahkan data empiris UKBI 2024 tentang pelajar SMA/SMK yang masih di bawah standar kemahiran, serta contoh nyata bahasa campuran remaja di media digital.</w:t>
            </w:r>
          </w:p>
        </w:tc>
        <w:tc>
          <w:tcPr>
            <w:tcW w:type="dxa" w:w="1814"/>
            <w:vAlign w:val="center"/>
          </w:tcPr>
          <w:p>
            <w:pPr>
              <w:spacing w:after="0"/>
            </w:pPr>
            <w:r/>
            <w:r>
              <w:rPr>
                <w:rFonts w:ascii="Calibri" w:hAnsi="Calibri" w:eastAsia="Calibri"/>
                <w:b w:val="0"/>
                <w:sz w:val="19"/>
              </w:rPr>
              <w:t>BAB 1, bagian 1.1 Latar Belakang.</w:t>
            </w:r>
          </w:p>
        </w:tc>
        <w:tc>
          <w:tcPr>
            <w:tcW w:type="dxa" w:w="2268"/>
            <w:vAlign w:val="center"/>
          </w:tcPr>
          <w:p>
            <w:pPr>
              <w:spacing w:after="0"/>
            </w:pPr>
            <w:r/>
            <w:r>
              <w:rPr>
                <w:rFonts w:ascii="Calibri" w:hAnsi="Calibri" w:eastAsia="Calibri"/>
                <w:b w:val="0"/>
                <w:sz w:val="19"/>
              </w:rPr>
              <w:t>Latar belakang kini tidak hanya menjelaskan fenomena umum, tetapi memberi dasar kebutuhan penelitian dari data kebahasaan dan contoh komunikasi digital.</w:t>
            </w:r>
          </w:p>
        </w:tc>
      </w:tr>
      <w:tr>
        <w:tc>
          <w:tcPr>
            <w:tcW w:type="dxa" w:w="567"/>
            <w:vAlign w:val="center"/>
          </w:tcPr>
          <w:p>
            <w:pPr>
              <w:spacing w:after="0"/>
            </w:pPr>
            <w:r/>
            <w:r>
              <w:rPr>
                <w:rFonts w:ascii="Calibri" w:hAnsi="Calibri" w:eastAsia="Calibri"/>
                <w:b w:val="0"/>
                <w:sz w:val="19"/>
              </w:rPr>
              <w:t>3</w:t>
            </w:r>
          </w:p>
        </w:tc>
        <w:tc>
          <w:tcPr>
            <w:tcW w:type="dxa" w:w="2041"/>
            <w:vAlign w:val="center"/>
          </w:tcPr>
          <w:p>
            <w:pPr>
              <w:spacing w:after="0"/>
            </w:pPr>
            <w:r/>
            <w:r>
              <w:rPr>
                <w:rFonts w:ascii="Calibri" w:hAnsi="Calibri" w:eastAsia="Calibri"/>
                <w:b w:val="0"/>
                <w:sz w:val="19"/>
              </w:rPr>
              <w:t>Rumusan masalah terlalu luas dan belum menunjukkan indikator jelas.</w:t>
            </w:r>
          </w:p>
        </w:tc>
        <w:tc>
          <w:tcPr>
            <w:tcW w:type="dxa" w:w="2494"/>
            <w:vAlign w:val="center"/>
          </w:tcPr>
          <w:p>
            <w:pPr>
              <w:spacing w:after="0"/>
            </w:pPr>
            <w:r/>
            <w:r>
              <w:rPr>
                <w:rFonts w:ascii="Calibri" w:hAnsi="Calibri" w:eastAsia="Calibri"/>
                <w:b w:val="0"/>
                <w:sz w:val="19"/>
              </w:rPr>
              <w:t>Rumusan masalah kedua ditajamkan dengan indikator loyalitas: sikap positif, kesetiaan penggunaan, kesadaran norma, kebanggaan bahasa, dan kemampuan memilih ragam bahasa.</w:t>
            </w:r>
          </w:p>
        </w:tc>
        <w:tc>
          <w:tcPr>
            <w:tcW w:type="dxa" w:w="1814"/>
            <w:vAlign w:val="center"/>
          </w:tcPr>
          <w:p>
            <w:pPr>
              <w:spacing w:after="0"/>
            </w:pPr>
            <w:r/>
            <w:r>
              <w:rPr>
                <w:rFonts w:ascii="Calibri" w:hAnsi="Calibri" w:eastAsia="Calibri"/>
                <w:b w:val="0"/>
                <w:sz w:val="19"/>
              </w:rPr>
              <w:t>BAB 1, bagian 1.2 Rumusan Masalah.</w:t>
            </w:r>
          </w:p>
        </w:tc>
        <w:tc>
          <w:tcPr>
            <w:tcW w:type="dxa" w:w="2268"/>
            <w:vAlign w:val="center"/>
          </w:tcPr>
          <w:p>
            <w:pPr>
              <w:spacing w:after="0"/>
            </w:pPr>
            <w:r/>
            <w:r>
              <w:rPr>
                <w:rFonts w:ascii="Calibri" w:hAnsi="Calibri" w:eastAsia="Calibri"/>
                <w:b w:val="0"/>
                <w:sz w:val="19"/>
              </w:rPr>
              <w:t>Pertanyaan penelitian menjadi lebih terukur dan langsung terhubung dengan instrumen serta analisis data.</w:t>
            </w:r>
          </w:p>
        </w:tc>
      </w:tr>
      <w:tr>
        <w:tc>
          <w:tcPr>
            <w:tcW w:type="dxa" w:w="567"/>
            <w:vAlign w:val="center"/>
          </w:tcPr>
          <w:p>
            <w:pPr>
              <w:spacing w:after="0"/>
            </w:pPr>
            <w:r/>
            <w:r>
              <w:rPr>
                <w:rFonts w:ascii="Calibri" w:hAnsi="Calibri" w:eastAsia="Calibri"/>
                <w:b w:val="0"/>
                <w:sz w:val="19"/>
              </w:rPr>
              <w:t>4</w:t>
            </w:r>
          </w:p>
        </w:tc>
        <w:tc>
          <w:tcPr>
            <w:tcW w:type="dxa" w:w="2041"/>
            <w:vAlign w:val="center"/>
          </w:tcPr>
          <w:p>
            <w:pPr>
              <w:spacing w:after="0"/>
            </w:pPr>
            <w:r/>
            <w:r>
              <w:rPr>
                <w:rFonts w:ascii="Calibri" w:hAnsi="Calibri" w:eastAsia="Calibri"/>
                <w:b w:val="0"/>
                <w:sz w:val="19"/>
              </w:rPr>
              <w:t>Manfaat penelitian masih umum dan belum menunjukkan kontribusi spesifik.</w:t>
            </w:r>
          </w:p>
        </w:tc>
        <w:tc>
          <w:tcPr>
            <w:tcW w:type="dxa" w:w="2494"/>
            <w:vAlign w:val="center"/>
          </w:tcPr>
          <w:p>
            <w:pPr>
              <w:spacing w:after="0"/>
            </w:pPr>
            <w:r/>
            <w:r>
              <w:rPr>
                <w:rFonts w:ascii="Calibri" w:hAnsi="Calibri" w:eastAsia="Calibri"/>
                <w:b w:val="0"/>
                <w:sz w:val="19"/>
              </w:rPr>
              <w:t>Manfaat dipisahkan menjadi manfaat teoretis dan praktis untuk remaja, guru Bahasa Indonesia, sekolah, dan pengembang media pendidikan.</w:t>
            </w:r>
          </w:p>
        </w:tc>
        <w:tc>
          <w:tcPr>
            <w:tcW w:type="dxa" w:w="1814"/>
            <w:vAlign w:val="center"/>
          </w:tcPr>
          <w:p>
            <w:pPr>
              <w:spacing w:after="0"/>
            </w:pPr>
            <w:r/>
            <w:r>
              <w:rPr>
                <w:rFonts w:ascii="Calibri" w:hAnsi="Calibri" w:eastAsia="Calibri"/>
                <w:b w:val="0"/>
                <w:sz w:val="19"/>
              </w:rPr>
              <w:t>BAB 1, bagian 1.4 Manfaat Penelitian.</w:t>
            </w:r>
          </w:p>
        </w:tc>
        <w:tc>
          <w:tcPr>
            <w:tcW w:type="dxa" w:w="2268"/>
            <w:vAlign w:val="center"/>
          </w:tcPr>
          <w:p>
            <w:pPr>
              <w:spacing w:after="0"/>
            </w:pPr>
            <w:r/>
            <w:r>
              <w:rPr>
                <w:rFonts w:ascii="Calibri" w:hAnsi="Calibri" w:eastAsia="Calibri"/>
                <w:b w:val="0"/>
                <w:sz w:val="19"/>
              </w:rPr>
              <w:t>Kontribusi setiap pihak dijelaskan secara spesifik sehingga manfaat penelitian lebih konkret.</w:t>
            </w:r>
          </w:p>
        </w:tc>
      </w:tr>
      <w:tr>
        <w:tc>
          <w:tcPr>
            <w:tcW w:type="dxa" w:w="567"/>
            <w:vAlign w:val="center"/>
          </w:tcPr>
          <w:p>
            <w:pPr>
              <w:spacing w:after="0"/>
            </w:pPr>
            <w:r/>
            <w:r>
              <w:rPr>
                <w:rFonts w:ascii="Calibri" w:hAnsi="Calibri" w:eastAsia="Calibri"/>
                <w:b w:val="0"/>
                <w:sz w:val="19"/>
              </w:rPr>
              <w:t>5</w:t>
            </w:r>
          </w:p>
        </w:tc>
        <w:tc>
          <w:tcPr>
            <w:tcW w:type="dxa" w:w="2041"/>
            <w:vAlign w:val="center"/>
          </w:tcPr>
          <w:p>
            <w:pPr>
              <w:spacing w:after="0"/>
            </w:pPr>
            <w:r/>
            <w:r>
              <w:rPr>
                <w:rFonts w:ascii="Calibri" w:hAnsi="Calibri" w:eastAsia="Calibri"/>
                <w:b w:val="0"/>
                <w:sz w:val="19"/>
              </w:rPr>
              <w:t>Studi pustaka masih sedikit, tambahkan.</w:t>
            </w:r>
          </w:p>
        </w:tc>
        <w:tc>
          <w:tcPr>
            <w:tcW w:type="dxa" w:w="2494"/>
            <w:vAlign w:val="center"/>
          </w:tcPr>
          <w:p>
            <w:pPr>
              <w:spacing w:after="0"/>
            </w:pPr>
            <w:r/>
            <w:r>
              <w:rPr>
                <w:rFonts w:ascii="Calibri" w:hAnsi="Calibri" w:eastAsia="Calibri"/>
                <w:b w:val="0"/>
                <w:sz w:val="19"/>
              </w:rPr>
              <w:t>Studi pustaka diperluas dengan platform digital, gamifikasi pembelajaran bahasa, language awareness, loyalitas berbahasa, internet linguistics, data UKBI, dan kajian campur kode media sosial.</w:t>
            </w:r>
          </w:p>
        </w:tc>
        <w:tc>
          <w:tcPr>
            <w:tcW w:type="dxa" w:w="1814"/>
            <w:vAlign w:val="center"/>
          </w:tcPr>
          <w:p>
            <w:pPr>
              <w:spacing w:after="0"/>
            </w:pPr>
            <w:r/>
            <w:r>
              <w:rPr>
                <w:rFonts w:ascii="Calibri" w:hAnsi="Calibri" w:eastAsia="Calibri"/>
                <w:b w:val="0"/>
                <w:sz w:val="19"/>
              </w:rPr>
              <w:t>BAB 2, bagian 2.1-2.4 dan Daftar Pustaka.</w:t>
            </w:r>
          </w:p>
        </w:tc>
        <w:tc>
          <w:tcPr>
            <w:tcW w:type="dxa" w:w="2268"/>
            <w:vAlign w:val="center"/>
          </w:tcPr>
          <w:p>
            <w:pPr>
              <w:spacing w:after="0"/>
            </w:pPr>
            <w:r/>
            <w:r>
              <w:rPr>
                <w:rFonts w:ascii="Calibri" w:hAnsi="Calibri" w:eastAsia="Calibri"/>
                <w:b w:val="0"/>
                <w:sz w:val="19"/>
              </w:rPr>
              <w:t>Landasan teori dan posisi riset menjadi lebih kuat serta lebih sesuai dengan isu remaja digital.</w:t>
            </w:r>
          </w:p>
        </w:tc>
      </w:tr>
      <w:tr>
        <w:tc>
          <w:tcPr>
            <w:tcW w:type="dxa" w:w="567"/>
            <w:vAlign w:val="center"/>
          </w:tcPr>
          <w:p>
            <w:pPr>
              <w:spacing w:after="0"/>
            </w:pPr>
            <w:r/>
            <w:r>
              <w:rPr>
                <w:rFonts w:ascii="Calibri" w:hAnsi="Calibri" w:eastAsia="Calibri"/>
                <w:b w:val="0"/>
                <w:sz w:val="19"/>
              </w:rPr>
              <w:t>6</w:t>
            </w:r>
          </w:p>
        </w:tc>
        <w:tc>
          <w:tcPr>
            <w:tcW w:type="dxa" w:w="2041"/>
            <w:vAlign w:val="center"/>
          </w:tcPr>
          <w:p>
            <w:pPr>
              <w:spacing w:after="0"/>
            </w:pPr>
            <w:r/>
            <w:r>
              <w:rPr>
                <w:rFonts w:ascii="Calibri" w:hAnsi="Calibri" w:eastAsia="Calibri"/>
                <w:b w:val="0"/>
                <w:sz w:val="19"/>
              </w:rPr>
              <w:t>Metode belum merinci jumlah responden.</w:t>
            </w:r>
          </w:p>
        </w:tc>
        <w:tc>
          <w:tcPr>
            <w:tcW w:type="dxa" w:w="2494"/>
            <w:vAlign w:val="center"/>
          </w:tcPr>
          <w:p>
            <w:pPr>
              <w:spacing w:after="0"/>
            </w:pPr>
            <w:r/>
            <w:r>
              <w:rPr>
                <w:rFonts w:ascii="Calibri" w:hAnsi="Calibri" w:eastAsia="Calibri"/>
                <w:b w:val="0"/>
                <w:sz w:val="19"/>
              </w:rPr>
              <w:t>Ditambahkan rencana uji coba awal 15-30 responden.</w:t>
            </w:r>
          </w:p>
        </w:tc>
        <w:tc>
          <w:tcPr>
            <w:tcW w:type="dxa" w:w="1814"/>
            <w:vAlign w:val="center"/>
          </w:tcPr>
          <w:p>
            <w:pPr>
              <w:spacing w:after="0"/>
            </w:pPr>
            <w:r/>
            <w:r>
              <w:rPr>
                <w:rFonts w:ascii="Calibri" w:hAnsi="Calibri" w:eastAsia="Calibri"/>
                <w:b w:val="0"/>
                <w:sz w:val="19"/>
              </w:rPr>
              <w:t>BAB 3, bagian 3.3 Subjek dan Teknik Pengambilan Sampel.</w:t>
            </w:r>
          </w:p>
        </w:tc>
        <w:tc>
          <w:tcPr>
            <w:tcW w:type="dxa" w:w="2268"/>
            <w:vAlign w:val="center"/>
          </w:tcPr>
          <w:p>
            <w:pPr>
              <w:spacing w:after="0"/>
            </w:pPr>
            <w:r/>
            <w:r>
              <w:rPr>
                <w:rFonts w:ascii="Calibri" w:hAnsi="Calibri" w:eastAsia="Calibri"/>
                <w:b w:val="0"/>
                <w:sz w:val="19"/>
              </w:rPr>
              <w:t>Jumlah responden dibuat eksplisit sehingga desain uji coba lebih jelas.</w:t>
            </w:r>
          </w:p>
        </w:tc>
      </w:tr>
      <w:tr>
        <w:tc>
          <w:tcPr>
            <w:tcW w:type="dxa" w:w="567"/>
            <w:vAlign w:val="center"/>
          </w:tcPr>
          <w:p>
            <w:pPr>
              <w:spacing w:after="0"/>
            </w:pPr>
            <w:r/>
            <w:r>
              <w:rPr>
                <w:rFonts w:ascii="Calibri" w:hAnsi="Calibri" w:eastAsia="Calibri"/>
                <w:b w:val="0"/>
                <w:sz w:val="19"/>
              </w:rPr>
              <w:t>7</w:t>
            </w:r>
          </w:p>
        </w:tc>
        <w:tc>
          <w:tcPr>
            <w:tcW w:type="dxa" w:w="2041"/>
            <w:vAlign w:val="center"/>
          </w:tcPr>
          <w:p>
            <w:pPr>
              <w:spacing w:after="0"/>
            </w:pPr>
            <w:r/>
            <w:r>
              <w:rPr>
                <w:rFonts w:ascii="Calibri" w:hAnsi="Calibri" w:eastAsia="Calibri"/>
                <w:b w:val="0"/>
                <w:sz w:val="19"/>
              </w:rPr>
              <w:t>Metode belum merinci teknik pengambilan sampel.</w:t>
            </w:r>
          </w:p>
        </w:tc>
        <w:tc>
          <w:tcPr>
            <w:tcW w:type="dxa" w:w="2494"/>
            <w:vAlign w:val="center"/>
          </w:tcPr>
          <w:p>
            <w:pPr>
              <w:spacing w:after="0"/>
            </w:pPr>
            <w:r/>
            <w:r>
              <w:rPr>
                <w:rFonts w:ascii="Calibri" w:hAnsi="Calibri" w:eastAsia="Calibri"/>
                <w:b w:val="0"/>
                <w:sz w:val="19"/>
              </w:rPr>
              <w:t>Ditambahkan teknik purposive sampling dengan kriteria siswa aktif, bersedia mengikuti uji coba, memiliki akses telepon pintar, dan mengikuti ketentuan izin sekolah.</w:t>
            </w:r>
          </w:p>
        </w:tc>
        <w:tc>
          <w:tcPr>
            <w:tcW w:type="dxa" w:w="1814"/>
            <w:vAlign w:val="center"/>
          </w:tcPr>
          <w:p>
            <w:pPr>
              <w:spacing w:after="0"/>
            </w:pPr>
            <w:r/>
            <w:r>
              <w:rPr>
                <w:rFonts w:ascii="Calibri" w:hAnsi="Calibri" w:eastAsia="Calibri"/>
                <w:b w:val="0"/>
                <w:sz w:val="19"/>
              </w:rPr>
              <w:t>BAB 3, bagian 3.3 Subjek dan Teknik Pengambilan Sampel.</w:t>
            </w:r>
          </w:p>
        </w:tc>
        <w:tc>
          <w:tcPr>
            <w:tcW w:type="dxa" w:w="2268"/>
            <w:vAlign w:val="center"/>
          </w:tcPr>
          <w:p>
            <w:pPr>
              <w:spacing w:after="0"/>
            </w:pPr>
            <w:r/>
            <w:r>
              <w:rPr>
                <w:rFonts w:ascii="Calibri" w:hAnsi="Calibri" w:eastAsia="Calibri"/>
                <w:b w:val="0"/>
                <w:sz w:val="19"/>
              </w:rPr>
              <w:t>Pemilihan responden menjadi memiliki dasar metodologis.</w:t>
            </w:r>
          </w:p>
        </w:tc>
      </w:tr>
      <w:tr>
        <w:tc>
          <w:tcPr>
            <w:tcW w:type="dxa" w:w="567"/>
            <w:vAlign w:val="center"/>
          </w:tcPr>
          <w:p>
            <w:pPr>
              <w:spacing w:after="0"/>
            </w:pPr>
            <w:r/>
            <w:r>
              <w:rPr>
                <w:rFonts w:ascii="Calibri" w:hAnsi="Calibri" w:eastAsia="Calibri"/>
                <w:b w:val="0"/>
                <w:sz w:val="19"/>
              </w:rPr>
              <w:t>8</w:t>
            </w:r>
          </w:p>
        </w:tc>
        <w:tc>
          <w:tcPr>
            <w:tcW w:type="dxa" w:w="2041"/>
            <w:vAlign w:val="center"/>
          </w:tcPr>
          <w:p>
            <w:pPr>
              <w:spacing w:after="0"/>
            </w:pPr>
            <w:r/>
            <w:r>
              <w:rPr>
                <w:rFonts w:ascii="Calibri" w:hAnsi="Calibri" w:eastAsia="Calibri"/>
                <w:b w:val="0"/>
                <w:sz w:val="19"/>
              </w:rPr>
              <w:t>Desain uji efektivitas belum jelas.</w:t>
            </w:r>
          </w:p>
        </w:tc>
        <w:tc>
          <w:tcPr>
            <w:tcW w:type="dxa" w:w="2494"/>
            <w:vAlign w:val="center"/>
          </w:tcPr>
          <w:p>
            <w:pPr>
              <w:spacing w:after="0"/>
            </w:pPr>
            <w:r/>
            <w:r>
              <w:rPr>
                <w:rFonts w:ascii="Calibri" w:hAnsi="Calibri" w:eastAsia="Calibri"/>
                <w:b w:val="0"/>
                <w:sz w:val="19"/>
              </w:rPr>
              <w:t>Desain ditegaskan sebagai Research and Development sederhana dengan one-group pretest-posttest.</w:t>
            </w:r>
          </w:p>
        </w:tc>
        <w:tc>
          <w:tcPr>
            <w:tcW w:type="dxa" w:w="1814"/>
            <w:vAlign w:val="center"/>
          </w:tcPr>
          <w:p>
            <w:pPr>
              <w:spacing w:after="0"/>
            </w:pPr>
            <w:r/>
            <w:r>
              <w:rPr>
                <w:rFonts w:ascii="Calibri" w:hAnsi="Calibri" w:eastAsia="Calibri"/>
                <w:b w:val="0"/>
                <w:sz w:val="19"/>
              </w:rPr>
              <w:t>BAB 3, bagian 3.1 Desain Penelitian.</w:t>
            </w:r>
          </w:p>
        </w:tc>
        <w:tc>
          <w:tcPr>
            <w:tcW w:type="dxa" w:w="2268"/>
            <w:vAlign w:val="center"/>
          </w:tcPr>
          <w:p>
            <w:pPr>
              <w:spacing w:after="0"/>
            </w:pPr>
            <w:r/>
            <w:r>
              <w:rPr>
                <w:rFonts w:ascii="Calibri" w:hAnsi="Calibri" w:eastAsia="Calibri"/>
                <w:b w:val="0"/>
                <w:sz w:val="19"/>
              </w:rPr>
              <w:t>Reviewer dapat melihat hubungan antara pengembangan platform dan pengukuran efektivitas.</w:t>
            </w:r>
          </w:p>
        </w:tc>
      </w:tr>
      <w:tr>
        <w:tc>
          <w:tcPr>
            <w:tcW w:type="dxa" w:w="567"/>
            <w:vAlign w:val="center"/>
          </w:tcPr>
          <w:p>
            <w:pPr>
              <w:spacing w:after="0"/>
            </w:pPr>
            <w:r/>
            <w:r>
              <w:rPr>
                <w:rFonts w:ascii="Calibri" w:hAnsi="Calibri" w:eastAsia="Calibri"/>
                <w:b w:val="0"/>
                <w:sz w:val="19"/>
              </w:rPr>
              <w:t>9</w:t>
            </w:r>
          </w:p>
        </w:tc>
        <w:tc>
          <w:tcPr>
            <w:tcW w:type="dxa" w:w="2041"/>
            <w:vAlign w:val="center"/>
          </w:tcPr>
          <w:p>
            <w:pPr>
              <w:spacing w:after="0"/>
            </w:pPr>
            <w:r/>
            <w:r>
              <w:rPr>
                <w:rFonts w:ascii="Calibri" w:hAnsi="Calibri" w:eastAsia="Calibri"/>
                <w:b w:val="0"/>
                <w:sz w:val="19"/>
              </w:rPr>
              <w:t>Indikator pengukuran loyalitas belum diungkapkan.</w:t>
            </w:r>
          </w:p>
        </w:tc>
        <w:tc>
          <w:tcPr>
            <w:tcW w:type="dxa" w:w="2494"/>
            <w:vAlign w:val="center"/>
          </w:tcPr>
          <w:p>
            <w:pPr>
              <w:spacing w:after="0"/>
            </w:pPr>
            <w:r/>
            <w:r>
              <w:rPr>
                <w:rFonts w:ascii="Calibri" w:hAnsi="Calibri" w:eastAsia="Calibri"/>
                <w:b w:val="0"/>
                <w:sz w:val="19"/>
              </w:rPr>
              <w:t>Ditambahkan tabel indikator loyalitas berbahasa: sikap positif, kesetiaan penggunaan, kesadaran norma, kebanggaan, dan pemilihan ragam.</w:t>
            </w:r>
          </w:p>
        </w:tc>
        <w:tc>
          <w:tcPr>
            <w:tcW w:type="dxa" w:w="1814"/>
            <w:vAlign w:val="center"/>
          </w:tcPr>
          <w:p>
            <w:pPr>
              <w:spacing w:after="0"/>
            </w:pPr>
            <w:r/>
            <w:r>
              <w:rPr>
                <w:rFonts w:ascii="Calibri" w:hAnsi="Calibri" w:eastAsia="Calibri"/>
                <w:b w:val="0"/>
                <w:sz w:val="19"/>
              </w:rPr>
              <w:t>BAB 2, bagian 2.3 dan BAB 3, bagian 3.4.</w:t>
            </w:r>
          </w:p>
        </w:tc>
        <w:tc>
          <w:tcPr>
            <w:tcW w:type="dxa" w:w="2268"/>
            <w:vAlign w:val="center"/>
          </w:tcPr>
          <w:p>
            <w:pPr>
              <w:spacing w:after="0"/>
            </w:pPr>
            <w:r/>
            <w:r>
              <w:rPr>
                <w:rFonts w:ascii="Calibri" w:hAnsi="Calibri" w:eastAsia="Calibri"/>
                <w:b w:val="0"/>
                <w:sz w:val="19"/>
              </w:rPr>
              <w:t>Variabel loyalitas berbahasa kini dapat diukur melalui kuesioner, kuis, dan skenario komunikasi.</w:t>
            </w:r>
          </w:p>
        </w:tc>
      </w:tr>
      <w:tr>
        <w:tc>
          <w:tcPr>
            <w:tcW w:type="dxa" w:w="567"/>
            <w:vAlign w:val="center"/>
          </w:tcPr>
          <w:p>
            <w:pPr>
              <w:spacing w:after="0"/>
            </w:pPr>
            <w:r/>
            <w:r>
              <w:rPr>
                <w:rFonts w:ascii="Calibri" w:hAnsi="Calibri" w:eastAsia="Calibri"/>
                <w:b w:val="0"/>
                <w:sz w:val="19"/>
              </w:rPr>
              <w:t>10</w:t>
            </w:r>
          </w:p>
        </w:tc>
        <w:tc>
          <w:tcPr>
            <w:tcW w:type="dxa" w:w="2041"/>
            <w:vAlign w:val="center"/>
          </w:tcPr>
          <w:p>
            <w:pPr>
              <w:spacing w:after="0"/>
            </w:pPr>
            <w:r/>
            <w:r>
              <w:rPr>
                <w:rFonts w:ascii="Calibri" w:hAnsi="Calibri" w:eastAsia="Calibri"/>
                <w:b w:val="0"/>
                <w:sz w:val="19"/>
              </w:rPr>
              <w:t>Prosedur penelitian belum menunjukkan metode yang jelas.</w:t>
            </w:r>
          </w:p>
        </w:tc>
        <w:tc>
          <w:tcPr>
            <w:tcW w:type="dxa" w:w="2494"/>
            <w:vAlign w:val="center"/>
          </w:tcPr>
          <w:p>
            <w:pPr>
              <w:spacing w:after="0"/>
            </w:pPr>
            <w:r/>
            <w:r>
              <w:rPr>
                <w:rFonts w:ascii="Calibri" w:hAnsi="Calibri" w:eastAsia="Calibri"/>
                <w:b w:val="0"/>
                <w:sz w:val="19"/>
              </w:rPr>
              <w:t>Prosedur disusun menjadi delapan tahap: studi literatur, perancangan, validasi, pretest, uji coba, posttest, analisis, revisi akhir.</w:t>
            </w:r>
          </w:p>
        </w:tc>
        <w:tc>
          <w:tcPr>
            <w:tcW w:type="dxa" w:w="1814"/>
            <w:vAlign w:val="center"/>
          </w:tcPr>
          <w:p>
            <w:pPr>
              <w:spacing w:after="0"/>
            </w:pPr>
            <w:r/>
            <w:r>
              <w:rPr>
                <w:rFonts w:ascii="Calibri" w:hAnsi="Calibri" w:eastAsia="Calibri"/>
                <w:b w:val="0"/>
                <w:sz w:val="19"/>
              </w:rPr>
              <w:t>BAB 3, bagian 3.6 Prosedur Penelitian.</w:t>
            </w:r>
          </w:p>
        </w:tc>
        <w:tc>
          <w:tcPr>
            <w:tcW w:type="dxa" w:w="2268"/>
            <w:vAlign w:val="center"/>
          </w:tcPr>
          <w:p>
            <w:pPr>
              <w:spacing w:after="0"/>
            </w:pPr>
            <w:r/>
            <w:r>
              <w:rPr>
                <w:rFonts w:ascii="Calibri" w:hAnsi="Calibri" w:eastAsia="Calibri"/>
                <w:b w:val="0"/>
                <w:sz w:val="19"/>
              </w:rPr>
              <w:t>Alur penelitian lebih runtut dan sesuai desain R&amp;D + pretest-posttest.</w:t>
            </w:r>
          </w:p>
        </w:tc>
      </w:tr>
      <w:tr>
        <w:tc>
          <w:tcPr>
            <w:tcW w:type="dxa" w:w="567"/>
            <w:vAlign w:val="center"/>
          </w:tcPr>
          <w:p>
            <w:pPr>
              <w:spacing w:after="0"/>
            </w:pPr>
            <w:r/>
            <w:r>
              <w:rPr>
                <w:rFonts w:ascii="Calibri" w:hAnsi="Calibri" w:eastAsia="Calibri"/>
                <w:b w:val="0"/>
                <w:sz w:val="19"/>
              </w:rPr>
              <w:t>11</w:t>
            </w:r>
          </w:p>
        </w:tc>
        <w:tc>
          <w:tcPr>
            <w:tcW w:type="dxa" w:w="2041"/>
            <w:vAlign w:val="center"/>
          </w:tcPr>
          <w:p>
            <w:pPr>
              <w:spacing w:after="0"/>
            </w:pPr>
            <w:r/>
            <w:r>
              <w:rPr>
                <w:rFonts w:ascii="Calibri" w:hAnsi="Calibri" w:eastAsia="Calibri"/>
                <w:b w:val="0"/>
                <w:sz w:val="19"/>
              </w:rPr>
              <w:t>Analisis data kurang kuat untuk mengukur peningkatan loyalitas.</w:t>
            </w:r>
          </w:p>
        </w:tc>
        <w:tc>
          <w:tcPr>
            <w:tcW w:type="dxa" w:w="2494"/>
            <w:vAlign w:val="center"/>
          </w:tcPr>
          <w:p>
            <w:pPr>
              <w:spacing w:after="0"/>
            </w:pPr>
            <w:r/>
            <w:r>
              <w:rPr>
                <w:rFonts w:ascii="Calibri" w:hAnsi="Calibri" w:eastAsia="Calibri"/>
                <w:b w:val="0"/>
                <w:sz w:val="19"/>
              </w:rPr>
              <w:t>Ditambahkan teknik analisis rata-rata pretest-posttest, persentase peningkatan, N-gain, dan opsi uji paired sample t-test atau Wilcoxon.</w:t>
            </w:r>
          </w:p>
        </w:tc>
        <w:tc>
          <w:tcPr>
            <w:tcW w:type="dxa" w:w="1814"/>
            <w:vAlign w:val="center"/>
          </w:tcPr>
          <w:p>
            <w:pPr>
              <w:spacing w:after="0"/>
            </w:pPr>
            <w:r/>
            <w:r>
              <w:rPr>
                <w:rFonts w:ascii="Calibri" w:hAnsi="Calibri" w:eastAsia="Calibri"/>
                <w:b w:val="0"/>
                <w:sz w:val="19"/>
              </w:rPr>
              <w:t>BAB 3, bagian 3.8 Teknik Analisis Data.</w:t>
            </w:r>
          </w:p>
        </w:tc>
        <w:tc>
          <w:tcPr>
            <w:tcW w:type="dxa" w:w="2268"/>
            <w:vAlign w:val="center"/>
          </w:tcPr>
          <w:p>
            <w:pPr>
              <w:spacing w:after="0"/>
            </w:pPr>
            <w:r/>
            <w:r>
              <w:rPr>
                <w:rFonts w:ascii="Calibri" w:hAnsi="Calibri" w:eastAsia="Calibri"/>
                <w:b w:val="0"/>
                <w:sz w:val="19"/>
              </w:rPr>
              <w:t>Analisis tidak hanya deskriptif sederhana, tetapi memiliki ukuran peningkatan yang lebih kuat.</w:t>
            </w:r>
          </w:p>
        </w:tc>
      </w:tr>
      <w:tr>
        <w:tc>
          <w:tcPr>
            <w:tcW w:type="dxa" w:w="567"/>
            <w:vAlign w:val="center"/>
          </w:tcPr>
          <w:p>
            <w:pPr>
              <w:spacing w:after="0"/>
            </w:pPr>
            <w:r/>
            <w:r>
              <w:rPr>
                <w:rFonts w:ascii="Calibri" w:hAnsi="Calibri" w:eastAsia="Calibri"/>
                <w:b w:val="0"/>
                <w:sz w:val="19"/>
              </w:rPr>
              <w:t>12</w:t>
            </w:r>
          </w:p>
        </w:tc>
        <w:tc>
          <w:tcPr>
            <w:tcW w:type="dxa" w:w="2041"/>
            <w:vAlign w:val="center"/>
          </w:tcPr>
          <w:p>
            <w:pPr>
              <w:spacing w:after="0"/>
            </w:pPr>
            <w:r/>
            <w:r>
              <w:rPr>
                <w:rFonts w:ascii="Calibri" w:hAnsi="Calibri" w:eastAsia="Calibri"/>
                <w:b w:val="0"/>
                <w:sz w:val="19"/>
              </w:rPr>
              <w:t>Daftar pustaka belum lengkap dan perlu perbaikan.</w:t>
            </w:r>
          </w:p>
        </w:tc>
        <w:tc>
          <w:tcPr>
            <w:tcW w:type="dxa" w:w="2494"/>
            <w:vAlign w:val="center"/>
          </w:tcPr>
          <w:p>
            <w:r>
              <w:t>Daftar pustaka diperluas dan disesuaikan dari 8 menjadi 16 sumber. Referensi ditambahkan untuk teori language awareness, loyalitas/sikap bahasa, bahasa digital dan campur kode, gamifikasi pembelajaran bahasa, data empiris UKBI, serta metode R&amp;D.</w:t>
            </w:r>
          </w:p>
        </w:tc>
        <w:tc>
          <w:tcPr>
            <w:tcW w:type="dxa" w:w="1814"/>
            <w:vAlign w:val="center"/>
          </w:tcPr>
          <w:p>
            <w:r>
              <w:t>Daftar Pustaka dan BAB 2 Tinjauan Pustaka.</w:t>
            </w:r>
          </w:p>
        </w:tc>
        <w:tc>
          <w:tcPr>
            <w:tcW w:type="dxa" w:w="2268"/>
            <w:vAlign w:val="center"/>
          </w:tcPr>
          <w:p>
            <w:r>
              <w:t>Perbaikan tidak hanya menambah jumlah sumber, tetapi juga menyesuaikan fungsi rujukan dengan bagian naskah: Fairclough/Carter untuk language awareness, Garvin-Mathiot/Chaer untuk loyalitas bahasa, Crystal dan kajian 2024 untuk bahasa digital/campur kode, Shortt/Luo/Al-Dosakee untuk gamifikasi, UKBI untuk data empiris, dan Sugiyono untuk metode.</w:t>
            </w:r>
          </w:p>
        </w:tc>
      </w:tr>
      <w:tr>
        <w:tc>
          <w:tcPr>
            <w:tcW w:type="dxa" w:w="567"/>
            <w:vAlign w:val="center"/>
          </w:tcPr>
          <w:p>
            <w:pPr>
              <w:spacing w:after="0"/>
            </w:pPr>
            <w:r/>
            <w:r>
              <w:rPr>
                <w:rFonts w:ascii="Calibri" w:hAnsi="Calibri" w:eastAsia="Calibri"/>
                <w:b w:val="0"/>
                <w:sz w:val="19"/>
              </w:rPr>
              <w:t>13</w:t>
            </w:r>
          </w:p>
        </w:tc>
        <w:tc>
          <w:tcPr>
            <w:tcW w:type="dxa" w:w="2041"/>
            <w:vAlign w:val="center"/>
          </w:tcPr>
          <w:p>
            <w:pPr>
              <w:spacing w:after="0"/>
            </w:pPr>
            <w:r/>
            <w:r>
              <w:rPr>
                <w:rFonts w:ascii="Calibri" w:hAnsi="Calibri" w:eastAsia="Calibri"/>
                <w:b w:val="0"/>
                <w:sz w:val="19"/>
              </w:rPr>
              <w:t>Anggaran Rp1.192.000 kurang realistis karena komponen belum rinci.</w:t>
            </w:r>
          </w:p>
        </w:tc>
        <w:tc>
          <w:tcPr>
            <w:tcW w:type="dxa" w:w="2494"/>
            <w:vAlign w:val="center"/>
          </w:tcPr>
          <w:p>
            <w:r>
              <w:t>RAB disesuaikan dari Rp1.192.000 menjadi Rp10.000.000 dengan rincian komponen yang lebih realistis: pengembangan prototipe, aset visual/audio, perangkat uji coba, internet/hosting, cetak instrumen, dokumentasi, operasional, dan validasi ahli/guru.</w:t>
            </w:r>
          </w:p>
        </w:tc>
        <w:tc>
          <w:tcPr>
            <w:tcW w:type="dxa" w:w="1814"/>
            <w:vAlign w:val="center"/>
          </w:tcPr>
          <w:p>
            <w:r>
              <w:t>BAB 4, bagian 4.1 Rancangan Anggaran Biaya.</w:t>
            </w:r>
          </w:p>
        </w:tc>
        <w:tc>
          <w:tcPr>
            <w:tcW w:type="dxa" w:w="2268"/>
            <w:vAlign w:val="center"/>
          </w:tcPr>
          <w:p>
            <w:r>
              <w:t>Perbaikan membuat anggaran lebih sesuai dengan kebutuhan pengembangan platform digital dan uji efektivitas. Total dipilih Rp10.000.000 agar tetap wajar di bawah batas maksimal Rp15.000.000, tetapi cukup untuk mendukung prototipe, instrumen, uji coba, dan dokumentasi.</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