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60" w:before="480" w:lineRule="auto"/>
        <w:jc w:val="center"/>
        <w:rPr/>
      </w:pPr>
      <w:r w:rsidDel="00000000" w:rsidR="00000000" w:rsidRPr="00000000">
        <w:rPr>
          <w:rFonts w:ascii="Arial" w:cs="Arial" w:eastAsia="Arial" w:hAnsi="Arial"/>
          <w:b w:val="1"/>
          <w:bCs w:val="1"/>
          <w:color w:val="1b3a6b"/>
          <w:sz w:val="24"/>
          <w:szCs w:val="24"/>
          <w:rtl w:val="0"/>
        </w:rPr>
        <w:t xml:space="preserve">SECRETARIA DA FAZENDA DO ESTADO DO CEARÁ</w:t>
      </w: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Arial" w:cs="Arial" w:eastAsia="Arial" w:hAnsi="Arial"/>
          <w:color w:val="444444"/>
          <w:sz w:val="22"/>
          <w:szCs w:val="22"/>
          <w:rtl w:val="0"/>
        </w:rPr>
        <w:t xml:space="preserve">COORDENADORIA DE ATENDIMENTO E EXECUÇÃO — COATE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20" w:before="360" w:lineRule="auto"/>
        <w:jc w:val="center"/>
        <w:rPr/>
      </w:pPr>
      <w:r w:rsidDel="00000000" w:rsidR="00000000" w:rsidRPr="00000000">
        <w:rPr>
          <w:rFonts w:ascii="Arial" w:cs="Arial" w:eastAsia="Arial" w:hAnsi="Arial"/>
          <w:b w:val="1"/>
          <w:bCs w:val="1"/>
          <w:color w:val="1b3a6b"/>
          <w:sz w:val="52"/>
          <w:szCs w:val="52"/>
          <w:rtl w:val="0"/>
        </w:rPr>
        <w:t xml:space="preserve">PROJETO FAROL FISCAL</w:t>
      </w:r>
      <w:r w:rsidDel="00000000" w:rsidR="00000000" w:rsidRPr="00000000">
        <w:rPr>
          <w:rtl w:val="0"/>
        </w:rPr>
      </w:r>
    </w:p>
    <w:p w:rsidR="00000000" w:rsidDel="00000000" w:rsidP="00000000" w:rsidRDefault="00000000" w:rsidRPr="00000000" w14:paraId="00000009">
      <w:pPr>
        <w:spacing w:after="60" w:before="60" w:lineRule="auto"/>
        <w:jc w:val="center"/>
        <w:rPr/>
      </w:pPr>
      <w:r w:rsidDel="00000000" w:rsidR="00000000" w:rsidRPr="00000000">
        <w:rPr>
          <w:rFonts w:ascii="Arial" w:cs="Arial" w:eastAsia="Arial" w:hAnsi="Arial"/>
          <w:color w:val="2e5fa3"/>
          <w:sz w:val="28"/>
          <w:szCs w:val="28"/>
          <w:rtl w:val="0"/>
        </w:rPr>
        <w:t xml:space="preserve">Sistema Inteligente de Monitoramento Eletrônico e Gestão de Risco de Contribuintes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60" w:before="240" w:lineRule="auto"/>
        <w:jc w:val="center"/>
        <w:rPr/>
      </w:pPr>
      <w:r w:rsidDel="00000000" w:rsidR="00000000" w:rsidRPr="00000000">
        <w:rPr>
          <w:rFonts w:ascii="Arial" w:cs="Arial" w:eastAsia="Arial" w:hAnsi="Arial"/>
          <w:color w:val="666666"/>
          <w:sz w:val="22"/>
          <w:szCs w:val="22"/>
          <w:rtl w:val="0"/>
        </w:rPr>
        <w:t xml:space="preserve">Versão 1.0 — Junho/2025</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c0392b"/>
          <w:sz w:val="20"/>
          <w:szCs w:val="20"/>
          <w:rtl w:val="0"/>
        </w:rPr>
        <w:t xml:space="preserve">Classificação: RESTRITO | Uso interno da SEFAZ/CE</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SUMÁRIO</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sz w:val="22"/>
          <w:szCs w:val="22"/>
          <w:rtl w:val="0"/>
        </w:rPr>
        <w:t xml:space="preserve">1. Resumo Executivo</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sz w:val="22"/>
          <w:szCs w:val="22"/>
          <w:rtl w:val="0"/>
        </w:rPr>
        <w:t xml:space="preserve">2. Contexto e Motivação</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sz w:val="22"/>
          <w:szCs w:val="22"/>
          <w:rtl w:val="0"/>
        </w:rPr>
        <w:t xml:space="preserve">3. Objetivos</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sz w:val="22"/>
          <w:szCs w:val="22"/>
          <w:rtl w:val="0"/>
        </w:rPr>
        <w:t xml:space="preserve">4. Fundamentação Legal</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sz w:val="22"/>
          <w:szCs w:val="22"/>
          <w:rtl w:val="0"/>
        </w:rPr>
        <w:t xml:space="preserve">5. Arquitetura do Sistema Farol Fiscal</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6. Indicadores de Risco — Modelo Determinístico com Pesos</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Fonts w:ascii="Arial" w:cs="Arial" w:eastAsia="Arial" w:hAnsi="Arial"/>
          <w:sz w:val="22"/>
          <w:szCs w:val="22"/>
          <w:rtl w:val="0"/>
        </w:rPr>
        <w:t xml:space="preserve">7. Metodologia de Cálculo do Score de Risco</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8. Fluxo Operacional do Semáforo</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sz w:val="22"/>
          <w:szCs w:val="22"/>
          <w:rtl w:val="0"/>
        </w:rPr>
        <w:t xml:space="preserve">9. Integração com Processos da SEFAZ/CE</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sz w:val="22"/>
          <w:szCs w:val="22"/>
          <w:rtl w:val="0"/>
        </w:rPr>
        <w:t xml:space="preserve">10. Infraestrutura Tecnológica</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11. Plano de Implantação (Cronograma)</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sz w:val="22"/>
          <w:szCs w:val="22"/>
          <w:rtl w:val="0"/>
        </w:rPr>
        <w:t xml:space="preserve">12. Gestão de Riscos do Projeto</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sz w:val="22"/>
          <w:szCs w:val="22"/>
          <w:rtl w:val="0"/>
        </w:rPr>
        <w:t xml:space="preserve">13. Resultados Esperados e KPIs</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14. Governança e Responsabilidades</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sz w:val="22"/>
          <w:szCs w:val="22"/>
          <w:rtl w:val="0"/>
        </w:rPr>
        <w:t xml:space="preserve">15. Considerações Finais</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1. RESUMO EXECUTIVO</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2"/>
          <w:szCs w:val="22"/>
          <w:rtl w:val="0"/>
        </w:rPr>
        <w:t xml:space="preserve">O Projeto Farol Fiscal é uma iniciativa estratégica da Secretaria da Fazenda do Estado do Ceará (SEFAZ/CE), desenvolvida no âmbito da Coordenadoria de Atendimento e Execução (COATE), com o objetivo de implantar um sistema eletrônico inteligente de monitoramento contínuo e gestão de risco de contribuintes do ICMS recém-constituídos.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O sistema opera com base em uma lógica de semáforo de três níveis — Verde, Amarelo e Vermelho — que classifica automaticamente cada novo contribuinte conforme seu perfil de risco, calculado a partir de dezenas de indicadores fiscais, cadastrais, econômicos e financeiros, cruzados em tempo real por meio de tecnologias de big data e inteligência artificial.</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sz w:val="22"/>
          <w:szCs w:val="22"/>
          <w:rtl w:val="0"/>
        </w:rPr>
        <w:t xml:space="preserve">A solução permite substituir, em grande medida, as diligências presenciais obrigatórias atualmente exigidas para a concessão de inscrição no Cadastro Geral da Fazenda (CGF), conforme previsto na Instrução Normativa n.º 77/2019. Em vez de uma visita física onerosa realizada no momento em que pouco se conhece sobre a empresa, o Farol Fiscal monitora continuamente o comportamento da empresa nos primeiros 24 meses de atividade, permitindo ação fiscal rápida e direcionada sempre que comportamentos atípicos forem detectados.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O projeto está alinhado às disposições da IN 147/2024 (que trata da rejeição de NF-e por irregularidade fiscal) e à Proposta de Reclassificação de CNAE de Ofício (COATE/2024), compondo um ecossistema integrado de combate à evasão fiscal.</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2. CONTEXTO E MOTIVAÇÃO</w:t>
      </w: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2.1 Diagnóstico do Problema</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sz w:val="22"/>
          <w:szCs w:val="22"/>
          <w:rtl w:val="0"/>
        </w:rPr>
        <w:t xml:space="preserve">A SEFAZ/CE enfrenta três desafios estruturais no controle de contribuintes recém-constituídos: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Diligências presenciais onerosas: A IN 77/2019 exige visitas físicas para determinadas categorias de contribuintes antes da liberação do CGF. Esse processo consome recursos humanos escassos, implica custos de deslocamento e, paradoxalmente, ocorre no momento em que menos informações estão disponíveis sobre a empresa.</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Janela de vulnerabilidade: Os primeiros 12 a 24 meses de atividade de uma empresa são historicamente os períodos de maior risco de evasão fiscal. Empresas constituídas para fins fraudulentos frequentemente operam intensamente nesse período antes de serem encerradas.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Identificação tardia de comportamentos atípicos: O modelo atual de fiscalização é majoritariamente reativo. A identificação de irregularidades ocorre após o dano ao erário, dificultando a recuperação do crédito tributário.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2.2 Oportunidade Tecnológica</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O avanço da NF-e, NFC-e, CT-e e outros documentos fiscais eletrônicos criou um imenso repositório de dados transacionais em tempo real. A SEFAZ/CE possui hoje a capacidade técnica de cruzar esses dados com informações de outras bases públicas (CNPJ, SCR, CEIS, TCE, TRE, entre outros) para construir um perfil de risco preciso e dinâmico de cada contribuinte.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2.3 Alinhamento Estratégico</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sz w:val="22"/>
          <w:szCs w:val="22"/>
          <w:rtl w:val="0"/>
        </w:rPr>
        <w:t xml:space="preserve">O Farol Fiscal se alinha diretamente às seguintes iniciativas normativas já em vigor na SEFAZ/CE: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147/2024: Prevê a rejeição de NF-e em virtude de irregularidade fiscal do emitente ou destinatário, incluindo indicadores de fraudes fiscais estruturadas (Art. 2.º, III).</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77/2019: Regula o CGF, prevendo reclassificação de ofício de CNAE (Art. 5.º, §§ 7.º e 8.º) e a possibilidade de alteração automática em caso de divergência.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Proposta CNAE de Ofício (COATE/2024): Propõe metodologia automatizada para reclassificação de atividade econômica usando big data e IA, diretamente complementar ao Farol Fiscal.</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3. OBJETIVOS</w:t>
      </w: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3.1 Objetivo Geral</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Fonts w:ascii="Arial" w:cs="Arial" w:eastAsia="Arial" w:hAnsi="Arial"/>
          <w:sz w:val="22"/>
          <w:szCs w:val="22"/>
          <w:rtl w:val="0"/>
        </w:rPr>
        <w:t xml:space="preserve">Implantar um sistema eletrônico inteligente de monitoramento contínuo de contribuintes recém-constituídos, classificando-os automaticamente por nível de risco fiscal (semáforo Verde/Amarelo/Vermelho), com base em indicadores determinísticos ponderados, de forma a orientar ações fiscais preventivas e eliminar a necessidade de diligências presenciais indiscriminadas.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3.2 Objetivos Específicos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Substituir as diligências presenciais obrigatórias por monitoramento eletrônico contínuo nos primeiros 24 meses de atividade do contribuinte.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em tempo real, comportamentos fiscais atípicos que indiquem risco de evasão, fraude ou planejamento tributário abusivo.</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Classificar automaticamente cada contribuinte em três níveis de risco (Verde, Amarelo, Vermelho) com atualização dinâmica do score.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Priorizar a alocação de recursos de auditoria e fiscalização com base no nível de risco calculado.</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o sistema com os módulos de rejeição de NF-e (IN 147/2024) e reclassificação de CNAE de ofício.</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Reduzir o tempo de detecção de irregularidades de meses para dias.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Aumentar a arrecadação do ICMS no Estado do Ceará por meio do combate à evasão nos primeiros ciclos de vida das empresas.</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4. FUNDAMENTAÇÃO LEGAL</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sz w:val="22"/>
          <w:szCs w:val="22"/>
          <w:rtl w:val="0"/>
        </w:rPr>
        <w:t xml:space="preserve">O Projeto Farol Fiscal encontra amparo nas seguintes normas: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026"/>
        <w:tblGridChange w:id="0">
          <w:tblGrid>
            <w:gridCol w:w="2500"/>
            <w:gridCol w:w="25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Norma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Dispositivo Relevante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Aplicação no Projeto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IN 77/2019 — CGF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Art. 5.º, §§ 7.º e 8.º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Reclassificação de ofício de CNAE; precedida de intimação com prazo de 15 dias para contestação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IN 77/2019 — CGF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Art. 31, § 2.º (IN 88/2024)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Alternativa à diligência presencial: uso de soluções tecnológicas e procedimentos virtuais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IN 77/2019 — CGF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Art. 39, X (IN 88/2024)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Medida acautelatória: edital de convocação a critério do Fisco por até 30 dias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IN 77/2019 — CGF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Art. 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Responsabilidade do contribuinte pela veracidade das informações cadastrais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IN 147/2024 — NF-e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Art. 2.º, III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Irregularidade fiscal: indicadores de envolvimento em fraudes fiscais estruturadas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IN 147/2024 — NF-e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Art. 3.º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Notificação via DT-e antes do bloqueio; cientificação do emitente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Proposta CNAE/2024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Seção 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Reclassificação de ofício com base em atividade preponderante (art. 99 do Decreto 24.569/97)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Decreto 35.061/2022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Art. 6.º, §§ 3.º e 4.º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Definição de atacadista/varejista; esporadicidade de vendas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Decreto 35.061/2022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Art. 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Ato normativo do Secretário define regras de utilização da NF-e e autorização de 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Lei 16.737/2018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Domicílio Tributário Eletrônico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Notificações eletrônicas via DT-e para contribuintes do Estado do Ceará</w:t>
            </w:r>
            <w:r w:rsidDel="00000000" w:rsidR="00000000" w:rsidRPr="00000000">
              <w:rPr>
                <w:rtl w:val="0"/>
              </w:rPr>
            </w:r>
          </w:p>
        </w:tc>
      </w:tr>
    </w:tbl>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5. ARQUITETURA DO SISTEMA FAROL FISCAL</w:t>
      </w:r>
      <w:r w:rsidDel="00000000" w:rsidR="00000000" w:rsidRPr="00000000">
        <w:rPr>
          <w:rtl w:val="0"/>
        </w:rPr>
      </w:r>
    </w:p>
    <w:p w:rsidR="00000000" w:rsidDel="00000000" w:rsidP="00000000" w:rsidRDefault="00000000" w:rsidRPr="00000000" w14:paraId="00000071">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5.1 Visão Geral da Arquitetura</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Fonts w:ascii="Arial" w:cs="Arial" w:eastAsia="Arial" w:hAnsi="Arial"/>
          <w:sz w:val="22"/>
          <w:szCs w:val="22"/>
          <w:rtl w:val="0"/>
        </w:rPr>
        <w:t xml:space="preserve">O Farol Fiscal é composto por cinco camadas funcionais integradas: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100" w:before="200" w:lineRule="auto"/>
        <w:rPr/>
      </w:pPr>
      <w:r w:rsidDel="00000000" w:rsidR="00000000" w:rsidRPr="00000000">
        <w:rPr>
          <w:rFonts w:ascii="Arial" w:cs="Arial" w:eastAsia="Arial" w:hAnsi="Arial"/>
          <w:b w:val="1"/>
          <w:bCs w:val="1"/>
          <w:color w:val="3a7fbf"/>
          <w:sz w:val="24"/>
          <w:szCs w:val="24"/>
          <w:rtl w:val="0"/>
        </w:rPr>
        <w:t xml:space="preserve">CAMADA 1 — Ingestão de Dados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Documentos fiscais eletrônicos: NF-e, NFC-e, CT-e, CF-e (SAT), NF3-e, NFCom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Dados cadastrais: CGF, CNPJ (RFB/REDESIM), JUCEC</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Dados financeiros: SPED Contábil, EFD ICMS/IPI, GIA, PGDAS-D</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Bases externas: Cadastro de Inadimplentes (CADINE), CEIS (Comprasnet), CNEP, TCE/CE (licitações), TRE/CE (domicílio eleitoral dos sócios), BACEN/SCR (crédito bancário), IBGE (porte do setor)</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Dados de endereço: georreferenciamento (Art. 64 da IN 77/2019), Google Maps API, IBGE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100" w:before="200" w:lineRule="auto"/>
        <w:rPr/>
      </w:pPr>
      <w:r w:rsidDel="00000000" w:rsidR="00000000" w:rsidRPr="00000000">
        <w:rPr>
          <w:rFonts w:ascii="Arial" w:cs="Arial" w:eastAsia="Arial" w:hAnsi="Arial"/>
          <w:b w:val="1"/>
          <w:bCs w:val="1"/>
          <w:color w:val="3a7fbf"/>
          <w:sz w:val="24"/>
          <w:szCs w:val="24"/>
          <w:rtl w:val="0"/>
        </w:rPr>
        <w:t xml:space="preserve">CAMADA 2 — Processamento e Cálculo de Indicadores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de regras determinísticas (Rule Engine) com pesos atribuídos a cada indicador</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Processamento em batch (diário) e streaming (tempo real para NF-e)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Normalização de scores: cada indicador é transformado em pontuação 0–100</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Agregação ponderada por dimensão de risco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100" w:before="200" w:lineRule="auto"/>
        <w:rPr/>
      </w:pPr>
      <w:r w:rsidDel="00000000" w:rsidR="00000000" w:rsidRPr="00000000">
        <w:rPr>
          <w:rFonts w:ascii="Arial" w:cs="Arial" w:eastAsia="Arial" w:hAnsi="Arial"/>
          <w:b w:val="1"/>
          <w:bCs w:val="1"/>
          <w:color w:val="3a7fbf"/>
          <w:sz w:val="24"/>
          <w:szCs w:val="24"/>
          <w:rtl w:val="0"/>
        </w:rPr>
        <w:t xml:space="preserve">CAMADA 3 — Classificação de Risco (Semáforo)</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total (0–1000 pontos)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Verde: 0–400 pontos | Amarelo: 401–700 pontos | Vermelho: 701–1000 pontos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Atualização dinâmica: recálculo automático a cada novo evento fiscal</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Gatilhos automáticos: determinados indicadores, se ativados, elevam imediatamente a classificação para Vermelho (flags absolutas)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100" w:before="200" w:lineRule="auto"/>
        <w:rPr/>
      </w:pPr>
      <w:r w:rsidDel="00000000" w:rsidR="00000000" w:rsidRPr="00000000">
        <w:rPr>
          <w:rFonts w:ascii="Arial" w:cs="Arial" w:eastAsia="Arial" w:hAnsi="Arial"/>
          <w:b w:val="1"/>
          <w:bCs w:val="1"/>
          <w:color w:val="3a7fbf"/>
          <w:sz w:val="24"/>
          <w:szCs w:val="24"/>
          <w:rtl w:val="0"/>
        </w:rPr>
        <w:t xml:space="preserve">CAMADA 4 — Interface e Painel de Controle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interativo para auditores fiscais (painel do farol)</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Visualização por CEXAT/regional, setor econômico, porte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Fila de priorização automática de contribuintes para ação fiscal</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Relatório de justificativas para cada classificação (auditabilidade)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100" w:before="200" w:lineRule="auto"/>
        <w:rPr/>
      </w:pPr>
      <w:r w:rsidDel="00000000" w:rsidR="00000000" w:rsidRPr="00000000">
        <w:rPr>
          <w:rFonts w:ascii="Arial" w:cs="Arial" w:eastAsia="Arial" w:hAnsi="Arial"/>
          <w:b w:val="1"/>
          <w:bCs w:val="1"/>
          <w:color w:val="3a7fbf"/>
          <w:sz w:val="24"/>
          <w:szCs w:val="24"/>
          <w:rtl w:val="0"/>
        </w:rPr>
        <w:t xml:space="preserve">CAMADA 5 — Ações e Integrações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Integração com sistema de rejeição de NF-e (IN 147/2024)</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Integração com módulo de reclassificação de CNAE de ofício</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Geração automática de intimações via DT-e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Alimentação do sistema de planejamento da fiscalização (CAF)</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5.2 Fluxo de Dados</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Arial" w:cs="Arial" w:eastAsia="Arial" w:hAnsi="Arial"/>
          <w:sz w:val="22"/>
          <w:szCs w:val="22"/>
          <w:rtl w:val="0"/>
        </w:rPr>
        <w:t xml:space="preserve">O fluxo de dados segue a seguinte sequência: (1) Empresa recém-constituída obtém inscrição no CGF → (2) Sistema inicia monitoramento automático desde o D+0 → (3) A cada evento fiscal (emissão de NF-e, entrega de obrigação acessória, alteração cadastral), os indicadores são recalculados → (4) Score atualizado → classificação automática no semáforo → (5) Se Amarelo: alerta gerado para o auditor fiscal responsável → (6) Se Vermelho: acionamento automático de protocolo de resposta.</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6. INDICADORES DE RISCO — MODELO DETERMINÍSTICO COM PESOS</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sz w:val="22"/>
          <w:szCs w:val="22"/>
          <w:rtl w:val="0"/>
        </w:rPr>
        <w:t xml:space="preserve">Os indicadores estão organizados em 7 dimensões de risco. Cada indicador possui um peso específico dentro de sua dimensão e um peso da dimensão no score total. O score total máximo é 1.000 pontos.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6.1 Dimensão 1 — Cadastral e Societária (Peso: 15% | Máx: 150 pts)</w:t>
      </w:r>
      <w:r w:rsidDel="00000000" w:rsidR="00000000" w:rsidRPr="00000000">
        <w:rPr>
          <w:rtl w:val="0"/>
        </w:rPr>
      </w:r>
    </w:p>
    <w:tbl>
      <w:tblPr>
        <w:tblStyle w:val="Table2"/>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00"/>
        <w:gridCol w:w="900"/>
        <w:gridCol w:w="2826"/>
        <w:tblGridChange w:id="0">
          <w:tblGrid>
            <w:gridCol w:w="800"/>
            <w:gridCol w:w="3500"/>
            <w:gridCol w:w="9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Indicador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Peso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Lógica de Ativação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Sócio com CPF em empresa baixada de ofício (IN 77, Art. 28, VII)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1 ou mais sócios em empresa baixada de ofício nos últimos 5 anos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Sócio com CPF em empresa com inscrição cassada ou suspensa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Sócio presente no quadro societário de empresa cassada/suspensa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Múltiplas empresas com o mesmo sócio/administrador em período inferior a 12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Mais de 2 empresas constituídas com o mesmo sócio em 12 meses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Endereço cadastral com múltiplas empresas ativas sem justificativa (coworking não autorizado)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Mesmo endereço com 3+ empresas sem enquadramento em coworking autorizado (IN 77, art. 19-A)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CNAE incompatível com localização geográfica do estabelecimento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Ex: distribuidora de combustíveis em zona exclusivamente residencial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Capital social incompatível com o porte declarado da atividade econômica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Capital &lt; 10% do faturamento estimado médio do setor (IBGE)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Sócio com domicílio eleitoral em UF diferente do estabelecimento sem justificativa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Divergência entre domicílio TRE e endereço do sócio no CGF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Ausência de contador designado (exceto MEI)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Registro sem CRC vinculado (obrigação do Art. 12, III da IN 77/2019)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C09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Alteração societária frequente (3+ alterações nos primeiros 6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Flag de instabilidade societária</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6.2 Dimensão 2 — Comportamento Fiscal / NF-e (Peso: 25% | Máx: 250 pts)</w:t>
      </w:r>
      <w:r w:rsidDel="00000000" w:rsidR="00000000" w:rsidRPr="00000000">
        <w:rPr>
          <w:rtl w:val="0"/>
        </w:rPr>
      </w:r>
    </w:p>
    <w:tbl>
      <w:tblPr>
        <w:tblStyle w:val="Table3"/>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00"/>
        <w:gridCol w:w="900"/>
        <w:gridCol w:w="2826"/>
        <w:tblGridChange w:id="0">
          <w:tblGrid>
            <w:gridCol w:w="800"/>
            <w:gridCol w:w="3500"/>
            <w:gridCol w:w="9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Indicador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0"/>
                <w:szCs w:val="20"/>
                <w:rtl w:val="0"/>
              </w:rPr>
              <w:t xml:space="preserve">Peso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Lógica de Ativação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Volume de NF-e emitidas desproporcional ao porte e tempo de atividade (FLAG ABSOLUTA)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Volume &gt; 3 desvios-padrão da média setorial nos primeiros 3 meses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Concentração de destinatários: mais de 80% das NF-e para 1-3 CNPJ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Padrão de empresa laranja/triangulação fiscal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NF-e emitidas com NCM/CFOP incompatível com CNAE declarado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Mais de 20% das operações com NCM fora da tabela compatível com a CNAE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Cancelamento excessivo de NF-e (&gt;15% do total emitido)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Pode indicar notas emitidas para crédito indevido do destinatário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NF-e emitidas antes da data de abertura ou em data de inatividade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Emissão retroativa suspeita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Destinatários com inscrição suspensa ou irregular no CGF/CNPJ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Operações com contribuintes em situação irregular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Relação compra/venda desproporcional: saídas muito superiores às entradas sem estoque inicial declarado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Saídas &gt; 150% das entradas sem nota de abertura de estoque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Operações interestaduais com DIFAL não recolhido (IN 147/2024, Art. 2.º,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Cruzamento com dados de DIFAL do SPED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Emissão de NF-e em finais de semana ou feriados em percentual &gt; 40% do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Padrão atípico para determinados setores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Emissão concentrada em períodos pré-declaração (último dia do mês)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Possível ajuste artificial de receita</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6.3 Dimensão 3 — Obrigações Acessórias e Recolhimento (Peso: 20% | Máx: 200 pts)</w:t>
      </w:r>
      <w:r w:rsidDel="00000000" w:rsidR="00000000" w:rsidRPr="00000000">
        <w:rPr>
          <w:rtl w:val="0"/>
        </w:rPr>
      </w:r>
    </w:p>
    <w:tbl>
      <w:tblPr>
        <w:tblStyle w:val="Table4"/>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00"/>
        <w:gridCol w:w="900"/>
        <w:gridCol w:w="2826"/>
        <w:tblGridChange w:id="0">
          <w:tblGrid>
            <w:gridCol w:w="800"/>
            <w:gridCol w:w="3500"/>
            <w:gridCol w:w="9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0"/>
                <w:szCs w:val="20"/>
                <w:rtl w:val="0"/>
              </w:rPr>
              <w:t xml:space="preserve">Indicador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0"/>
                <w:szCs w:val="20"/>
                <w:rtl w:val="0"/>
              </w:rPr>
              <w:t xml:space="preserve">Peso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Lógica de Ativação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O01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Ausência de entrega de EFD por 2+ meses consecutivos nos primeiros 12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Conforme Art. 39, IX da IN 77/2019 (base para edital de convocação)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O02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Entrega de EFD com valor zerado incompatível com NF-e emitidas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Cruzamento EFD x NF-e: divergência &gt; 10% do faturamento apurado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O03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ICMS apurado significativamente inferior ao estimado pelo perfil setorial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ICMS recolhido &lt; 40% da média setorial ajustada pelo faturamento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O04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Ausência de recolhimento de ICMS-ST sendo contribuinte substituto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Cruzamento com lista de substitutos tributários da SEFAZ/CE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O05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Alteração sucessiva de regime de recolhimento (3+ alterações em 12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Pode indicar estratégia de elusão fiscal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O06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PGDAS-D sem movimento por 3+ meses com NF-e emitidas no período (Simples Nacional)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Inconsistência direta: emissão x declaração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O07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Débitos em dívida ativa nos primeiros 6 meses de atividade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Flag de inadimplência precoce</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6.4 Dimensão 4 — Compatibilidade CNAE x Operação Real (Peso: 15% | Máx: 150 pts)</w:t>
      </w:r>
      <w:r w:rsidDel="00000000" w:rsidR="00000000" w:rsidRPr="00000000">
        <w:rPr>
          <w:rtl w:val="0"/>
        </w:rPr>
      </w:r>
    </w:p>
    <w:tbl>
      <w:tblPr>
        <w:tblStyle w:val="Table5"/>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00"/>
        <w:gridCol w:w="900"/>
        <w:gridCol w:w="2826"/>
        <w:tblGridChange w:id="0">
          <w:tblGrid>
            <w:gridCol w:w="800"/>
            <w:gridCol w:w="3500"/>
            <w:gridCol w:w="9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Indicador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0"/>
                <w:szCs w:val="20"/>
                <w:rtl w:val="0"/>
              </w:rPr>
              <w:t xml:space="preserve">Peso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0"/>
                <w:szCs w:val="20"/>
                <w:rtl w:val="0"/>
              </w:rPr>
              <w:t xml:space="preserve">Lógica de Ativação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NCM das mercadorias comercializadas incompatível com CNAE declarado (&gt;30% das operações)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Metodologia da Proposta CNAE/2024: análise de CFOP, CST e NCM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Perfil de compradores indica atividade atacadista declarando varejo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Mais de 51% das vendas para CNPJ (B2B) com CNAE varejista declarado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Faturamento médio por operação incompatível com CNAE (varejo vs. atacado)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Ticket médio &gt; R$5.000 em CNAE varejista sem justificativa setorial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Fornecedores incompatíveis com o setor declarado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Principais fornecedores com CNAE incompatível com a cadeia produtiva declarada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Divergência CNAE federal (CNPJ) x CNAE estadual (CGF) sem justificativa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Diferença entre CNAE principal no CNPJ e no CGF não justificada por ato formal</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6.5 Dimensão 5 — Dados Financeiros e Patrimoniais (Peso: 10% | Máx: 100 pts)</w:t>
      </w:r>
      <w:r w:rsidDel="00000000" w:rsidR="00000000" w:rsidRPr="00000000">
        <w:rPr>
          <w:rtl w:val="0"/>
        </w:rPr>
      </w:r>
    </w:p>
    <w:tbl>
      <w:tblPr>
        <w:tblStyle w:val="Table6"/>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00"/>
        <w:gridCol w:w="900"/>
        <w:gridCol w:w="2826"/>
        <w:tblGridChange w:id="0">
          <w:tblGrid>
            <w:gridCol w:w="800"/>
            <w:gridCol w:w="3500"/>
            <w:gridCol w:w="9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Indicador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0"/>
                <w:szCs w:val="20"/>
                <w:rtl w:val="0"/>
              </w:rPr>
              <w:t xml:space="preserve">Peso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0"/>
                <w:szCs w:val="20"/>
                <w:rtl w:val="0"/>
              </w:rPr>
              <w:t xml:space="preserve">Lógica de Ativação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Ausência de movimentação bancária compatível com o faturamento declarado (SCR/BACEN)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Faturamento NF-e &gt; 3x a movimentação estimada pelo SCR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Capital social integralizado inferior a 5% do faturamento semestral estimado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Pode indicar subcapitalização intencional para dificultar execução fiscal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Sócios com restrições em cadastros de inadimplência (CADINE, SPC, SERASA)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Presença de sócios em CADINE ou com dívidas ativas em outros estados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Patrimônio declarado em IRPF dos sócios incompatível com o porte da empresa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IRPF &lt; 10% do capital social integralizado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Empresa cadastrada em CEIS/CNEP (Comprasnet — fornecedores suspensos federalmente)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Sanção federal ativa ou histórico de suspensão</w:t>
            </w: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6.6 Dimensão 6 — Localização e Infraestrutura (Peso: 10% | Máx: 100 pts)</w:t>
      </w:r>
      <w:r w:rsidDel="00000000" w:rsidR="00000000" w:rsidRPr="00000000">
        <w:rPr>
          <w:rtl w:val="0"/>
        </w:rPr>
      </w:r>
    </w:p>
    <w:tbl>
      <w:tblPr>
        <w:tblStyle w:val="Table7"/>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00"/>
        <w:gridCol w:w="900"/>
        <w:gridCol w:w="2826"/>
        <w:tblGridChange w:id="0">
          <w:tblGrid>
            <w:gridCol w:w="800"/>
            <w:gridCol w:w="3500"/>
            <w:gridCol w:w="9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0"/>
                <w:szCs w:val="20"/>
                <w:rtl w:val="0"/>
              </w:rPr>
              <w:t xml:space="preserve">Indicador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0"/>
                <w:szCs w:val="20"/>
                <w:rtl w:val="0"/>
              </w:rPr>
              <w:t xml:space="preserve">Peso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0"/>
                <w:szCs w:val="20"/>
                <w:rtl w:val="0"/>
              </w:rPr>
              <w:t xml:space="preserve">Lógica de Ativação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L01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Endereço não identificado ou inexistente no georreferenciamento (Art. 64, IN 77/2019)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Validação automática via API de geolocalização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L02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Estabelecimento em área residencial com CNAE industrial ou atacadista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Cruzamento CNAE x zoneamento urbano municipal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L03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Ausência de alvará municipal compatível com a atividade (combustíveis, alimentos,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Integração com sistemas municipais de licenciamento (onde disponível)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L04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Endereço compartilhado com empresa em situação cadastral irregular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Mesmo CEP/logradouro de empresa baixada, cassada ou suspensa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L05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Distância entre endereço declarado e endereço dos sócios superior a 300km sem justificativa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Padrão de empresa de fachada em estado diferente dos controladores</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6.7 Dimensão 7 — Histórico e Rede de Relacionamento (Peso: 5% | Máx: 50 pts)</w:t>
      </w:r>
      <w:r w:rsidDel="00000000" w:rsidR="00000000" w:rsidRPr="00000000">
        <w:rPr>
          <w:rtl w:val="0"/>
        </w:rPr>
      </w:r>
    </w:p>
    <w:tbl>
      <w:tblPr>
        <w:tblStyle w:val="Table8"/>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00"/>
        <w:gridCol w:w="900"/>
        <w:gridCol w:w="2826"/>
        <w:tblGridChange w:id="0">
          <w:tblGrid>
            <w:gridCol w:w="800"/>
            <w:gridCol w:w="3500"/>
            <w:gridCol w:w="9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20"/>
                <w:szCs w:val="20"/>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0"/>
                <w:szCs w:val="20"/>
                <w:rtl w:val="0"/>
              </w:rPr>
              <w:t xml:space="preserve">Indicador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Peso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0"/>
                <w:szCs w:val="20"/>
                <w:rtl w:val="0"/>
              </w:rPr>
              <w:t xml:space="preserve">Lógica de Ativação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Relação com fornecedores ou clientes com histórico de fraude fiscal documentado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Grafo de relacionamento: conexão com empresa já autuada por fraude fiscal estruturada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Participação em cadeia com nota fiscal calçada ou triangulação identificada anteriormente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Presença em operação fiscal anterior como destinatário ou emitente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Mesmo contador responsável por múltiplas empresas em situação irregular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CRC vinculado a 3+ empresas baixadas de ofício ou cassadas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Mesmo IP de acesso ao sistema SEFAZ/CE de empresas diferentes (possível fraude de identidade)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Cruzamento de logs de acesso ao ambiente seguro da SEFAZ/CE</w:t>
            </w:r>
            <w:r w:rsidDel="00000000" w:rsidR="00000000" w:rsidRPr="00000000">
              <w:rPr>
                <w:rtl w:val="0"/>
              </w:rPr>
            </w:r>
          </w:p>
        </w:tc>
      </w:tr>
    </w:tbl>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7. METODOLOGIA DE CÁLCULO DO SCORE DE RISCO</w:t>
      </w:r>
      <w:r w:rsidDel="00000000" w:rsidR="00000000" w:rsidRPr="00000000">
        <w:rPr>
          <w:rtl w:val="0"/>
        </w:rPr>
      </w:r>
    </w:p>
    <w:p w:rsidR="00000000" w:rsidDel="00000000" w:rsidP="00000000" w:rsidRDefault="00000000" w:rsidRPr="00000000" w14:paraId="00000178">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7.1 Fórmula de Cálculo</w:t>
      </w: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Fonts w:ascii="Arial" w:cs="Arial" w:eastAsia="Arial" w:hAnsi="Arial"/>
          <w:sz w:val="22"/>
          <w:szCs w:val="22"/>
          <w:rtl w:val="0"/>
        </w:rPr>
        <w:t xml:space="preserve">O Score de Risco Total (SRT) é calculado pela seguinte fórmula:</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180" w:before="180" w:lineRule="auto"/>
        <w:jc w:val="center"/>
        <w:rPr/>
      </w:pPr>
      <w:r w:rsidDel="00000000" w:rsidR="00000000" w:rsidRPr="00000000">
        <w:rPr>
          <w:rFonts w:ascii="Courier New" w:cs="Courier New" w:eastAsia="Courier New" w:hAnsi="Courier New"/>
          <w:b w:val="1"/>
          <w:bCs w:val="1"/>
          <w:sz w:val="26"/>
          <w:szCs w:val="26"/>
          <w:rtl w:val="0"/>
        </w:rPr>
        <w:t xml:space="preserve">SRT = Σ (Pontuação_Indicador_i × Peso_Dimensão_j)</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80" w:before="80" w:lineRule="auto"/>
        <w:rPr/>
      </w:pPr>
      <w:r w:rsidDel="00000000" w:rsidR="00000000" w:rsidRPr="00000000">
        <w:rPr>
          <w:rFonts w:ascii="Arial" w:cs="Arial" w:eastAsia="Arial" w:hAnsi="Arial"/>
          <w:sz w:val="22"/>
          <w:szCs w:val="22"/>
          <w:rtl w:val="0"/>
        </w:rPr>
        <w:t xml:space="preserve">Onde cada indicador ativado contribui com sua pontuação específica, multiplicada pelo peso da dimensão correspondente. O score máximo é de 1.000 pontos.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7.2 Classificação por Faixas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3626"/>
        <w:tblGridChange w:id="0">
          <w:tblGrid>
            <w:gridCol w:w="1800"/>
            <w:gridCol w:w="1800"/>
            <w:gridCol w:w="1800"/>
            <w:gridCol w:w="3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0"/>
                <w:szCs w:val="20"/>
                <w:rtl w:val="0"/>
              </w:rPr>
              <w:t xml:space="preserve">Faixa de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20"/>
                <w:szCs w:val="20"/>
                <w:rtl w:val="0"/>
              </w:rPr>
              <w:t xml:space="preserve">Classificação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20"/>
                <w:szCs w:val="20"/>
                <w:rtl w:val="0"/>
              </w:rPr>
              <w:t xml:space="preserve">Nível de Risco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ffffff"/>
                <w:sz w:val="20"/>
                <w:szCs w:val="20"/>
                <w:rtl w:val="0"/>
              </w:rPr>
              <w:t xml:space="preserve">Ação Automática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0 – 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VERDE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Baixo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Monitoramento padrão; revisão trimestral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401 – 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AMARELO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Médio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Alerta para auditor fiscal responsável; análise em até 15 dias úteis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701 – 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VERMELHO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Protocolo de resposta imediata: notificação DT-e em até 48h; possível suspensão de emissão de NF-e</w:t>
            </w: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7.3 Flags Absolutas (Elevação Automática para Vermelho)</w:t>
      </w:r>
      <w:r w:rsidDel="00000000" w:rsidR="00000000" w:rsidRPr="00000000">
        <w:rPr>
          <w:rtl w:val="0"/>
        </w:rPr>
      </w:r>
    </w:p>
    <w:p w:rsidR="00000000" w:rsidDel="00000000" w:rsidP="00000000" w:rsidRDefault="00000000" w:rsidRPr="00000000" w14:paraId="00000192">
      <w:pPr>
        <w:spacing w:after="80" w:before="80" w:lineRule="auto"/>
        <w:rPr/>
      </w:pPr>
      <w:r w:rsidDel="00000000" w:rsidR="00000000" w:rsidRPr="00000000">
        <w:rPr>
          <w:rFonts w:ascii="Arial" w:cs="Arial" w:eastAsia="Arial" w:hAnsi="Arial"/>
          <w:sz w:val="22"/>
          <w:szCs w:val="22"/>
          <w:rtl w:val="0"/>
        </w:rPr>
        <w:t xml:space="preserve">Independentemente do score calculado, os seguintes indicadores elevam automaticamente a classificação para VERMELHO:</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 Volume de NF-e emitidas &gt; 3 desvios-padrão da média setorial nos primeiros 3 meses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O01: Ausência de entrega de EFD por 2+ meses consecutivos com NF-e emitidas no período</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O06: PGDAS-D sem movimento com NF-e emitidas (Simples Nacional)</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C01: Sócio com CPF em empresa baixada de ofício (conforme Art. 28, VII da IN 77/2019)</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L01: Endereço não identificado no georreferenciamento</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7.4 Janela de Monitoramento Intensivo</w:t>
      </w:r>
      <w:r w:rsidDel="00000000" w:rsidR="00000000" w:rsidRPr="00000000">
        <w:rPr>
          <w:rtl w:val="0"/>
        </w:rPr>
      </w:r>
    </w:p>
    <w:p w:rsidR="00000000" w:rsidDel="00000000" w:rsidP="00000000" w:rsidRDefault="00000000" w:rsidRPr="00000000" w14:paraId="0000019B">
      <w:pPr>
        <w:spacing w:after="80" w:before="80" w:lineRule="auto"/>
        <w:rPr/>
      </w:pPr>
      <w:r w:rsidDel="00000000" w:rsidR="00000000" w:rsidRPr="00000000">
        <w:rPr>
          <w:rFonts w:ascii="Arial" w:cs="Arial" w:eastAsia="Arial" w:hAnsi="Arial"/>
          <w:sz w:val="22"/>
          <w:szCs w:val="22"/>
          <w:rtl w:val="0"/>
        </w:rPr>
        <w:t xml:space="preserve">O monitoramento intensivo é aplicado nos primeiros 24 meses de atividade. Após esse período, o sistema mantém monitoramento padrão com recalibração anual. A janela pode ser reduzida para 12 meses para contribuintes que se mantenham em Verde por 12 meses consecutivos.</w:t>
      </w:r>
      <w:r w:rsidDel="00000000" w:rsidR="00000000" w:rsidRPr="00000000">
        <w:rPr>
          <w:rtl w:val="0"/>
        </w:rPr>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8. FLUXO OPERACIONAL DO SEMÁFORO</w:t>
      </w:r>
      <w:r w:rsidDel="00000000" w:rsidR="00000000" w:rsidRPr="00000000">
        <w:rPr>
          <w:rtl w:val="0"/>
        </w:rPr>
      </w:r>
    </w:p>
    <w:p w:rsidR="00000000" w:rsidDel="00000000" w:rsidP="00000000" w:rsidRDefault="00000000" w:rsidRPr="00000000" w14:paraId="0000019E">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8.1 Fase 1 — Cadastramento (D+0)</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Empresa solicita inscrição no CGF via REDESIM</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cria ficha de monitoramento automaticamente</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inicial calculado com base em dados cadastrais disponíveis (Dimensões C, P, L)</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Classificação inicial atribuída</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Classificação Inicial Verde: liberação automática do CGF (substitui diligência presencial para contribuintes de baixo risco)</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Classificação Inicial Amarelo: liberação condicional com monitoramento reforçado (quinzenal)</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Classificação Inicial Vermelho: suspensão automática do deferimento; encaminhamento para análise humana em até 5 dias úteis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8.2 Fase 2 — Monitoramento Contínuo (D+1 a D+730)</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cada evento fiscal (emissão de NF-e, entrega de obrigação acessória, alteração cadastral), o score é recalculado</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Transições de faixa geram alertas automáticos para o auditor responsável</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atualizado em tempo real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8.3 Fase 3 — Resposta Automática por Nível</w:t>
      </w:r>
      <w:r w:rsidDel="00000000" w:rsidR="00000000" w:rsidRPr="00000000">
        <w:rPr>
          <w:rtl w:val="0"/>
        </w:rPr>
      </w:r>
    </w:p>
    <w:p w:rsidR="00000000" w:rsidDel="00000000" w:rsidP="00000000" w:rsidRDefault="00000000" w:rsidRPr="00000000" w14:paraId="000001AD">
      <w:pPr>
        <w:spacing w:after="100" w:before="200" w:lineRule="auto"/>
        <w:rPr/>
      </w:pPr>
      <w:r w:rsidDel="00000000" w:rsidR="00000000" w:rsidRPr="00000000">
        <w:rPr>
          <w:rFonts w:ascii="Arial" w:cs="Arial" w:eastAsia="Arial" w:hAnsi="Arial"/>
          <w:b w:val="1"/>
          <w:bCs w:val="1"/>
          <w:color w:val="3a7fbf"/>
          <w:sz w:val="24"/>
          <w:szCs w:val="24"/>
          <w:rtl w:val="0"/>
        </w:rPr>
        <w:t xml:space="preserve">Nível Verde → Amarelo</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Geração de alerta para auditor da CEXAT responsável</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Inclusão em fila de análise com prazo de 15 dias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Contribuinte pode receber comunicação preventiva via DT-e com orientações de regularização</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100" w:before="200" w:lineRule="auto"/>
        <w:rPr/>
      </w:pPr>
      <w:r w:rsidDel="00000000" w:rsidR="00000000" w:rsidRPr="00000000">
        <w:rPr>
          <w:rFonts w:ascii="Arial" w:cs="Arial" w:eastAsia="Arial" w:hAnsi="Arial"/>
          <w:b w:val="1"/>
          <w:bCs w:val="1"/>
          <w:color w:val="3a7fbf"/>
          <w:sz w:val="24"/>
          <w:szCs w:val="24"/>
          <w:rtl w:val="0"/>
        </w:rPr>
        <w:t xml:space="preserve">Nível Amarelo → Vermelho</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Notificação formal via DT-e em até 48 horas (conforme Art. 3.º da IN 147/2024)</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Possível rejeição de NF-e ativada (conforme Art. 4.º da IN 147/2024)</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Geração automática de proposta de reclassificação de CNAE de ofício (quando aplicável)</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Escalada para Coordenador da COATE para autorização de ação fiscal</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100" w:before="200" w:lineRule="auto"/>
        <w:rPr/>
      </w:pPr>
      <w:r w:rsidDel="00000000" w:rsidR="00000000" w:rsidRPr="00000000">
        <w:rPr>
          <w:rFonts w:ascii="Arial" w:cs="Arial" w:eastAsia="Arial" w:hAnsi="Arial"/>
          <w:b w:val="1"/>
          <w:bCs w:val="1"/>
          <w:color w:val="3a7fbf"/>
          <w:sz w:val="24"/>
          <w:szCs w:val="24"/>
          <w:rtl w:val="0"/>
        </w:rPr>
        <w:t xml:space="preserve">Permanência em Vermelho &gt; 30 dias sem regularização</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Instauração de processo de edital de convocação (Art. 39, X da IN 77/2019)</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Encaminhamento para planejamento de fiscalização plena</w:t>
      </w:r>
    </w:p>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9. INTEGRAÇÃO COM PROCESSOS DA SEFAZ/CE</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4326"/>
        <w:tblGridChange w:id="0">
          <w:tblGrid>
            <w:gridCol w:w="2500"/>
            <w:gridCol w:w="2200"/>
            <w:gridCol w:w="43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0"/>
                <w:szCs w:val="20"/>
                <w:rtl w:val="0"/>
              </w:rPr>
              <w:t xml:space="preserve">Sistema / Processo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Tipo de Integração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Fluxo de Dados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Sistema de Autorização de NF-e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Bidirecional em tempo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Recebe dados de NF-e emitidas; envia flag de bloqueio para rejeição automática (IN 147/2024)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CGF / REDESIM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Bidirecional em tempo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Recebe dados de inscrição e alterações; envia classificação de risco para condicionar deferimento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Sistema CAF (Ação Fiscal)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Saída — alimentação de demandas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Contribuintes em Vermelho são inseridos automaticamente na fila de planejamento fiscal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DT-e (Domicílio Tributário Eletrônico)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Saída — notificações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Notificações automáticas para contribuintes em Vermelho (Lei 16.737/2018)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EFD / SPED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Entrada — dados de obrigações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Declarações de ICMS, estoque, receita bruta para alimentar indicadores O-series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PGDAS-D (Simples Nacional)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Entrada — dados de microempresas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Verificação de consistência entre declarações e NF-e emitidas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Módulo CNAE de Ofício (COATE/2024)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Bidirecional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Farol identifica divergência CNAE → dispara proposta de reclassificação automática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Bases Externas (RFB, BACEN, TCE, 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Entrada — via API ou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Enriquecimento do perfil do contribuinte com dados públicos</w:t>
            </w:r>
            <w:r w:rsidDel="00000000" w:rsidR="00000000" w:rsidRPr="00000000">
              <w:rPr>
                <w:rtl w:val="0"/>
              </w:rPr>
            </w:r>
          </w:p>
        </w:tc>
      </w:tr>
    </w:tbl>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10. INFRAESTRUTURA TECNOLÓGICA</w:t>
      </w:r>
      <w:r w:rsidDel="00000000" w:rsidR="00000000" w:rsidRPr="00000000">
        <w:rPr>
          <w:rtl w:val="0"/>
        </w:rPr>
      </w:r>
    </w:p>
    <w:p w:rsidR="00000000" w:rsidDel="00000000" w:rsidP="00000000" w:rsidRDefault="00000000" w:rsidRPr="00000000" w14:paraId="000001DA">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10.1 Stack Tecnológica Recomendada</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026"/>
        <w:tblGridChange w:id="0">
          <w:tblGrid>
            <w:gridCol w:w="2500"/>
            <w:gridCol w:w="25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ffffff"/>
                <w:sz w:val="20"/>
                <w:szCs w:val="20"/>
                <w:rtl w:val="0"/>
              </w:rPr>
              <w:t xml:space="preserve">Tecnologia Sugerida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20"/>
                <w:szCs w:val="20"/>
                <w:rtl w:val="0"/>
              </w:rPr>
              <w:t xml:space="preserve">Finalidade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Ingestão de dados em tempo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Apache Kafka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Processamento de eventos fiscais em streaming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Processamento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Apache Spark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Análise de grandes volumes de dados históricos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Armazenamento analítico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PostgreSQL + Data Lake (S3/MinIO)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Base relacional + repositório de dados brutos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Motor de regras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Drools Business Rules / Python Rule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Cálculo determinístico dos indicadores com pesos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Machine Learning (expansão futura)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Scikit-learn / TensorFlow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Modelos preditivos complementares ao sistema determinístico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Dashboard /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Apache Superset ou Power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Visualização do painel do farol para auditores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APIs de integração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REST APIs + GraphQL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Integração com sistemas legados da SEFAZ/CE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Segurança e auditoria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LDAP + logs de acesso imutáveis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Conformidade com LGPD e rastreabilidade de ações</w:t>
            </w: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10.2 Conformidade com LGPD</w:t>
      </w:r>
      <w:r w:rsidDel="00000000" w:rsidR="00000000" w:rsidRPr="00000000">
        <w:rPr>
          <w:rtl w:val="0"/>
        </w:rPr>
      </w:r>
    </w:p>
    <w:p w:rsidR="00000000" w:rsidDel="00000000" w:rsidP="00000000" w:rsidRDefault="00000000" w:rsidRPr="00000000" w14:paraId="000001F8">
      <w:pPr>
        <w:spacing w:after="80" w:before="80" w:lineRule="auto"/>
        <w:rPr/>
      </w:pPr>
      <w:r w:rsidDel="00000000" w:rsidR="00000000" w:rsidRPr="00000000">
        <w:rPr>
          <w:rFonts w:ascii="Arial" w:cs="Arial" w:eastAsia="Arial" w:hAnsi="Arial"/>
          <w:sz w:val="22"/>
          <w:szCs w:val="22"/>
          <w:rtl w:val="0"/>
        </w:rPr>
        <w:t xml:space="preserve">O Farol Fiscal processa dados pessoais de sócios e administradores. Toda a infraestrutura deve observar os princípios da Lei Geral de Proteção de Dados (Lei 13.709/2018), com especial atenção a: (i) finalidade específica no cumprimento de obrigação legal tributária; (ii) minimização de dados: apenas os indicadores necessários ao cálculo de risco; (iii) transparência: o contribuinte tem direito a ser notificado e a contestar a classificação; (iv) segurança: criptografia em repouso e em trânsito para todos os dados pessoais.</w:t>
      </w:r>
      <w:r w:rsidDel="00000000" w:rsidR="00000000" w:rsidRPr="00000000">
        <w:rPr>
          <w:rtl w:val="0"/>
        </w:rPr>
      </w:r>
    </w:p>
    <w:p w:rsidR="00000000" w:rsidDel="00000000" w:rsidP="00000000" w:rsidRDefault="00000000" w:rsidRPr="00000000" w14:paraId="000001F9">
      <w:pPr>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11. PLANO DE IMPLANTAÇÃO (CRONOGRAMA)</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1200"/>
        <w:gridCol w:w="1826"/>
        <w:tblGridChange w:id="0">
          <w:tblGrid>
            <w:gridCol w:w="2200"/>
            <w:gridCol w:w="3800"/>
            <w:gridCol w:w="1200"/>
            <w:gridCol w:w="1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ffffff"/>
                <w:sz w:val="20"/>
                <w:szCs w:val="20"/>
                <w:rtl w:val="0"/>
              </w:rPr>
              <w:t xml:space="preserve">Fase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ffffff"/>
                <w:sz w:val="20"/>
                <w:szCs w:val="20"/>
                <w:rtl w:val="0"/>
              </w:rPr>
              <w:t xml:space="preserve">Atividades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ffffff"/>
                <w:sz w:val="20"/>
                <w:szCs w:val="20"/>
                <w:rtl w:val="0"/>
              </w:rPr>
              <w:t xml:space="preserve">Prazo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ffffff"/>
                <w:sz w:val="20"/>
                <w:szCs w:val="20"/>
                <w:rtl w:val="0"/>
              </w:rPr>
              <w:t xml:space="preserve">Responsável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Fase 0 — Preparação (Mês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Formação do grupo de trabalho; levantamento de bases de dados disponíveis; mapeamento de integrações necessárias; definição de arquitetura detalhada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2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COATE + COTIC + COAAD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Fase 1 — MVP (Mês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Implementação das Dimensões C (Cadastral) e F (NF-e); painel básico do farol; integração com CGF e sistema de NF-e; testes com grupo piloto (50 contribuintes)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3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COTIC + COATE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Fase 2 — Expansão (Mês 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20"/>
                <w:szCs w:val="20"/>
                <w:rtl w:val="0"/>
              </w:rPr>
              <w:t xml:space="preserve">Incorporação das Dimensões O, N, P e L; integração com bases externas (CADINE, RFB); refinamento de pesos com base no piloto; treinamento de auditores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3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COTIC + COATE + COFIT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Fase 3 — Integração Plena (Mês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Integração com módulo de rejeição de NF-e (IN 147/2024); módulo de reclassificação de CNAE; integração com CAF; automação de notificações DT-e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3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COTIC + COATE + COTRI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Fase 4 — Escala e Refinamento (Mês 12-18)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Rollout para todos os contribuintes recém-constituídos; incorporação da Dimensão R (Rede de Relacionamento); implementação de modelos ML complementares; avaliação de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6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COATE + COAAD + COFIT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Fase 5 — Maturidade (Mês 19-24)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Revisão e ajuste de pesos com base em resultados reais; expansão do monitoramento para contribuintes com mais de 24 meses de atividade de alto risco; publicação de relatório de 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6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COATE + COMFI</w:t>
            </w:r>
            <w:r w:rsidDel="00000000" w:rsidR="00000000" w:rsidRPr="00000000">
              <w:rPr>
                <w:rtl w:val="0"/>
              </w:rPr>
            </w:r>
          </w:p>
        </w:tc>
      </w:tr>
    </w:tbl>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12. GESTÃO DE RISCOS DO PROJETO</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00"/>
        <w:gridCol w:w="1200"/>
        <w:gridCol w:w="4026"/>
        <w:tblGridChange w:id="0">
          <w:tblGrid>
            <w:gridCol w:w="2500"/>
            <w:gridCol w:w="1300"/>
            <w:gridCol w:w="12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ffffff"/>
                <w:sz w:val="20"/>
                <w:szCs w:val="20"/>
                <w:rtl w:val="0"/>
              </w:rPr>
              <w:t xml:space="preserve">Risco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ffffff"/>
                <w:sz w:val="20"/>
                <w:szCs w:val="20"/>
                <w:rtl w:val="0"/>
              </w:rPr>
              <w:t xml:space="preserve">Probabilidade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ffffff"/>
                <w:sz w:val="20"/>
                <w:szCs w:val="20"/>
                <w:rtl w:val="0"/>
              </w:rPr>
              <w:t xml:space="preserve">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color w:val="ffffff"/>
                <w:sz w:val="20"/>
                <w:szCs w:val="20"/>
                <w:rtl w:val="0"/>
              </w:rPr>
              <w:t xml:space="preserve">Mitigação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Integração com sistemas legados complexa ou incompleta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Priorizar integrações via API; contratar consultoria especializada; adotar abordagem incremental por fases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Resistência interna à substituição da diligência presencial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sz w:val="20"/>
                <w:szCs w:val="20"/>
                <w:rtl w:val="0"/>
              </w:rPr>
              <w:t xml:space="preserve">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Médio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sz w:val="20"/>
                <w:szCs w:val="20"/>
                <w:rtl w:val="0"/>
              </w:rPr>
              <w:t xml:space="preserve">Comunicação clara dos benefícios; demonstrar resultados do piloto; manter opção híbrida nas fases iniciais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Qualidade insuficiente de dados externos (bases externas desatualizadas)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Médio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Validar bases antes de integrar; implementar indicadores de qualidade de dados; priorizar bases com atualização automática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Contestações jurídicas de contribuintes sobre classificação automática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Garantir rastreabilidade e auditabilidade de cada score; assegurar canal de contestação (Art. 5.º, § 8.º da IN 77/2019); documentar todas as decisões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Violação de dados pessoais (LGPD)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Baixa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Adotar privacy by design; criptografia; auditoria periódica; DPO designado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Score incorreto gerando ações injustas contra contribuintes regulares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20"/>
                <w:szCs w:val="20"/>
                <w:rtl w:val="0"/>
              </w:rPr>
              <w:t xml:space="preserve">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20"/>
                <w:szCs w:val="20"/>
                <w:rtl w:val="0"/>
              </w:rPr>
              <w:t xml:space="preserve">Fase piloto rigorosa; validação humana obrigatória antes de ações com efeito externo (bloqueio de NF-e, edital)</w:t>
            </w:r>
            <w:r w:rsidDel="00000000" w:rsidR="00000000" w:rsidRPr="00000000">
              <w:rPr>
                <w:rtl w:val="0"/>
              </w:rPr>
            </w:r>
          </w:p>
        </w:tc>
      </w:tr>
    </w:tbl>
    <w:p w:rsidR="00000000" w:rsidDel="00000000" w:rsidP="00000000" w:rsidRDefault="00000000" w:rsidRPr="00000000" w14:paraId="00000235">
      <w:pPr>
        <w:rPr/>
      </w:pP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13. RESULTADOS ESPERADOS E KPIs</w:t>
      </w:r>
      <w:r w:rsidDel="00000000" w:rsidR="00000000" w:rsidRPr="00000000">
        <w:rPr>
          <w:rtl w:val="0"/>
        </w:rPr>
      </w:r>
    </w:p>
    <w:p w:rsidR="00000000" w:rsidDel="00000000" w:rsidP="00000000" w:rsidRDefault="00000000" w:rsidRPr="00000000" w14:paraId="00000237">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13.1 KPIs Operacionais</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500"/>
        <w:gridCol w:w="3026"/>
        <w:tblGridChange w:id="0">
          <w:tblGrid>
            <w:gridCol w:w="3000"/>
            <w:gridCol w:w="1500"/>
            <w:gridCol w:w="1500"/>
            <w:gridCol w:w="3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color w:val="ffffff"/>
                <w:sz w:val="20"/>
                <w:szCs w:val="20"/>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20"/>
                <w:szCs w:val="20"/>
                <w:rtl w:val="0"/>
              </w:rPr>
              <w:t xml:space="preserve">Meta (Ano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ffffff"/>
                <w:sz w:val="20"/>
                <w:szCs w:val="20"/>
                <w:rtl w:val="0"/>
              </w:rPr>
              <w:t xml:space="preserve">Meta (Ano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ffffff"/>
                <w:sz w:val="20"/>
                <w:szCs w:val="20"/>
                <w:rtl w:val="0"/>
              </w:rPr>
              <w:t xml:space="preserve">Método de Medição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Redução de diligências presenciais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Comparativo pré/pós implantação no universo de contribuintes elegíveis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Tempo médio de detecção de irregularidade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&lt; 30 dias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&lt; 15 dias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Data do evento → data do alerta gerado no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Precisão do Score (Vermelho x Autuados)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&gt;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&gt; 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Percentual de contribuintes classificados Vermelho que resultaram em auto de infração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Contribuintes regularizados após notificação preventiva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&gt;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&gt;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Contribuintes que saíram de Amarelo/Vermelho sem ação fiscal formal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Cobertura de contribuintes monitorados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100% novos / 0-24m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100% novos + 30% high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Total monitorados / total elegíveis</w:t>
            </w:r>
            <w:r w:rsidDel="00000000" w:rsidR="00000000" w:rsidRPr="00000000">
              <w:rPr>
                <w:rtl w:val="0"/>
              </w:rPr>
            </w:r>
          </w:p>
        </w:tc>
      </w:tr>
    </w:tbl>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13.2 KPIs de Impacto Fiscal</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500"/>
        <w:gridCol w:w="3026"/>
        <w:tblGridChange w:id="0">
          <w:tblGrid>
            <w:gridCol w:w="3000"/>
            <w:gridCol w:w="1500"/>
            <w:gridCol w:w="1500"/>
            <w:gridCol w:w="3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ffffff"/>
                <w:sz w:val="20"/>
                <w:szCs w:val="20"/>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ffffff"/>
                <w:sz w:val="20"/>
                <w:szCs w:val="20"/>
                <w:rtl w:val="0"/>
              </w:rPr>
              <w:t xml:space="preserve">Meta (Ano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ffffff"/>
                <w:sz w:val="20"/>
                <w:szCs w:val="20"/>
                <w:rtl w:val="0"/>
              </w:rPr>
              <w:t xml:space="preserve">Meta (Ano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ffffff"/>
                <w:sz w:val="20"/>
                <w:szCs w:val="20"/>
                <w:rtl w:val="0"/>
              </w:rPr>
              <w:t xml:space="preserve">Observação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Aumento de arrecadação de ICMS por ação do Farol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R$ 50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R$ 150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Somente créditos recuperados diretamente atribuídos ao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Redução da inadimplência em contribuintes &lt; 24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Comparativo com coorte histórica anterior à implantação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Autuações originadas pelo Farol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Autos de infração cujo planejamento foi disparado pelo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ROI do projeto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0"/>
                <w:szCs w:val="20"/>
                <w:rtl w:val="0"/>
              </w:rPr>
              <w:t xml:space="preserve">&gt; 10x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&gt; 30x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Receita gerada / custo de implantação e manutenção anual</w:t>
            </w:r>
            <w:r w:rsidDel="00000000" w:rsidR="00000000" w:rsidRPr="00000000">
              <w:rPr>
                <w:rtl w:val="0"/>
              </w:rPr>
            </w:r>
          </w:p>
        </w:tc>
      </w:tr>
    </w:tbl>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14. GOVERNANÇA E RESPONSABILIDADES</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526"/>
        <w:tblGridChange w:id="0">
          <w:tblGrid>
            <w:gridCol w:w="2500"/>
            <w:gridCol w:w="2000"/>
            <w:gridCol w:w="4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20"/>
                <w:szCs w:val="20"/>
                <w:rtl w:val="0"/>
              </w:rPr>
              <w:t xml:space="preserve">Papel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20"/>
                <w:szCs w:val="20"/>
                <w:rtl w:val="0"/>
              </w:rPr>
              <w:t xml:space="preserve">Unidade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20"/>
                <w:szCs w:val="20"/>
                <w:rtl w:val="0"/>
              </w:rPr>
              <w:t xml:space="preserve">Responsabilidade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Patrocinador do Projeto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Secretário da Fazenda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Aprovação estratégica, recursos e priorização institucional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Gestor do Projeto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Coordenador da COATE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Gestão operacional, entregas, riscos e comunicação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Líder Técnico de 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20"/>
                <w:szCs w:val="20"/>
                <w:rtl w:val="0"/>
              </w:rPr>
              <w:t xml:space="preserve">Coordenador da COTIC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Arquitetura, desenvolvimento, infraestrutura e segurança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Líder Analítico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Coordenador da COAAD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Modelos de dados, indicadores, pesos e validação analítica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Especialista Fiscal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Auditores COATE/COFIT/COTRI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Validação dos indicadores, testes operacionais e treinamento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Gestor de Integrações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Equipe COTIC / COART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Integração com bases externas e sistemas internos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Comitê de Governança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COATE + COTIC + COTRI + COMFI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Revisão periódica de pesos; aprovação de mudanças no modelo; análise de resultados</w:t>
            </w:r>
            <w:r w:rsidDel="00000000" w:rsidR="00000000" w:rsidRPr="00000000">
              <w:rPr>
                <w:rtl w:val="0"/>
              </w:rPr>
            </w:r>
          </w:p>
        </w:tc>
      </w:tr>
    </w:tbl>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spacing w:after="180" w:before="360" w:lineRule="auto"/>
        <w:rPr/>
      </w:pPr>
      <w:r w:rsidDel="00000000" w:rsidR="00000000" w:rsidRPr="00000000">
        <w:rPr>
          <w:rFonts w:ascii="Arial" w:cs="Arial" w:eastAsia="Arial" w:hAnsi="Arial"/>
          <w:b w:val="1"/>
          <w:bCs w:val="1"/>
          <w:color w:val="1b3a6b"/>
          <w:sz w:val="32"/>
          <w:szCs w:val="32"/>
          <w:rtl w:val="0"/>
        </w:rPr>
        <w:t xml:space="preserve">15. CONSIDERAÇÕES FINAIS</w:t>
      </w:r>
      <w:r w:rsidDel="00000000" w:rsidR="00000000" w:rsidRPr="00000000">
        <w:rPr>
          <w:rtl w:val="0"/>
        </w:rPr>
      </w:r>
    </w:p>
    <w:p w:rsidR="00000000" w:rsidDel="00000000" w:rsidP="00000000" w:rsidRDefault="00000000" w:rsidRPr="00000000" w14:paraId="00000282">
      <w:pPr>
        <w:spacing w:after="80" w:before="80" w:lineRule="auto"/>
        <w:rPr/>
      </w:pPr>
      <w:r w:rsidDel="00000000" w:rsidR="00000000" w:rsidRPr="00000000">
        <w:rPr>
          <w:rFonts w:ascii="Arial" w:cs="Arial" w:eastAsia="Arial" w:hAnsi="Arial"/>
          <w:sz w:val="22"/>
          <w:szCs w:val="22"/>
          <w:rtl w:val="0"/>
        </w:rPr>
        <w:t xml:space="preserve">O Projeto Farol Fiscal representa uma transformação estrutural na forma como a SEFAZ/CE monitora e controla a conformidade tributária de contribuintes recém-constituídos. Ao substituir o modelo reativo e oneroso de diligências presenciais por um sistema eletrônico inteligente e contínuo, a iniciativa coloca o Ceará na vanguarda da fiscalização tributária digital no Brasil.</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80" w:before="80" w:lineRule="auto"/>
        <w:rPr/>
      </w:pPr>
      <w:r w:rsidDel="00000000" w:rsidR="00000000" w:rsidRPr="00000000">
        <w:rPr>
          <w:rFonts w:ascii="Arial" w:cs="Arial" w:eastAsia="Arial" w:hAnsi="Arial"/>
          <w:sz w:val="22"/>
          <w:szCs w:val="22"/>
          <w:rtl w:val="0"/>
        </w:rPr>
        <w:t xml:space="preserve">A abordagem determinística com pesos — complementada por modelos de machine learning nas fases avançadas — garante que as decisões do sistema sejam explicáveis, auditáveis e defensáveis juridicamente, respeitando o direito de contraditório do contribuinte, conforme expressamente previsto na IN 77/2019 (Art. 5.º, § 8.º).</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80" w:before="80" w:lineRule="auto"/>
        <w:rPr/>
      </w:pPr>
      <w:r w:rsidDel="00000000" w:rsidR="00000000" w:rsidRPr="00000000">
        <w:rPr>
          <w:rFonts w:ascii="Arial" w:cs="Arial" w:eastAsia="Arial" w:hAnsi="Arial"/>
          <w:sz w:val="22"/>
          <w:szCs w:val="22"/>
          <w:rtl w:val="0"/>
        </w:rPr>
        <w:t xml:space="preserve">O projeto não deve ser visto isoladamente, mas como parte de um ecossistema integrado de modernização fiscal que inclui a IN 147/2024 (rejeição de NF-e) e a Proposta de Reclassificação de CNAE de Ofício (COATE/2024). Juntos, esses instrumentos formam um sistema de defesa fiscal em três camadas: prevenção (Farol Fiscal), correção (reclassificação de CNAE) e sanção (rejeição de NF-e e ação fiscal).</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80" w:before="80" w:lineRule="auto"/>
        <w:rPr/>
      </w:pPr>
      <w:r w:rsidDel="00000000" w:rsidR="00000000" w:rsidRPr="00000000">
        <w:rPr>
          <w:rFonts w:ascii="Arial" w:cs="Arial" w:eastAsia="Arial" w:hAnsi="Arial"/>
          <w:sz w:val="22"/>
          <w:szCs w:val="22"/>
          <w:rtl w:val="0"/>
        </w:rPr>
        <w:t xml:space="preserve">Recomenda-se a aprovação imediata da Fase 0 do projeto, com a constituição formal do Grupo de Trabalho Interdisciplinar e o início do levantamento das bases de dados, de modo que o MVP esteja operacional em até 5 meses a partir da aprovação.</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spacing w:after="60" w:before="480" w:lineRule="auto"/>
        <w:jc w:val="center"/>
        <w:rPr/>
      </w:pPr>
      <w:r w:rsidDel="00000000" w:rsidR="00000000" w:rsidRPr="00000000">
        <w:rPr>
          <w:rFonts w:ascii="Arial" w:cs="Arial" w:eastAsia="Arial" w:hAnsi="Arial"/>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28C">
      <w:pPr>
        <w:spacing w:after="60" w:before="60" w:lineRule="auto"/>
        <w:jc w:val="center"/>
        <w:rPr/>
      </w:pPr>
      <w:r w:rsidDel="00000000" w:rsidR="00000000" w:rsidRPr="00000000">
        <w:rPr>
          <w:rFonts w:ascii="Arial" w:cs="Arial" w:eastAsia="Arial" w:hAnsi="Arial"/>
          <w:sz w:val="22"/>
          <w:szCs w:val="22"/>
          <w:rtl w:val="0"/>
        </w:rPr>
        <w:t xml:space="preserve">Coordenador(a) da COATE</w:t>
      </w:r>
      <w:r w:rsidDel="00000000" w:rsidR="00000000" w:rsidRPr="00000000">
        <w:rPr>
          <w:rtl w:val="0"/>
        </w:rPr>
      </w:r>
    </w:p>
    <w:p w:rsidR="00000000" w:rsidDel="00000000" w:rsidP="00000000" w:rsidRDefault="00000000" w:rsidRPr="00000000" w14:paraId="0000028D">
      <w:pPr>
        <w:spacing w:after="60" w:before="60" w:lineRule="auto"/>
        <w:jc w:val="center"/>
        <w:rPr/>
      </w:pPr>
      <w:r w:rsidDel="00000000" w:rsidR="00000000" w:rsidRPr="00000000">
        <w:rPr>
          <w:rFonts w:ascii="Arial" w:cs="Arial" w:eastAsia="Arial" w:hAnsi="Arial"/>
          <w:sz w:val="22"/>
          <w:szCs w:val="22"/>
          <w:rtl w:val="0"/>
        </w:rPr>
        <w:t xml:space="preserve">Coordenadoria de Atendimento e Execução — SEFAZ/CE</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before="360" w:lineRule="auto"/>
        <w:jc w:val="center"/>
        <w:rPr/>
      </w:pPr>
      <w:r w:rsidDel="00000000" w:rsidR="00000000" w:rsidRPr="00000000">
        <w:rPr>
          <w:rFonts w:ascii="Arial" w:cs="Arial" w:eastAsia="Arial" w:hAnsi="Arial"/>
          <w:sz w:val="22"/>
          <w:szCs w:val="22"/>
          <w:rtl w:val="0"/>
        </w:rPr>
        <w:t xml:space="preserve">Fortaleza/CE, Junho de 2025</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pBdr>
        <w:top w:color="1b3a6b" w:space="0" w:sz="6" w:val="single"/>
      </w:pBdr>
      <w:rPr/>
    </w:pPr>
    <w:r w:rsidDel="00000000" w:rsidR="00000000" w:rsidRPr="00000000">
      <w:rPr>
        <w:rFonts w:ascii="Arial" w:cs="Arial" w:eastAsia="Arial" w:hAnsi="Arial"/>
        <w:color w:val="666666"/>
        <w:sz w:val="18"/>
        <w:szCs w:val="18"/>
        <w:rtl w:val="0"/>
      </w:rPr>
      <w:t xml:space="preserve">SEFAZ/CE — Documento Confidencial    Pág.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pBdr>
        <w:bottom w:color="1b3a6b" w:space="0" w:sz="6" w:val="single"/>
      </w:pBdr>
      <w:rPr/>
    </w:pPr>
    <w:r w:rsidDel="00000000" w:rsidR="00000000" w:rsidRPr="00000000">
      <w:rPr>
        <w:rFonts w:ascii="Arial" w:cs="Arial" w:eastAsia="Arial" w:hAnsi="Arial"/>
        <w:color w:val="666666"/>
        <w:sz w:val="18"/>
        <w:szCs w:val="18"/>
        <w:rtl w:val="0"/>
      </w:rPr>
      <w:t xml:space="preserve">PROJETO FAROL FISCAL — SEFAZ/CE | Sistema de Monitoramento por Risco de Contribuintes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