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 SISTEMA INTEGRAL DE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GESTIÓN DE SALUD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T-INTEGRO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Etapa de Análisis y Diseño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versión 1.0.0.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both"/>
        <w:rPr>
          <w:rFonts w:ascii="Garamond" w:cs="Garamond" w:eastAsia="Garamond" w:hAnsi="Garamond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right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Juan G. Becerra Saldaña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00000" w:val="clear"/>
        <w:tabs>
          <w:tab w:val="left" w:pos="7740"/>
        </w:tabs>
        <w:spacing w:after="0" w:before="0" w:line="240" w:lineRule="auto"/>
        <w:ind w:left="0" w:right="3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977"/>
        <w:gridCol w:w="1843"/>
        <w:gridCol w:w="2693"/>
        <w:tblGridChange w:id="0">
          <w:tblGrid>
            <w:gridCol w:w="1696"/>
            <w:gridCol w:w="2977"/>
            <w:gridCol w:w="1843"/>
            <w:gridCol w:w="2693"/>
          </w:tblGrid>
        </w:tblGridChange>
      </w:tblGrid>
      <w:tr>
        <w:trPr>
          <w:trHeight w:val="42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ID-UC: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AD-012-UC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1.1.0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UC: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Realizar programación asistencial del 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Creado Por: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G. Becerra Saldaña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Actualizado por: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G. Becerra Saldaña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la Creación: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01/08/2017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Última Actualización: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17/08/2017</w:t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695"/>
        <w:gridCol w:w="6675"/>
        <w:tblGridChange w:id="0">
          <w:tblGrid>
            <w:gridCol w:w="1834"/>
            <w:gridCol w:w="695"/>
            <w:gridCol w:w="6675"/>
          </w:tblGrid>
        </w:tblGridChange>
      </w:tblGrid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hd w:fill="ffffff" w:val="clear"/>
              <w:spacing w:after="12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Jefe de Servicio y Admisionista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>
            <w:pPr>
              <w:shd w:fill="ffffff" w:val="clear"/>
              <w:spacing w:after="12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registrar los datos de la Programación del Personal Asistencial para un determinado Servicio del establecimiento médico.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Disparador: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hd w:fill="ffffff" w:val="clear"/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comienza cuando el actor debe realizar la programación del Personal Asistencial en el establecimiento médico.</w:t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Pre-condiciones: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hd w:fill="ffffff" w:val="clear"/>
              <w:spacing w:after="120" w:lineRule="auto"/>
              <w:ind w:left="317" w:hanging="28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del Sistema debe haber iniciado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hd w:fill="ffffff" w:val="clear"/>
              <w:spacing w:after="120" w:lineRule="auto"/>
              <w:ind w:left="317" w:hanging="28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permisos a la sub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“Programación del Personal”.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hd w:fill="ffffff" w:val="clear"/>
              <w:spacing w:after="120" w:lineRule="auto"/>
              <w:ind w:left="317" w:hanging="28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datos del Personal Asistencial deben estar registrados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hd w:fill="ffffff" w:val="clear"/>
              <w:spacing w:after="120" w:lineRule="auto"/>
              <w:ind w:left="317" w:hanging="28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datos de las Área, Servicios y Actividades del establecimiento médico donde trabajará el Personal Asistencial deben estar registrados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hd w:fill="ffffff" w:val="clear"/>
              <w:spacing w:after="120" w:lineRule="auto"/>
              <w:ind w:left="317" w:hanging="283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personal asistencial debe tener asignados actividades a laborar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Post-condiciones: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registrará la programación del Personal Asistencial en el establecimiento médico.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Normal: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88" w:lineRule="auto"/>
              <w:ind w:left="289" w:right="0" w:hanging="289"/>
              <w:contextualSpacing w:val="1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Agregar programación asistencial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la sub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[Programación del Personal]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 pertenece a la opción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[Personal].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Pantalla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Programación del Personal Asistencial,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las siguientes secciones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(Ver Pantalla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al Personal Asistencial,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donde se ingresarán los parámetros para realizar la búsqueda de los datos de un personal asistencial asignado al establecimiento médico.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del Personal Asistencial,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donde se muestran los datos recuperados del personal asistencial y a quien se le asignará actividad 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Ingresar Nueva Programación,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donde se ingresarán los datos de las nuevas actividades a programar para el personal asistencial.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Detalle de los días programados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 ubica en el bloque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al Personal Asistencial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ingresar los parámetros de búsqueda del personal asistencial.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mes y año actual por defecto, con la posibilidad de seleccionar otro mes o año futuro.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áreas precargadas existentes en el sistema.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un área.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especialidades que tiene permiso de acceso el actor en base a su rol o especialidad asignado.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una especialidad.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Actividades que han sido registradas en el Sistema de acuerdo a la Especialidad que se seleccionó.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una Actividad.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Sub actividades que han sido registradas en el Sistema de acuerdo a la Actividad que se seleccionó.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una sub actividad.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lista de selección del Personal Asistencial de acuerdo al Área, Especialidad, Actividad que el Actor seleccionó.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un Personal Asistencial.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los siguientes datos del Personal Asistencial: Apellidos y Nombres, Especialidad, Hora tope de Asignación tanto para las Horas Normales como para las Horas Extras.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 ubica en el bloque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Ingresar Nueva Programación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 ingresa los datos para la nueva programación, los cuales son: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Turno: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Inicio y Hora de término de la Actividad Específica.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Lugar de atención para determinadas Actividades Específicas.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selecciona el(los) día(s) que trabajará el Personal Asistencial para realizar las Actividades Específicas, para ello debe hacer clic en cada casilla que representa un día en el calendario.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hace clic en el botón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Registrar.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 programación ingresada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(Ver Flujo Alternativo 1)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Confirmación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del registro.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tiene que elegir entre: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Aceptar: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confirmar la generación de la nueva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Cancelar: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no generar la nueva programación.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hizo clic en el botón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Aceptar,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 lo siguiente: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“Se grabaron ‘n’ registros”,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 el número de días programados para la sub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agrega la nueva programación de la sub actividad a la programación del 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calcula el Total de horas Normales y Extra programadas del mes del personal Asistencial.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el detalle de los días programados indicando la  fecha, horario, estado y el botón Eliminar.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un establecimiento médico privado, el estado de la programación es automáticamente aprobado.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un establecimiento médico público, el estado de la programación es programado y el sistema no le permitirá eliminar la programación si está en estado aprobado.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Actor hizo clic en el botón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Cancelar,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registran los cambios.</w:t>
            </w:r>
          </w:p>
        </w:tc>
      </w:tr>
      <w:tr>
        <w:tc>
          <w:tcPr>
            <w:vMerge w:val="continue"/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Alternativo: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registra una programación que ya ha sido registrado anteriormente, se mostrará el siguiente mensaje: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“No se puede registrar una misma programación más de una vez”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utiliza un ambiente que ya ha sido utilizado en otra programación, registrada anteriormente, a la misma fecha y hora, se mostrará el siguiente mensaje: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“El ambiente ya se encuentra en uso”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supera los topes de horas máximas permitido de las horas normales y extras, se mostrará el siguiente mensaje: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“El personal asistencial ya superó las cantidades de horas permitidas”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Inclusiones: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Esencial</w:t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de uso: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Constante</w:t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Reglas de negocio: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un establecimiento médico público, sólo podrá eliminar la programación si está en estado “aprobado”.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supere el máximo de horas normales tope debe considerarlas como extras.</w:t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especiales: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Asunciones: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Notas: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Prototipos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Pantalla 01 – Agregar programación asistencial del personal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0" distT="0" distL="0" distR="0">
            <wp:extent cx="5922573" cy="54149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7758" l="14000" r="46114" t="17375"/>
                    <a:stretch>
                      <a:fillRect/>
                    </a:stretch>
                  </pic:blipFill>
                  <pic:spPr>
                    <a:xfrm>
                      <a:off x="0" y="0"/>
                      <a:ext cx="5922573" cy="541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99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