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communication IT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2"/>
                <w:szCs w:val="32"/>
              </w:rPr>
              <w:t xml:space="preserve">Reformulation professionnelle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Structurer une demande — Clarifier un problème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Situation 1  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E5E7EB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🗣️  Formulation originale</w:t>
                  </w:r>
                </w:p>
              </w:tc>
              <w:tc>
                <w:tcPr>
                  <w:tcW w:type="dxa" w:w="4933"/>
                  <w:tcBorders>
                    <w:top w:val="single" w:color="C55A11" w:sz="12"/>
                    <w:left w:val="none" w:color="FFFFFF" w:sz="0"/>
                    <w:bottom w:val="single" w:color="C55A11" w:sz="12"/>
                    <w:right w:val="none" w:color="FFFFFF" w:sz="0"/>
                  </w:tcBorders>
                  <w:shd w:fill="FEE2E2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7"/>
                      <w:szCs w:val="17"/>
                    </w:rPr>
                    <w:t xml:space="preserve">✅  Reformulation professionnelle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B7280"/>
                      <w:sz w:val="17"/>
                      <w:szCs w:val="17"/>
                    </w:rPr>
                    <w:t xml:space="preserve">“Mon PC est nul, ça bug tout le temps et je comprends rien”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9FAFB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Le poste de travail présente des instabilités récurrentes (blocages, plantages) depuis plusieurs jours, impactant la productivité. Une analyse des performances et des journaux système est demandée.</w:t>
                  </w:r>
                </w:p>
              </w:tc>
            </w:tr>
          </w:tbl>
          <w:p>
            <w:pPr>
              <w:spacing w:before="6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66"/>
            </w:tblGrid>
            <w:tr>
              <w:tc>
                <w:tcPr>
                  <w:tcW w:type="dxa" w:w="9866"/>
                  <w:tcBorders>
                    <w:top w:val="none" w:color="FFFFFF" w:sz="0"/>
                    <w:left w:val="single" w:color="C55A11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80"/>
                    <w:bottom w:type="dxa" w:w="6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💡  Ce qui change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Suppression du vocabulaire subjectif (« nul », « je comprends rien »). Ajout de la nature du problème (instabilités récurrentes), de l’impact (productivité) et d’une demande d’action claire.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1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Situation 2  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E5E7EB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🗣️  Formulation originale</w:t>
                  </w:r>
                </w:p>
              </w:tc>
              <w:tc>
                <w:tcPr>
                  <w:tcW w:type="dxa" w:w="4933"/>
                  <w:tcBorders>
                    <w:top w:val="single" w:color="534AB7" w:sz="12"/>
                    <w:left w:val="none" w:color="FFFFFF" w:sz="0"/>
                    <w:bottom w:val="single" w:color="534AB7" w:sz="12"/>
                    <w:right w:val="none" w:color="FFFFFF" w:sz="0"/>
                  </w:tcBorders>
                  <w:shd w:fill="EDE9FE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7"/>
                      <w:szCs w:val="17"/>
                    </w:rPr>
                    <w:t xml:space="preserve">✅  Reformulation professionnelle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B7280"/>
                      <w:sz w:val="17"/>
                      <w:szCs w:val="17"/>
                    </w:rPr>
                    <w:t xml:space="preserve">“J’ai perdu mon fichier, enfin je crois, je ne le retrouve plus”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9FAFB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Un fichier de travail n’est plus accessible depuis le poste de l’utilisateur. Sa présence dans les sauvegardes ou la corbeille reste à vérifier. Une restauration est demandée si possible.</w:t>
                  </w:r>
                </w:p>
              </w:tc>
            </w:tr>
          </w:tbl>
          <w:p>
            <w:pPr>
              <w:spacing w:before="6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66"/>
            </w:tblGrid>
            <w:tr>
              <w:tc>
                <w:tcPr>
                  <w:tcW w:type="dxa" w:w="9866"/>
                  <w:tcBorders>
                    <w:top w:val="none" w:color="FFFFFF" w:sz="0"/>
                    <w:left w:val="single" w:color="534AB7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80"/>
                    <w:bottom w:type="dxa" w:w="6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💡  Ce qui change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Remplacement de l’incertitude (« enfin je crois ») par une description factuelle. Orientation vers les pistes de résolution (sauvegardes, corbeille) et formulation d’une demande d’action précise.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B3F6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Situation 3  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E5E7EB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4151"/>
                      <w:sz w:val="17"/>
                      <w:szCs w:val="17"/>
                    </w:rPr>
                    <w:t xml:space="preserve">🗣️  Formulation originale</w:t>
                  </w:r>
                </w:p>
              </w:tc>
              <w:tc>
                <w:tcPr>
                  <w:tcW w:type="dxa" w:w="4933"/>
                  <w:tcBorders>
                    <w:top w:val="single" w:color="1B3F6B" w:sz="12"/>
                    <w:left w:val="none" w:color="FFFFFF" w:sz="0"/>
                    <w:bottom w:val="single" w:color="1B3F6B" w:sz="12"/>
                    <w:right w:val="none" w:color="FFFFFF" w:sz="0"/>
                  </w:tcBorders>
                  <w:shd w:fill="DCE9F5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7"/>
                      <w:szCs w:val="17"/>
                    </w:rPr>
                    <w:t xml:space="preserve">✅  Reformulation professionnelle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B7280"/>
                      <w:sz w:val="17"/>
                      <w:szCs w:val="17"/>
                    </w:rPr>
                    <w:t xml:space="preserve">“Internet marche pas, c’est encore cassé”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9FAFB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L’utilisateur ne dispose plus d’accès à Internet depuis son poste. Le problème semble récurrent. Un diagnostic réseau est demandé pour identifier l’origine (poste, switch, routeur ou FAI).</w:t>
                  </w:r>
                </w:p>
              </w:tc>
            </w:tr>
          </w:tbl>
          <w:p>
            <w:pPr>
              <w:spacing w:before="6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66"/>
            </w:tblGrid>
            <w:tr>
              <w:tc>
                <w:tcPr>
                  <w:tcW w:type="dxa" w:w="9866"/>
                  <w:tcBorders>
                    <w:top w:val="none" w:color="FFFFFF" w:sz="0"/>
                    <w:left w:val="single" w:color="1B3F6B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80"/>
                    <w:bottom w:type="dxa" w:w="6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💡  Ce qui change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Suppression du ton informel (« marche pas », « cassé »). Précision du périmètre (poste utilisateur), mention du caractère récurrent et définition d’une action de diagnostic structurée.</w:t>
                  </w:r>
                </w:p>
              </w:tc>
            </w:tr>
          </w:tbl>
          <w:p/>
        </w:tc>
      </w:tr>
    </w:tbl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1E5631" w:sz="12"/>
              <w:left w:val="single" w:color="1E5631" w:sz="24"/>
              <w:bottom w:val="single" w:color="1E5631" w:sz="12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9"/>
                <w:szCs w:val="19"/>
              </w:rPr>
              <w:t xml:space="preserve">📚  Les 3 règles d’une bonne reformulation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400"/>
              <w:gridCol w:w="6266"/>
            </w:tblGrid>
            <w:tr>
              <w:tc>
                <w:tcPr>
                  <w:tcW w:type="dxa" w:w="1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7"/>
                      <w:szCs w:val="17"/>
                    </w:rPr>
                    <w:t xml:space="preserve">Règle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7"/>
                      <w:szCs w:val="17"/>
                    </w:rPr>
                    <w:t xml:space="preserve">Principe</w:t>
                  </w:r>
                </w:p>
              </w:tc>
              <w:tc>
                <w:tcPr>
                  <w:tcW w:type="dxa" w:w="62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7"/>
                      <w:szCs w:val="17"/>
                    </w:rPr>
                    <w:t xml:space="preserve">Exemple appliqué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4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1. Objectiver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4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Remplacer les émotions et jugements par des faits observables.</w:t>
                  </w:r>
                </w:p>
              </w:tc>
              <w:tc>
                <w:tcPr>
                  <w:tcW w:type="dxa" w:w="62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4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6"/>
                      <w:szCs w:val="16"/>
                    </w:rPr>
                    <w:t xml:space="preserve">« nul » → « instabilités récurrentes »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2. Contextualiser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Préciser le périmètre, la durée et l’impact sur le travail.</w:t>
                  </w:r>
                </w:p>
              </w:tc>
              <w:tc>
                <w:tcPr>
                  <w:tcW w:type="dxa" w:w="62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6"/>
                      <w:szCs w:val="16"/>
                    </w:rPr>
                    <w:t xml:space="preserve">« marche pas » → « pas d’accès depuis le poste X »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4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3. Orienter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4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Conclure par une demande d’action claire et actionnable.</w:t>
                  </w:r>
                </w:p>
              </w:tc>
              <w:tc>
                <w:tcPr>
                  <w:tcW w:type="dxa" w:w="62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4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6"/>
                      <w:szCs w:val="16"/>
                    </w:rPr>
                    <w:t xml:space="preserve">« je comprends rien » → « un diagnostic est demandé »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Reformulation professionnelle de demandes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2026-04-01T17:31:17.945Z</dcterms:created>
  <dcterms:modified xsi:type="dcterms:W3CDTF">2026-04-01T17:31:17.946Z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