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" w:after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4906"/>
      </w:tblGrid>
      <w:tr>
        <w:tc>
          <w:tcPr>
            <w:tcW w:type="dxa" w:w="5400"/>
            <w:tcBorders>
              <w:top w:val="single" w:color="2E75B6" w:sz="16"/>
              <w:left w:val="single" w:color="1B3F6B" w:sz="24"/>
              <w:bottom w:val="single" w:color="2E75B6" w:sz="16"/>
              <w:right w:val="none" w:color="FFFFFF" w:sz="0"/>
            </w:tcBorders>
            <w:shd w:fill="F0F6FB" w:val="clear"/>
            <w:tcMar>
              <w:top w:type="dxa" w:w="180"/>
              <w:left w:type="dxa" w:w="300"/>
              <w:bottom w:type="dxa" w:w="180"/>
              <w:right w:type="dxa" w:w="200"/>
            </w:tcMar>
            <w:vAlign w:val="center"/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14"/>
                <w:szCs w:val="14"/>
              </w:rPr>
              <w:t xml:space="preserve">Exercice de diagnostic</w:t>
            </w:r>
          </w:p>
          <w:p>
            <w:pPr>
              <w:spacing w:before="0" w:after="5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F6B"/>
                <w:sz w:val="30"/>
                <w:szCs w:val="30"/>
              </w:rPr>
              <w:t xml:space="preserve">Serveur — Redémarrage hebdomadaire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55555"/>
                <w:sz w:val="15"/>
                <w:szCs w:val="15"/>
              </w:rPr>
              <w:t xml:space="preserve">Incident / Problème — Analyse — Démarche — Maintenance</w:t>
            </w:r>
          </w:p>
        </w:tc>
        <w:tc>
          <w:tcPr>
            <w:tcW w:type="dxa" w:w="4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  <w:vAlign w:val="center"/>
          </w:tcPr>
          <w:tbl>
            <w:tblPr>
              <w:tblW w:type="dxa" w:w="474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200"/>
              <w:gridCol w:w="2706"/>
            </w:tblGrid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Cours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Systèmes d’Exploitation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Établissement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IPAM d’Ecaussinnes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Auteur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Ernest HADJIU</w:t>
                  </w:r>
                </w:p>
              </w:tc>
            </w:tr>
            <w:tr>
              <w:tc>
                <w:tcPr>
                  <w:tcW w:type="dxa" w:w="2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DCE9F5" w:val="clear"/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1B3F6B"/>
                      <w:sz w:val="15"/>
                      <w:szCs w:val="15"/>
                    </w:rPr>
                    <w:t xml:space="preserve">Année</w:t>
                  </w:r>
                </w:p>
              </w:tc>
              <w:tc>
                <w:tcPr>
                  <w:tcW w:type="dxa" w:w="2706"/>
                  <w:tcBorders>
                    <w:top w:val="none" w:color="FFFFFF" w:sz="0"/>
                    <w:left w:val="none" w:color="FFFFFF" w:sz="0"/>
                    <w:bottom w:val="single" w:color="AACDE8" w:sz="4"/>
                    <w:right w:val="none" w:color="FFFFFF" w:sz="0"/>
                  </w:tcBorders>
                  <w:tcMar>
                    <w:top w:type="dxa" w:w="50"/>
                    <w:left w:type="dxa" w:w="120"/>
                    <w:bottom w:type="dxa" w:w="50"/>
                    <w:right w:type="dxa" w:w="8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5"/>
                      <w:szCs w:val="15"/>
                    </w:rPr>
                    <w:t xml:space="preserve">2024-2025</w:t>
                  </w:r>
                </w:p>
              </w:tc>
            </w:tr>
          </w:tbl>
          <w:p/>
        </w:tc>
      </w:tr>
    </w:tbl>
    <w:p>
      <w:pPr>
        <w:spacing w:before="10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55555" w:sz="20"/>
              <w:bottom w:val="none" w:color="FFFFFF" w:sz="0"/>
              <w:right w:val="none" w:color="FFFFFF" w:sz="0"/>
            </w:tcBorders>
            <w:shd w:fill="F9FAFB" w:val="clear"/>
            <w:tcMar>
              <w:top w:type="dxa" w:w="90"/>
              <w:left w:type="dxa" w:w="240"/>
              <w:bottom w:type="dxa" w:w="90"/>
              <w:right w:type="dxa" w:w="160"/>
            </w:tcMar>
          </w:tcPr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55555"/>
                <w:sz w:val="18"/>
                <w:szCs w:val="18"/>
              </w:rPr>
              <w:t xml:space="preserve">📋  Contexte 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11827"/>
                <w:sz w:val="18"/>
                <w:szCs w:val="18"/>
              </w:rPr>
              <w:t xml:space="preserve">Un serveur doit être redémarré chaque semaine pour fonctionner correctement.</w:t>
            </w:r>
          </w:p>
        </w:tc>
      </w:tr>
    </w:tbl>
    <w:p>
      <w:pPr>
        <w:spacing w:before="100" w:after="5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2E75B6" w:sz="24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Q1.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5B6"/>
                <w:sz w:val="20"/>
                <w:szCs w:val="20"/>
              </w:rPr>
              <w:t xml:space="preserve">Incident ou problème ?</w:t>
            </w:r>
          </w:p>
          <w:p>
            <w:pPr>
              <w:spacing w:before="0" w:after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7"/>
                <w:szCs w:val="17"/>
              </w:rPr>
              <w:t xml:space="preserve">🟡  C’est un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17"/>
                <w:szCs w:val="17"/>
              </w:rPr>
              <w:t xml:space="preserve">PROBLÈME.</w:t>
            </w:r>
          </w:p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C55A11" w:sz="24"/>
              <w:bottom w:val="none" w:color="FFFFFF" w:sz="0"/>
              <w:right w:val="none" w:color="FFFFFF" w:sz="0"/>
            </w:tcBorders>
            <w:shd w:fill="FFFBEB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Q2.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55A11"/>
                <w:sz w:val="20"/>
                <w:szCs w:val="20"/>
              </w:rPr>
              <w:t xml:space="preserve">Pourquoi ?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73"/>
              <w:gridCol w:w="120"/>
              <w:gridCol w:w="4873"/>
            </w:tblGrid>
            <w:tr>
              <w:tc>
                <w:tcPr>
                  <w:tcW w:type="dxa" w:w="4873"/>
                  <w:tcBorders>
                    <w:top w:val="none" w:color="FFFFFF" w:sz="0"/>
                    <w:left w:val="single" w:color="C55A11" w:sz="12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Récurrence à intervalle régulier (hebdomadaire).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Comportement systématique ⇒ cause racine sous-jacente.</w:t>
                  </w:r>
                </w:p>
              </w:tc>
              <w:tc>
                <w:tcPr>
                  <w:tcW w:type="dxa" w:w="12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8"/>
                      <w:szCs w:val="18"/>
                    </w:rPr>
                    <w:t xml:space="preserve"/>
                  </w:r>
                </w:p>
              </w:tc>
              <w:tc>
                <w:tcPr>
                  <w:tcW w:type="dxa" w:w="4873"/>
                  <w:tcBorders>
                    <w:top w:val="none" w:color="FFFFFF" w:sz="0"/>
                    <w:left w:val="single" w:color="C55A11" w:sz="12"/>
                    <w:bottom w:val="none" w:color="FFFFFF" w:sz="0"/>
                    <w:right w:val="none" w:color="FFFFFF" w:sz="0"/>
                  </w:tcBorders>
                  <w:shd w:fill="FFFFFF" w:val="clear"/>
                  <w:tcMar>
                    <w:top w:type="dxa" w:w="70"/>
                    <w:left w:type="dxa" w:w="140"/>
                    <w:bottom w:type="dxa" w:w="70"/>
                    <w:right w:type="dxa" w:w="100"/>
                  </w:tcMar>
                </w:tcPr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Plusieurs redémarrages = plusieurs incidents liés.</w:t>
                  </w:r>
                </w:p>
                <w:p>
                  <w:pPr>
                    <w:pStyle w:val="ListParagraph"/>
                    <w:numPr>
                      <w:ilvl w:val="0"/>
                      <w:numId w:val="2"/>
                    </w:numPr>
                    <w:spacing w:before="35" w:after="35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7"/>
                      <w:szCs w:val="17"/>
                    </w:rPr>
                    <w:t xml:space="preserve">Nécessite une investigation de fond, pas juste un redémarrage.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1E5631" w:sz="24"/>
              <w:bottom w:val="none" w:color="FFFFFF" w:sz="0"/>
              <w:right w:val="none" w:color="FFFFFF" w:sz="0"/>
            </w:tcBorders>
            <w:shd w:fill="F0FDF4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Q3.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5631"/>
                <w:sz w:val="20"/>
                <w:szCs w:val="20"/>
              </w:rPr>
              <w:t xml:space="preserve">Quelle démarche ?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60"/>
              <w:gridCol w:w="2300"/>
              <w:gridCol w:w="2500"/>
              <w:gridCol w:w="4506"/>
            </w:tblGrid>
            <w:tr>
              <w:tc>
                <w:tcPr>
                  <w:tcW w:type="dxa" w:w="56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Étape</w:t>
                  </w:r>
                </w:p>
              </w:tc>
              <w:tc>
                <w:tcPr>
                  <w:tcW w:type="dxa" w:w="23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Action</w:t>
                  </w:r>
                </w:p>
              </w:tc>
              <w:tc>
                <w:tcPr>
                  <w:tcW w:type="dxa" w:w="25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Outil / Commande</w:t>
                  </w:r>
                </w:p>
              </w:tc>
              <w:tc>
                <w:tcPr>
                  <w:tcW w:type="dxa" w:w="450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Objectif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1</w:t>
                  </w:r>
                </w:p>
              </w:tc>
              <w:tc>
                <w:tcPr>
                  <w:tcW w:type="dxa" w:w="23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Analyser les journaux système</w:t>
                  </w:r>
                </w:p>
              </w:tc>
              <w:tc>
                <w:tcPr>
                  <w:tcW w:type="dxa" w:w="2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Observateur d’événements / journalctl -xe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Repérer erreurs avant chaque crash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2</w:t>
                  </w:r>
                </w:p>
              </w:tc>
              <w:tc>
                <w:tcPr>
                  <w:tcW w:type="dxa" w:w="23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Surveiller CPU, RAM, disque</w:t>
                  </w:r>
                </w:p>
              </w:tc>
              <w:tc>
                <w:tcPr>
                  <w:tcW w:type="dxa" w:w="2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Task Manager / top, htop, df -h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Détecter une ressource saturée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3</w:t>
                  </w:r>
                </w:p>
              </w:tc>
              <w:tc>
                <w:tcPr>
                  <w:tcW w:type="dxa" w:w="23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Contrôler les services actifs</w:t>
                  </w:r>
                </w:p>
              </w:tc>
              <w:tc>
                <w:tcPr>
                  <w:tcW w:type="dxa" w:w="2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services.msc / systemctl list-units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Identifier un service instable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4</w:t>
                  </w:r>
                </w:p>
              </w:tc>
              <w:tc>
                <w:tcPr>
                  <w:tcW w:type="dxa" w:w="23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Inspecter les MAJ et correctifs</w:t>
                  </w:r>
                </w:p>
              </w:tc>
              <w:tc>
                <w:tcPr>
                  <w:tcW w:type="dxa" w:w="2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Windows Update / apt list --upgradable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Détecter une régression logicielle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5</w:t>
                  </w:r>
                </w:p>
              </w:tc>
              <w:tc>
                <w:tcPr>
                  <w:tcW w:type="dxa" w:w="23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Tester la mémoire et le stockage</w:t>
                  </w:r>
                </w:p>
              </w:tc>
              <w:tc>
                <w:tcPr>
                  <w:tcW w:type="dxa" w:w="2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MemTest86 / smartctl -a /dev/sdX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0F6FB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Exclure une panne matérielle</w:t>
                  </w:r>
                </w:p>
              </w:tc>
            </w:tr>
            <w:tr>
              <w:tc>
                <w:tcPr>
                  <w:tcW w:type="dxa" w:w="56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1B3F6B" w:val="clear"/>
                  <w:tcMar>
                    <w:top w:type="dxa" w:w="60"/>
                    <w:left w:type="dxa" w:w="80"/>
                    <w:bottom w:type="dxa" w:w="60"/>
                    <w:right w:type="dxa" w:w="6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6"/>
                      <w:szCs w:val="16"/>
                    </w:rPr>
                    <w:t xml:space="preserve">6</w:t>
                  </w:r>
                </w:p>
              </w:tc>
              <w:tc>
                <w:tcPr>
                  <w:tcW w:type="dxa" w:w="23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Documenter et escalader si besoin</w:t>
                  </w:r>
                </w:p>
              </w:tc>
              <w:tc>
                <w:tcPr>
                  <w:tcW w:type="dxa" w:w="25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/>
                      <w:iCs/>
                      <w:color w:val="374151"/>
                      <w:sz w:val="15"/>
                      <w:szCs w:val="15"/>
                    </w:rPr>
                    <w:t xml:space="preserve">Ticket ITSM / rapport d’incident</w:t>
                  </w:r>
                </w:p>
              </w:tc>
              <w:tc>
                <w:tcPr>
                  <w:tcW w:type="dxa" w:w="450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Tracer pour analyse N2/N3</w:t>
                  </w:r>
                </w:p>
              </w:tc>
            </w:tr>
          </w:tbl>
          <w:p/>
        </w:tc>
      </w:tr>
    </w:tbl>
    <w:p>
      <w:pPr>
        <w:spacing w:before="80" w:after="4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18"/>
          <w:szCs w:val="18"/>
        </w:rPr>
        <w:t xml:space="preserve"/>
      </w:r>
    </w:p>
    <w:tbl>
      <w:tblPr>
        <w:tblW w:type="dxa" w:w="10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306"/>
      </w:tblGrid>
      <w:tr>
        <w:tc>
          <w:tcPr>
            <w:tcW w:type="dxa" w:w="10306"/>
            <w:tcBorders>
              <w:top w:val="none" w:color="FFFFFF" w:sz="0"/>
              <w:left w:val="single" w:color="534AB7" w:sz="24"/>
              <w:bottom w:val="none" w:color="FFFFFF" w:sz="0"/>
              <w:right w:val="none" w:color="FFFFFF" w:sz="0"/>
            </w:tcBorders>
            <w:shd w:fill="F5F3FF" w:val="clear"/>
            <w:tcMar>
              <w:top w:type="dxa" w:w="120"/>
              <w:left w:type="dxa" w:w="260"/>
              <w:bottom w:type="dxa" w:w="120"/>
              <w:right w:type="dxa" w:w="180"/>
            </w:tcMar>
          </w:tcPr>
          <w:p>
            <w:pPr>
              <w:spacing w:before="0" w:after="7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Q4.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34AB7"/>
                <w:sz w:val="20"/>
                <w:szCs w:val="20"/>
              </w:rPr>
              <w:t xml:space="preserve">Type de maintenance ?</w:t>
            </w:r>
          </w:p>
          <w:tbl>
            <w:tblPr>
              <w:tblW w:type="dxa" w:w="98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000"/>
              <w:gridCol w:w="2200"/>
              <w:gridCol w:w="5666"/>
            </w:tblGrid>
            <w:tr>
              <w:tc>
                <w:tcPr>
                  <w:tcW w:type="dxa" w:w="20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Type</w:t>
                  </w:r>
                </w:p>
              </w:tc>
              <w:tc>
                <w:tcPr>
                  <w:tcW w:type="dxa" w:w="2200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Caractéristique</w:t>
                  </w:r>
                </w:p>
              </w:tc>
              <w:tc>
                <w:tcPr>
                  <w:tcW w:type="dxa" w:w="5666"/>
                  <w:tcBorders>
                    <w:top w:val="single" w:color="2E75B6" w:sz="12"/>
                    <w:left w:val="none" w:color="FFFFFF" w:sz="0"/>
                    <w:bottom w:val="single" w:color="2E75B6" w:sz="12"/>
                    <w:right w:val="none" w:color="FFFFFF" w:sz="0"/>
                  </w:tcBorders>
                  <w:shd w:fill="1B3F6B" w:val="clear"/>
                  <w:tcMar>
                    <w:top w:type="dxa" w:w="80"/>
                    <w:left w:type="dxa" w:w="11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FFFFFF"/>
                      <w:sz w:val="17"/>
                      <w:szCs w:val="17"/>
                    </w:rPr>
                    <w:t xml:space="preserve">Application dans ce cas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DE9FE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7"/>
                      <w:szCs w:val="17"/>
                    </w:rPr>
                    <w:t xml:space="preserve">Corrective</w:t>
                  </w:r>
                </w:p>
              </w:tc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DE9FE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Corriger un dysfonctionnement existant</w:t>
                  </w:r>
                </w:p>
              </w:tc>
              <w:tc>
                <w:tcPr>
                  <w:tcW w:type="dxa" w:w="56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EDE9FE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Identifier et corriger la cause racine du redémarrage forcé</w:t>
                  </w:r>
                </w:p>
              </w:tc>
            </w:tr>
            <w:tr>
              <w:tc>
                <w:tcPr>
                  <w:tcW w:type="dxa" w:w="20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i w:val="false"/>
                      <w:iCs w:val="false"/>
                      <w:color w:val="534AB7"/>
                      <w:sz w:val="17"/>
                      <w:szCs w:val="17"/>
                    </w:rPr>
                    <w:t xml:space="preserve">Préventive</w:t>
                  </w:r>
                </w:p>
              </w:tc>
              <w:tc>
                <w:tcPr>
                  <w:tcW w:type="dxa" w:w="2200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Anticiper les pannes futures</w:t>
                  </w:r>
                </w:p>
              </w:tc>
              <w:tc>
                <w:tcPr>
                  <w:tcW w:type="dxa" w:w="5666"/>
                  <w:tcBorders>
                    <w:top w:val="single" w:color="DDDDDD" w:sz="4"/>
                    <w:left w:val="single" w:color="DDDDDD" w:sz="4"/>
                    <w:bottom w:val="single" w:color="DDDDDD" w:sz="4"/>
                    <w:right w:val="single" w:color="DDDDDD" w:sz="4"/>
                  </w:tcBorders>
                  <w:shd w:fill="FFFFFF" w:val="clear"/>
                  <w:tcMar>
                    <w:top w:type="dxa" w:w="80"/>
                    <w:left w:type="dxa" w:w="100"/>
                    <w:bottom w:type="dxa" w:w="80"/>
                    <w:right w:type="dxa" w:w="80"/>
                  </w:tcMar>
                  <w:vAlign w:val="center"/>
                </w:tcPr>
                <w:p>
                  <w:pPr>
                    <w:spacing w:before="0" w:after="40"/>
                    <w:jc w:val="left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i w:val="false"/>
                      <w:iCs w:val="false"/>
                      <w:color w:val="111827"/>
                      <w:sz w:val="16"/>
                      <w:szCs w:val="16"/>
                    </w:rPr>
                    <w:t xml:space="preserve">Planifier surveillances, alertes et fenêtres de maintenance</w:t>
                  </w:r>
                </w:p>
              </w:tc>
            </w:tr>
          </w:tbl>
          <w:p/>
        </w:tc>
      </w:tr>
    </w:tbl>
    <w:sectPr>
      <w:headerReference w:type="default" r:id="rId6"/>
      <w:footerReference w:type="default" r:id="rId7"/>
      <w:pgSz w:w="11906" w:h="16838" w:orient="portrait"/>
      <w:pgMar w:top="720" w:right="800" w:bottom="720" w:left="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CE9F5" w:sz="4" w:space="2"/>
      </w:pBdr>
      <w:spacing w:before="60"/>
    </w:pPr>
    <w:r>
      <w:rPr>
        <w:rFonts w:ascii="Arial" w:cs="Arial" w:eastAsia="Arial" w:hAnsi="Arial"/>
        <w:b w:val="false"/>
        <w:bCs w:val="false"/>
        <w:i/>
        <w:iCs/>
        <w:color w:val="555555"/>
        <w:sz w:val="13"/>
        <w:szCs w:val="13"/>
      </w:rPr>
      <w:t xml:space="preserve">IPAM d’Ecaussinnes — Bachelier IT — Systèmes d’Exploitation — Usage pédagogique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10" w:space="2"/>
      </w:pBdr>
      <w:spacing w:before="0" w:after="60"/>
    </w:pPr>
    <w:r>
      <w:rPr>
        <w:rFonts w:ascii="Arial" w:cs="Arial" w:eastAsia="Arial" w:hAnsi="Arial"/>
        <w:b/>
        <w:bCs/>
        <w:i w:val="false"/>
        <w:iCs w:val="false"/>
        <w:color w:val="1B3F6B"/>
        <w:sz w:val="18"/>
        <w:szCs w:val="18"/>
      </w:rPr>
      <w:t xml:space="preserve">EXERCICE OS — Serveur : redémarrage hebdomadaire</w:t>
    </w:r>
    <w:r>
      <w:rPr>
        <w:rFonts w:ascii="Arial" w:cs="Arial" w:eastAsia="Arial" w:hAnsi="Arial"/>
        <w:b w:val="false"/>
        <w:bCs w:val="false"/>
        <w:i/>
        <w:iCs/>
        <w:color w:val="555555"/>
        <w:sz w:val="14"/>
        <w:szCs w:val="14"/>
      </w:rPr>
      <w:t xml:space="preserve">    |    IPAM d’Ecaussinnes — Bachelier IT — Page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4"/>
        <w:szCs w:val="14"/>
      </w:rPr>
      <w:t xml:space="preserve"> / </w:t>
    </w:r>
    <w:r>
      <w:rPr>
        <w:rFonts w:ascii="Arial" w:cs="Arial" w:eastAsia="Arial" w:hAnsi="Arial"/>
        <w:color w:val="555555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2026-03-19T19:27:53.217Z</dcterms:created>
  <dcterms:modified xsi:type="dcterms:W3CDTF">2026-03-19T19:27:53.219Z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