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18"/>
          <w:szCs w:val="18"/>
        </w:rPr>
        <w:t xml:space="preserve"/>
      </w:r>
    </w:p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4906"/>
      </w:tblGrid>
      <w:tr>
        <w:tc>
          <w:tcPr>
            <w:tcW w:type="dxa" w:w="5400"/>
            <w:tcBorders>
              <w:top w:val="single" w:color="2E75B6" w:sz="16"/>
              <w:left w:val="single" w:color="1B3F6B" w:sz="24"/>
              <w:bottom w:val="single" w:color="2E75B6" w:sz="16"/>
              <w:right w:val="none" w:color="FFFFFF" w:sz="0"/>
            </w:tcBorders>
            <w:shd w:fill="F0F6FB" w:val="clear"/>
            <w:tcMar>
              <w:top w:type="dxa" w:w="180"/>
              <w:left w:type="dxa" w:w="300"/>
              <w:bottom w:type="dxa" w:w="180"/>
              <w:right w:type="dxa" w:w="200"/>
            </w:tcMar>
            <w:vAlign w:val="center"/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4"/>
                <w:szCs w:val="14"/>
              </w:rPr>
              <w:t xml:space="preserve">Exercice de communication IT</w:t>
            </w:r>
          </w:p>
          <w:p>
            <w:pPr>
              <w:spacing w:before="0" w:after="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F6B"/>
                <w:sz w:val="32"/>
                <w:szCs w:val="32"/>
              </w:rPr>
              <w:t xml:space="preserve">Réponse professionnelle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Gestion émotionnelle — Communication adaptée</w:t>
            </w:r>
          </w:p>
        </w:tc>
        <w:tc>
          <w:tcPr>
            <w:tcW w:type="dxa" w:w="4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0"/>
            </w:tcMar>
            <w:vAlign w:val="center"/>
          </w:tcPr>
          <w:tbl>
            <w:tblPr>
              <w:tblW w:type="dxa" w:w="474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00"/>
              <w:gridCol w:w="2706"/>
            </w:tblGrid>
            <w:tr>
              <w:tc>
                <w:tcPr>
                  <w:tcW w:type="dxa" w:w="2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DCE9F5" w:val="clear"/>
                  <w:tcMar>
                    <w:top w:type="dxa" w:w="50"/>
                    <w:left w:type="dxa" w:w="120"/>
                    <w:bottom w:type="dxa" w:w="50"/>
                    <w:right w:type="dxa" w:w="80"/>
                  </w:tcMar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B3F6B"/>
                      <w:sz w:val="15"/>
                      <w:szCs w:val="15"/>
                    </w:rPr>
                    <w:t xml:space="preserve">Cours</w:t>
                  </w:r>
                </w:p>
              </w:tc>
              <w:tc>
                <w:tcPr>
                  <w:tcW w:type="dxa" w:w="2706"/>
                  <w:tcBorders>
                    <w:top w:val="none" w:color="FFFFFF" w:sz="0"/>
                    <w:left w:val="none" w:color="FFFFFF" w:sz="0"/>
                    <w:bottom w:val="single" w:color="AACDE8" w:sz="4"/>
                    <w:right w:val="none" w:color="FFFFFF" w:sz="0"/>
                  </w:tcBorders>
                  <w:tcMar>
                    <w:top w:type="dxa" w:w="50"/>
                    <w:left w:type="dxa" w:w="120"/>
                    <w:bottom w:type="dxa" w:w="50"/>
                    <w:right w:type="dxa" w:w="80"/>
                  </w:tcMar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15"/>
                      <w:szCs w:val="15"/>
                    </w:rPr>
                    <w:t xml:space="preserve">Systèmes d’Exploitation</w:t>
                  </w:r>
                </w:p>
              </w:tc>
            </w:tr>
            <w:tr>
              <w:tc>
                <w:tcPr>
                  <w:tcW w:type="dxa" w:w="2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DCE9F5" w:val="clear"/>
                  <w:tcMar>
                    <w:top w:type="dxa" w:w="50"/>
                    <w:left w:type="dxa" w:w="120"/>
                    <w:bottom w:type="dxa" w:w="50"/>
                    <w:right w:type="dxa" w:w="80"/>
                  </w:tcMar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B3F6B"/>
                      <w:sz w:val="15"/>
                      <w:szCs w:val="15"/>
                    </w:rPr>
                    <w:t xml:space="preserve">Établissement</w:t>
                  </w:r>
                </w:p>
              </w:tc>
              <w:tc>
                <w:tcPr>
                  <w:tcW w:type="dxa" w:w="2706"/>
                  <w:tcBorders>
                    <w:top w:val="none" w:color="FFFFFF" w:sz="0"/>
                    <w:left w:val="none" w:color="FFFFFF" w:sz="0"/>
                    <w:bottom w:val="single" w:color="AACDE8" w:sz="4"/>
                    <w:right w:val="none" w:color="FFFFFF" w:sz="0"/>
                  </w:tcBorders>
                  <w:tcMar>
                    <w:top w:type="dxa" w:w="50"/>
                    <w:left w:type="dxa" w:w="120"/>
                    <w:bottom w:type="dxa" w:w="50"/>
                    <w:right w:type="dxa" w:w="80"/>
                  </w:tcMar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15"/>
                      <w:szCs w:val="15"/>
                    </w:rPr>
                    <w:t xml:space="preserve">IPAM d’Ecaussinnes</w:t>
                  </w:r>
                </w:p>
              </w:tc>
            </w:tr>
            <w:tr>
              <w:tc>
                <w:tcPr>
                  <w:tcW w:type="dxa" w:w="2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DCE9F5" w:val="clear"/>
                  <w:tcMar>
                    <w:top w:type="dxa" w:w="50"/>
                    <w:left w:type="dxa" w:w="120"/>
                    <w:bottom w:type="dxa" w:w="50"/>
                    <w:right w:type="dxa" w:w="80"/>
                  </w:tcMar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B3F6B"/>
                      <w:sz w:val="15"/>
                      <w:szCs w:val="15"/>
                    </w:rPr>
                    <w:t xml:space="preserve">Auteur</w:t>
                  </w:r>
                </w:p>
              </w:tc>
              <w:tc>
                <w:tcPr>
                  <w:tcW w:type="dxa" w:w="2706"/>
                  <w:tcBorders>
                    <w:top w:val="none" w:color="FFFFFF" w:sz="0"/>
                    <w:left w:val="none" w:color="FFFFFF" w:sz="0"/>
                    <w:bottom w:val="single" w:color="AACDE8" w:sz="4"/>
                    <w:right w:val="none" w:color="FFFFFF" w:sz="0"/>
                  </w:tcBorders>
                  <w:tcMar>
                    <w:top w:type="dxa" w:w="50"/>
                    <w:left w:type="dxa" w:w="120"/>
                    <w:bottom w:type="dxa" w:w="50"/>
                    <w:right w:type="dxa" w:w="80"/>
                  </w:tcMar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15"/>
                      <w:szCs w:val="15"/>
                    </w:rPr>
                    <w:t xml:space="preserve">Ernest HADJIU</w:t>
                  </w:r>
                </w:p>
              </w:tc>
            </w:tr>
            <w:tr>
              <w:tc>
                <w:tcPr>
                  <w:tcW w:type="dxa" w:w="2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DCE9F5" w:val="clear"/>
                  <w:tcMar>
                    <w:top w:type="dxa" w:w="50"/>
                    <w:left w:type="dxa" w:w="120"/>
                    <w:bottom w:type="dxa" w:w="50"/>
                    <w:right w:type="dxa" w:w="80"/>
                  </w:tcMar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B3F6B"/>
                      <w:sz w:val="15"/>
                      <w:szCs w:val="15"/>
                    </w:rPr>
                    <w:t xml:space="preserve">Année</w:t>
                  </w:r>
                </w:p>
              </w:tc>
              <w:tc>
                <w:tcPr>
                  <w:tcW w:type="dxa" w:w="2706"/>
                  <w:tcBorders>
                    <w:top w:val="none" w:color="FFFFFF" w:sz="0"/>
                    <w:left w:val="none" w:color="FFFFFF" w:sz="0"/>
                    <w:bottom w:val="single" w:color="AACDE8" w:sz="4"/>
                    <w:right w:val="none" w:color="FFFFFF" w:sz="0"/>
                  </w:tcBorders>
                  <w:tcMar>
                    <w:top w:type="dxa" w:w="50"/>
                    <w:left w:type="dxa" w:w="120"/>
                    <w:bottom w:type="dxa" w:w="50"/>
                    <w:right w:type="dxa" w:w="80"/>
                  </w:tcMar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15"/>
                      <w:szCs w:val="15"/>
                    </w:rPr>
                    <w:t xml:space="preserve">2024-2025</w:t>
                  </w:r>
                </w:p>
              </w:tc>
            </w:tr>
          </w:tbl>
          <w:p/>
        </w:tc>
      </w:tr>
    </w:tbl>
    <w:p>
      <w:pPr>
        <w:spacing w:before="95" w:after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18"/>
          <w:szCs w:val="18"/>
        </w:rPr>
        <w:t xml:space="preserve"/>
      </w:r>
    </w:p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06"/>
      </w:tblGrid>
      <w:tr>
        <w:tc>
          <w:tcPr>
            <w:tcW w:type="dxa" w:w="10306"/>
            <w:tcBorders>
              <w:top w:val="none" w:color="FFFFFF" w:sz="0"/>
              <w:left w:val="single" w:color="991B1B" w:sz="20"/>
              <w:bottom w:val="none" w:color="FFFFFF" w:sz="0"/>
              <w:right w:val="none" w:color="FFFFFF" w:sz="0"/>
            </w:tcBorders>
            <w:shd w:fill="FEF2F2" w:val="clear"/>
            <w:tcMar>
              <w:top w:type="dxa" w:w="100"/>
              <w:left w:type="dxa" w:w="240"/>
              <w:bottom w:type="dxa" w:w="100"/>
              <w:right w:type="dxa" w:w="160"/>
            </w:tcMar>
          </w:tcPr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1B1B"/>
                <w:sz w:val="18"/>
                <w:szCs w:val="18"/>
              </w:rPr>
              <w:t xml:space="preserve">🗣️  Utilisateur : 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7F1D1D"/>
                <w:sz w:val="20"/>
                <w:szCs w:val="20"/>
              </w:rPr>
              <w:t xml:space="preserve">“J’en ai marre, ça ne marche jamais, j’ai perdu mon travail !”</w:t>
            </w:r>
          </w:p>
        </w:tc>
      </w:tr>
    </w:tbl>
    <w:p>
      <w:pPr>
        <w:spacing w:before="95" w:after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18"/>
          <w:szCs w:val="18"/>
        </w:rPr>
        <w:t xml:space="preserve"/>
      </w:r>
    </w:p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06"/>
      </w:tblGrid>
      <w:tr>
        <w:tc>
          <w:tcPr>
            <w:tcW w:type="dxa" w:w="10306"/>
            <w:tcBorders>
              <w:top w:val="none" w:color="FFFFFF" w:sz="0"/>
              <w:left w:val="single" w:color="1B3F6B" w:sz="24"/>
              <w:bottom w:val="none" w:color="FFFFFF" w:sz="0"/>
              <w:right w:val="none" w:color="FFFFFF" w:sz="0"/>
            </w:tcBorders>
            <w:shd w:fill="EFF6FF" w:val="clear"/>
            <w:tcMar>
              <w:top w:type="dxa" w:w="110"/>
              <w:left w:type="dxa" w:w="260"/>
              <w:bottom w:type="dxa" w:w="11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F6B"/>
                <w:sz w:val="20"/>
                <w:szCs w:val="20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F6B"/>
                <w:sz w:val="20"/>
                <w:szCs w:val="20"/>
              </w:rPr>
              <w:t xml:space="preserve">Réponse professionnelle — 3 phrases</w:t>
            </w:r>
          </w:p>
          <w:tbl>
            <w:tblPr>
              <w:tblW w:type="dxa" w:w="986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0"/>
              <w:gridCol w:w="8966"/>
            </w:tblGrid>
            <w:tr>
              <w:tc>
                <w:tcPr>
                  <w:tcW w:type="dxa" w:w="9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D1FAE5" w:val="clear"/>
                  <w:tcMar>
                    <w:top w:type="dxa" w:w="100"/>
                    <w:left w:type="dxa" w:w="80"/>
                    <w:bottom w:type="dxa" w:w="100"/>
                    <w:right w:type="dxa" w:w="8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E5631"/>
                      <w:sz w:val="28"/>
                      <w:szCs w:val="28"/>
                    </w:rPr>
                    <w:t xml:space="preserve">1</w:t>
                  </w:r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E5631"/>
                      <w:sz w:val="15"/>
                      <w:szCs w:val="15"/>
                    </w:rPr>
                    <w:t xml:space="preserve">Rassurer</w:t>
                  </w:r>
                </w:p>
              </w:tc>
              <w:tc>
                <w:tcPr>
                  <w:tcW w:type="dxa" w:w="8966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FFFFF" w:val="clear"/>
                  <w:tcMar>
                    <w:top w:type="dxa" w:w="110"/>
                    <w:left w:type="dxa" w:w="180"/>
                    <w:bottom w:type="dxa" w:w="110"/>
                    <w:right w:type="dxa" w:w="140"/>
                  </w:tcMar>
                  <w:vAlign w:val="center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18"/>
                      <w:szCs w:val="18"/>
                    </w:rPr>
                    <w:t xml:space="preserve">Je comprends votre frustration, et je suis là pour vous aider — vous avez bien fait de nous contacter.</w:t>
                  </w:r>
                </w:p>
              </w:tc>
            </w:tr>
          </w:tbl>
          <w:p>
            <w:pPr>
              <w:spacing w:before="5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/>
            </w:r>
          </w:p>
          <w:tbl>
            <w:tblPr>
              <w:tblW w:type="dxa" w:w="986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0"/>
              <w:gridCol w:w="8966"/>
            </w:tblGrid>
            <w:tr>
              <w:tc>
                <w:tcPr>
                  <w:tcW w:type="dxa" w:w="9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DBEAFE" w:val="clear"/>
                  <w:tcMar>
                    <w:top w:type="dxa" w:w="100"/>
                    <w:left w:type="dxa" w:w="80"/>
                    <w:bottom w:type="dxa" w:w="100"/>
                    <w:right w:type="dxa" w:w="8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B3F6B"/>
                      <w:sz w:val="28"/>
                      <w:szCs w:val="28"/>
                    </w:rPr>
                    <w:t xml:space="preserve">2</w:t>
                  </w:r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B3F6B"/>
                      <w:sz w:val="15"/>
                      <w:szCs w:val="15"/>
                    </w:rPr>
                    <w:t xml:space="preserve">Reformuler</w:t>
                  </w:r>
                </w:p>
              </w:tc>
              <w:tc>
                <w:tcPr>
                  <w:tcW w:type="dxa" w:w="8966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FFFFF" w:val="clear"/>
                  <w:tcMar>
                    <w:top w:type="dxa" w:w="110"/>
                    <w:left w:type="dxa" w:w="180"/>
                    <w:bottom w:type="dxa" w:w="110"/>
                    <w:right w:type="dxa" w:w="140"/>
                  </w:tcMar>
                  <w:vAlign w:val="center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18"/>
                      <w:szCs w:val="18"/>
                    </w:rPr>
                    <w:t xml:space="preserve">Si je comprends bien, vous n’arrivez plus à retrouver un fichier sur lequel vous travailliez — est-ce bien cela ?</w:t>
                  </w:r>
                </w:p>
              </w:tc>
            </w:tr>
          </w:tbl>
          <w:p>
            <w:pPr>
              <w:spacing w:before="5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/>
            </w:r>
          </w:p>
          <w:tbl>
            <w:tblPr>
              <w:tblW w:type="dxa" w:w="986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0"/>
              <w:gridCol w:w="8966"/>
            </w:tblGrid>
            <w:tr>
              <w:tc>
                <w:tcPr>
                  <w:tcW w:type="dxa" w:w="9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DE9FE" w:val="clear"/>
                  <w:tcMar>
                    <w:top w:type="dxa" w:w="100"/>
                    <w:left w:type="dxa" w:w="80"/>
                    <w:bottom w:type="dxa" w:w="100"/>
                    <w:right w:type="dxa" w:w="8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534AB7"/>
                      <w:sz w:val="28"/>
                      <w:szCs w:val="28"/>
                    </w:rPr>
                    <w:t xml:space="preserve">3</w:t>
                  </w:r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534AB7"/>
                      <w:sz w:val="15"/>
                      <w:szCs w:val="15"/>
                    </w:rPr>
                    <w:t xml:space="preserve">Suite</w:t>
                  </w:r>
                </w:p>
              </w:tc>
              <w:tc>
                <w:tcPr>
                  <w:tcW w:type="dxa" w:w="8966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FFFFF" w:val="clear"/>
                  <w:tcMar>
                    <w:top w:type="dxa" w:w="110"/>
                    <w:left w:type="dxa" w:w="180"/>
                    <w:bottom w:type="dxa" w:w="110"/>
                    <w:right w:type="dxa" w:w="140"/>
                  </w:tcMar>
                  <w:vAlign w:val="center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18"/>
                      <w:szCs w:val="18"/>
                    </w:rPr>
                    <w:t xml:space="preserve">Je lance immédiatement une vérification des sauvegardes — je vous tiens informé de l’avancée dans les prochaines minutes.</w:t>
                  </w:r>
                </w:p>
              </w:tc>
            </w:tr>
          </w:tbl>
          <w:p/>
        </w:tc>
      </w:tr>
    </w:tbl>
    <w:p>
      <w:pPr>
        <w:spacing w:before="8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18"/>
          <w:szCs w:val="18"/>
        </w:rPr>
        <w:t xml:space="preserve"/>
      </w:r>
    </w:p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06"/>
      </w:tblGrid>
      <w:tr>
        <w:tc>
          <w:tcPr>
            <w:tcW w:type="dxa" w:w="10306"/>
            <w:tcBorders>
              <w:top w:val="none" w:color="FFFFFF" w:sz="0"/>
              <w:left w:val="single" w:color="C55A11" w:sz="24"/>
              <w:bottom w:val="none" w:color="FFFFFF" w:sz="0"/>
              <w:right w:val="none" w:color="FFFFFF" w:sz="0"/>
            </w:tcBorders>
            <w:shd w:fill="FFFBEB" w:val="clear"/>
            <w:tcMar>
              <w:top w:type="dxa" w:w="110"/>
              <w:left w:type="dxa" w:w="260"/>
              <w:bottom w:type="dxa" w:w="11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20"/>
                <w:szCs w:val="20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20"/>
                <w:szCs w:val="20"/>
              </w:rPr>
              <w:t xml:space="preserve">Analyse — Pourquoi ces 3 phrases ?</w:t>
            </w:r>
          </w:p>
          <w:tbl>
            <w:tblPr>
              <w:tblW w:type="dxa" w:w="986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0"/>
              <w:gridCol w:w="2200"/>
              <w:gridCol w:w="6766"/>
            </w:tblGrid>
            <w:tr>
              <w:tc>
                <w:tcPr>
                  <w:tcW w:type="dxa" w:w="900"/>
                  <w:tcBorders>
                    <w:top w:val="single" w:color="2E75B6" w:sz="12"/>
                    <w:left w:val="none" w:color="FFFFFF" w:sz="0"/>
                    <w:bottom w:val="single" w:color="2E75B6" w:sz="12"/>
                    <w:right w:val="none" w:color="FFFFFF" w:sz="0"/>
                  </w:tcBorders>
                  <w:shd w:fill="C55A11" w:val="clear"/>
                  <w:tcMar>
                    <w:top w:type="dxa" w:w="80"/>
                    <w:left w:type="dxa" w:w="110"/>
                    <w:bottom w:type="dxa" w:w="80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7"/>
                      <w:szCs w:val="17"/>
                    </w:rPr>
                    <w:t xml:space="preserve">Phrase</w:t>
                  </w:r>
                </w:p>
              </w:tc>
              <w:tc>
                <w:tcPr>
                  <w:tcW w:type="dxa" w:w="2200"/>
                  <w:tcBorders>
                    <w:top w:val="single" w:color="2E75B6" w:sz="12"/>
                    <w:left w:val="none" w:color="FFFFFF" w:sz="0"/>
                    <w:bottom w:val="single" w:color="2E75B6" w:sz="12"/>
                    <w:right w:val="none" w:color="FFFFFF" w:sz="0"/>
                  </w:tcBorders>
                  <w:shd w:fill="C55A11" w:val="clear"/>
                  <w:tcMar>
                    <w:top w:type="dxa" w:w="80"/>
                    <w:left w:type="dxa" w:w="110"/>
                    <w:bottom w:type="dxa" w:w="80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7"/>
                      <w:szCs w:val="17"/>
                    </w:rPr>
                    <w:t xml:space="preserve">Rôle</w:t>
                  </w:r>
                </w:p>
              </w:tc>
              <w:tc>
                <w:tcPr>
                  <w:tcW w:type="dxa" w:w="6766"/>
                  <w:tcBorders>
                    <w:top w:val="single" w:color="2E75B6" w:sz="12"/>
                    <w:left w:val="none" w:color="FFFFFF" w:sz="0"/>
                    <w:bottom w:val="single" w:color="2E75B6" w:sz="12"/>
                    <w:right w:val="none" w:color="FFFFFF" w:sz="0"/>
                  </w:tcBorders>
                  <w:shd w:fill="C55A11" w:val="clear"/>
                  <w:tcMar>
                    <w:top w:type="dxa" w:w="80"/>
                    <w:left w:type="dxa" w:w="110"/>
                    <w:bottom w:type="dxa" w:w="80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7"/>
                      <w:szCs w:val="17"/>
                    </w:rPr>
                    <w:t xml:space="preserve">Ce que ça évite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D1FAE5" w:val="clear"/>
                  <w:tcMar>
                    <w:top w:type="dxa" w:w="65"/>
                    <w:left w:type="dxa" w:w="110"/>
                    <w:bottom w:type="dxa" w:w="65"/>
                    <w:right w:type="dxa" w:w="80"/>
                  </w:tcMar>
                  <w:vAlign w:val="top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E5631"/>
                      <w:sz w:val="16"/>
                      <w:szCs w:val="16"/>
                    </w:rPr>
                    <w:t xml:space="preserve">1 — Rassurer</w:t>
                  </w:r>
                </w:p>
              </w:tc>
              <w:tc>
                <w:tcPr>
                  <w:tcW w:type="dxa" w:w="220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0F6FB" w:val="clear"/>
                  <w:tcMar>
                    <w:top w:type="dxa" w:w="65"/>
                    <w:left w:type="dxa" w:w="110"/>
                    <w:bottom w:type="dxa" w:w="65"/>
                    <w:right w:type="dxa" w:w="80"/>
                  </w:tcMar>
                  <w:vAlign w:val="top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16"/>
                      <w:szCs w:val="16"/>
                    </w:rPr>
                    <w:t xml:space="preserve">Reconnaître l’émotion sans la minimiser ni la contester.</w:t>
                  </w:r>
                </w:p>
              </w:tc>
              <w:tc>
                <w:tcPr>
                  <w:tcW w:type="dxa" w:w="6766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0F6FB" w:val="clear"/>
                  <w:tcMar>
                    <w:top w:type="dxa" w:w="65"/>
                    <w:left w:type="dxa" w:w="110"/>
                    <w:bottom w:type="dxa" w:w="65"/>
                    <w:right w:type="dxa" w:w="80"/>
                  </w:tcMar>
                  <w:vAlign w:val="top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555555"/>
                      <w:sz w:val="16"/>
                      <w:szCs w:val="16"/>
                    </w:rPr>
                    <w:t xml:space="preserve">L’utilisateur ne se sent pas ignoré ou jugé. Sa frustration est légitime.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DBEAFE" w:val="clear"/>
                  <w:tcMar>
                    <w:top w:type="dxa" w:w="65"/>
                    <w:left w:type="dxa" w:w="110"/>
                    <w:bottom w:type="dxa" w:w="65"/>
                    <w:right w:type="dxa" w:w="80"/>
                  </w:tcMar>
                  <w:vAlign w:val="top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B3F6B"/>
                      <w:sz w:val="16"/>
                      <w:szCs w:val="16"/>
                    </w:rPr>
                    <w:t xml:space="preserve">2 — Reformuler</w:t>
                  </w:r>
                </w:p>
              </w:tc>
              <w:tc>
                <w:tcPr>
                  <w:tcW w:type="dxa" w:w="220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FFFFF" w:val="clear"/>
                  <w:tcMar>
                    <w:top w:type="dxa" w:w="65"/>
                    <w:left w:type="dxa" w:w="110"/>
                    <w:bottom w:type="dxa" w:w="65"/>
                    <w:right w:type="dxa" w:w="80"/>
                  </w:tcMar>
                  <w:vAlign w:val="top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16"/>
                      <w:szCs w:val="16"/>
                    </w:rPr>
                    <w:t xml:space="preserve">Valider la compréhension du problème avant d’agir.</w:t>
                  </w:r>
                </w:p>
              </w:tc>
              <w:tc>
                <w:tcPr>
                  <w:tcW w:type="dxa" w:w="6766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FFFFF" w:val="clear"/>
                  <w:tcMar>
                    <w:top w:type="dxa" w:w="65"/>
                    <w:left w:type="dxa" w:w="110"/>
                    <w:bottom w:type="dxa" w:w="65"/>
                    <w:right w:type="dxa" w:w="80"/>
                  </w:tcMar>
                  <w:vAlign w:val="top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555555"/>
                      <w:sz w:val="16"/>
                      <w:szCs w:val="16"/>
                    </w:rPr>
                    <w:t xml:space="preserve">Partir dans la mauvaise direction sur base d’un message incomplet ou émotionnel.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EDE9FE" w:val="clear"/>
                  <w:tcMar>
                    <w:top w:type="dxa" w:w="65"/>
                    <w:left w:type="dxa" w:w="110"/>
                    <w:bottom w:type="dxa" w:w="65"/>
                    <w:right w:type="dxa" w:w="80"/>
                  </w:tcMar>
                  <w:vAlign w:val="top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534AB7"/>
                      <w:sz w:val="16"/>
                      <w:szCs w:val="16"/>
                    </w:rPr>
                    <w:t xml:space="preserve">3 — Suite</w:t>
                  </w:r>
                </w:p>
              </w:tc>
              <w:tc>
                <w:tcPr>
                  <w:tcW w:type="dxa" w:w="220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0F6FB" w:val="clear"/>
                  <w:tcMar>
                    <w:top w:type="dxa" w:w="65"/>
                    <w:left w:type="dxa" w:w="110"/>
                    <w:bottom w:type="dxa" w:w="65"/>
                    <w:right w:type="dxa" w:w="80"/>
                  </w:tcMar>
                  <w:vAlign w:val="top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16"/>
                      <w:szCs w:val="16"/>
                    </w:rPr>
                    <w:t xml:space="preserve">Donner une action concrète et un délai pour restaurer la confiance.</w:t>
                  </w:r>
                </w:p>
              </w:tc>
              <w:tc>
                <w:tcPr>
                  <w:tcW w:type="dxa" w:w="6766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0F6FB" w:val="clear"/>
                  <w:tcMar>
                    <w:top w:type="dxa" w:w="65"/>
                    <w:left w:type="dxa" w:w="110"/>
                    <w:bottom w:type="dxa" w:w="65"/>
                    <w:right w:type="dxa" w:w="80"/>
                  </w:tcMar>
                  <w:vAlign w:val="top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555555"/>
                      <w:sz w:val="16"/>
                      <w:szCs w:val="16"/>
                    </w:rPr>
                    <w:t xml:space="preserve">L’utilisateur ne reste pas dans le vide sans savoir ce qui se passe.</w:t>
                  </w:r>
                </w:p>
              </w:tc>
            </w:tr>
          </w:tbl>
          <w:p/>
        </w:tc>
      </w:tr>
    </w:tbl>
    <w:p>
      <w:pPr>
        <w:spacing w:before="8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18"/>
          <w:szCs w:val="18"/>
        </w:rPr>
        <w:t xml:space="preserve"/>
      </w:r>
    </w:p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06"/>
      </w:tblGrid>
      <w:tr>
        <w:tc>
          <w:tcPr>
            <w:tcW w:type="dxa" w:w="10306"/>
            <w:tcBorders>
              <w:top w:val="none" w:color="FFFFFF" w:sz="0"/>
              <w:left w:val="single" w:color="991B1B" w:sz="24"/>
              <w:bottom w:val="none" w:color="FFFFFF" w:sz="0"/>
              <w:right w:val="none" w:color="FFFFFF" w:sz="0"/>
            </w:tcBorders>
            <w:shd w:fill="FEF2F2" w:val="clear"/>
            <w:tcMar>
              <w:top w:type="dxa" w:w="110"/>
              <w:left w:type="dxa" w:w="260"/>
              <w:bottom w:type="dxa" w:w="11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1B1B"/>
                <w:sz w:val="20"/>
                <w:szCs w:val="20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1B1B"/>
                <w:sz w:val="20"/>
                <w:szCs w:val="20"/>
              </w:rPr>
              <w:t xml:space="preserve">Ce qu’il faut éviter</w:t>
            </w:r>
          </w:p>
          <w:tbl>
            <w:tblPr>
              <w:tblW w:type="dxa" w:w="986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933"/>
              <w:gridCol w:w="4933"/>
            </w:tblGrid>
            <w:tr>
              <w:tc>
                <w:tcPr>
                  <w:tcW w:type="dxa" w:w="4933"/>
                  <w:tcBorders>
                    <w:top w:val="single" w:color="2E75B6" w:sz="12"/>
                    <w:left w:val="none" w:color="FFFFFF" w:sz="0"/>
                    <w:bottom w:val="single" w:color="2E75B6" w:sz="12"/>
                    <w:right w:val="none" w:color="FFFFFF" w:sz="0"/>
                  </w:tcBorders>
                  <w:shd w:fill="991B1B" w:val="clear"/>
                  <w:tcMar>
                    <w:top w:type="dxa" w:w="80"/>
                    <w:left w:type="dxa" w:w="110"/>
                    <w:bottom w:type="dxa" w:w="80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7"/>
                      <w:szCs w:val="17"/>
                    </w:rPr>
                    <w:t xml:space="preserve">❌ À ne pas dire</w:t>
                  </w:r>
                </w:p>
              </w:tc>
              <w:tc>
                <w:tcPr>
                  <w:tcW w:type="dxa" w:w="4933"/>
                  <w:tcBorders>
                    <w:top w:val="single" w:color="2E75B6" w:sz="12"/>
                    <w:left w:val="none" w:color="FFFFFF" w:sz="0"/>
                    <w:bottom w:val="single" w:color="2E75B6" w:sz="12"/>
                    <w:right w:val="none" w:color="FFFFFF" w:sz="0"/>
                  </w:tcBorders>
                  <w:shd w:fill="991B1B" w:val="clear"/>
                  <w:tcMar>
                    <w:top w:type="dxa" w:w="80"/>
                    <w:left w:type="dxa" w:w="110"/>
                    <w:bottom w:type="dxa" w:w="80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7"/>
                      <w:szCs w:val="17"/>
                    </w:rPr>
                    <w:t xml:space="preserve">✅ Pourquoi c’est problématique</w:t>
                  </w:r>
                </w:p>
              </w:tc>
            </w:tr>
            <w:tr>
              <w:tc>
                <w:tcPr>
                  <w:tcW w:type="dxa" w:w="4933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FF0F0" w:val="clear"/>
                  <w:tcMar>
                    <w:top w:type="dxa" w:w="65"/>
                    <w:left w:type="dxa" w:w="110"/>
                    <w:bottom w:type="dxa" w:w="65"/>
                    <w:right w:type="dxa" w:w="80"/>
                  </w:tcMar>
                  <w:vAlign w:val="top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991B1B"/>
                      <w:sz w:val="16"/>
                      <w:szCs w:val="16"/>
                    </w:rPr>
                    <w:t xml:space="preserve">« Ce n’est pas de ma faute. »</w:t>
                  </w:r>
                </w:p>
              </w:tc>
              <w:tc>
                <w:tcPr>
                  <w:tcW w:type="dxa" w:w="4933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0F6FB" w:val="clear"/>
                  <w:tcMar>
                    <w:top w:type="dxa" w:w="65"/>
                    <w:left w:type="dxa" w:w="110"/>
                    <w:bottom w:type="dxa" w:w="65"/>
                    <w:right w:type="dxa" w:w="80"/>
                  </w:tcMar>
                  <w:vAlign w:val="top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555555"/>
                      <w:sz w:val="16"/>
                      <w:szCs w:val="16"/>
                    </w:rPr>
                    <w:t xml:space="preserve">Décharge la responsabilité sans apporter de solution. Aggrave la frustration.</w:t>
                  </w:r>
                </w:p>
              </w:tc>
            </w:tr>
            <w:tr>
              <w:tc>
                <w:tcPr>
                  <w:tcW w:type="dxa" w:w="4933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EF2F2" w:val="clear"/>
                  <w:tcMar>
                    <w:top w:type="dxa" w:w="65"/>
                    <w:left w:type="dxa" w:w="110"/>
                    <w:bottom w:type="dxa" w:w="65"/>
                    <w:right w:type="dxa" w:w="80"/>
                  </w:tcMar>
                  <w:vAlign w:val="top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991B1B"/>
                      <w:sz w:val="16"/>
                      <w:szCs w:val="16"/>
                    </w:rPr>
                    <w:t xml:space="preserve">« Calmez-vous, c’est pas grave. »</w:t>
                  </w:r>
                </w:p>
              </w:tc>
              <w:tc>
                <w:tcPr>
                  <w:tcW w:type="dxa" w:w="4933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FFFFF" w:val="clear"/>
                  <w:tcMar>
                    <w:top w:type="dxa" w:w="65"/>
                    <w:left w:type="dxa" w:w="110"/>
                    <w:bottom w:type="dxa" w:w="65"/>
                    <w:right w:type="dxa" w:w="80"/>
                  </w:tcMar>
                  <w:vAlign w:val="top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555555"/>
                      <w:sz w:val="16"/>
                      <w:szCs w:val="16"/>
                    </w:rPr>
                    <w:t xml:space="preserve">Minimise le ressenti. L’utilisateur se sent incompris et pas pris au sérieux.</w:t>
                  </w:r>
                </w:p>
              </w:tc>
            </w:tr>
            <w:tr>
              <w:tc>
                <w:tcPr>
                  <w:tcW w:type="dxa" w:w="4933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FF0F0" w:val="clear"/>
                  <w:tcMar>
                    <w:top w:type="dxa" w:w="65"/>
                    <w:left w:type="dxa" w:w="110"/>
                    <w:bottom w:type="dxa" w:w="65"/>
                    <w:right w:type="dxa" w:w="80"/>
                  </w:tcMar>
                  <w:vAlign w:val="top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991B1B"/>
                      <w:sz w:val="16"/>
                      <w:szCs w:val="16"/>
                    </w:rPr>
                    <w:t xml:space="preserve">« Vous auriez dû sauvegarder. »</w:t>
                  </w:r>
                </w:p>
              </w:tc>
              <w:tc>
                <w:tcPr>
                  <w:tcW w:type="dxa" w:w="4933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0F6FB" w:val="clear"/>
                  <w:tcMar>
                    <w:top w:type="dxa" w:w="65"/>
                    <w:left w:type="dxa" w:w="110"/>
                    <w:bottom w:type="dxa" w:w="65"/>
                    <w:right w:type="dxa" w:w="80"/>
                  </w:tcMar>
                  <w:vAlign w:val="top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555555"/>
                      <w:sz w:val="16"/>
                      <w:szCs w:val="16"/>
                    </w:rPr>
                    <w:t xml:space="preserve">Culpabilise l’utilisateur. Contre-productif et nuisible à la relation.</w:t>
                  </w:r>
                </w:p>
              </w:tc>
            </w:tr>
            <w:tr>
              <w:tc>
                <w:tcPr>
                  <w:tcW w:type="dxa" w:w="4933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EF2F2" w:val="clear"/>
                  <w:tcMar>
                    <w:top w:type="dxa" w:w="65"/>
                    <w:left w:type="dxa" w:w="110"/>
                    <w:bottom w:type="dxa" w:w="65"/>
                    <w:right w:type="dxa" w:w="80"/>
                  </w:tcMar>
                  <w:vAlign w:val="top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991B1B"/>
                      <w:sz w:val="16"/>
                      <w:szCs w:val="16"/>
                    </w:rPr>
                    <w:t xml:space="preserve">« Je ne sais pas ce qui s’est passé. »</w:t>
                  </w:r>
                </w:p>
              </w:tc>
              <w:tc>
                <w:tcPr>
                  <w:tcW w:type="dxa" w:w="4933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FFFFF" w:val="clear"/>
                  <w:tcMar>
                    <w:top w:type="dxa" w:w="65"/>
                    <w:left w:type="dxa" w:w="110"/>
                    <w:bottom w:type="dxa" w:w="65"/>
                    <w:right w:type="dxa" w:w="80"/>
                  </w:tcMar>
                  <w:vAlign w:val="top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555555"/>
                      <w:sz w:val="16"/>
                      <w:szCs w:val="16"/>
                    </w:rPr>
                    <w:t xml:space="preserve">Sans proposition d’action, laisse l’utilisateur sans perspective de résolution.</w:t>
                  </w:r>
                </w:p>
              </w:tc>
            </w:tr>
          </w:tbl>
          <w:p/>
        </w:tc>
      </w:tr>
    </w:tbl>
    <w:sectPr>
      <w:headerReference w:type="default" r:id="rId6"/>
      <w:footerReference w:type="default" r:id="rId7"/>
      <w:pgSz w:w="11906" w:h="16838" w:orient="portrait"/>
      <w:pgMar w:top="720" w:right="800" w:bottom="720" w:left="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CE9F5" w:sz="4" w:space="2"/>
      </w:pBdr>
      <w:spacing w:before="60"/>
    </w:pPr>
    <w:r>
      <w:rPr>
        <w:rFonts w:ascii="Arial" w:cs="Arial" w:eastAsia="Arial" w:hAnsi="Arial"/>
        <w:b w:val="false"/>
        <w:bCs w:val="false"/>
        <w:i/>
        <w:iCs/>
        <w:color w:val="555555"/>
        <w:sz w:val="13"/>
        <w:szCs w:val="13"/>
      </w:rPr>
      <w:t xml:space="preserve">IPAM d’Ecaussinnes — Bachelier IT — Systèmes d’Exploitation — Usage pédagogique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10" w:space="2"/>
      </w:pBdr>
      <w:spacing w:before="0" w:after="60"/>
    </w:pPr>
    <w:r>
      <w:rPr>
        <w:rFonts w:ascii="Arial" w:cs="Arial" w:eastAsia="Arial" w:hAnsi="Arial"/>
        <w:b/>
        <w:bCs/>
        <w:i w:val="false"/>
        <w:iCs w:val="false"/>
        <w:color w:val="1B3F6B"/>
        <w:sz w:val="18"/>
        <w:szCs w:val="18"/>
      </w:rPr>
      <w:t xml:space="preserve">EXERCICE OS — Communication professionnelle &amp; gestion émotionnelle</w:t>
    </w:r>
    <w:r>
      <w:rPr>
        <w:rFonts w:ascii="Arial" w:cs="Arial" w:eastAsia="Arial" w:hAnsi="Arial"/>
        <w:b w:val="false"/>
        <w:bCs w:val="false"/>
        <w:i/>
        <w:iCs/>
        <w:color w:val="555555"/>
        <w:sz w:val="14"/>
        <w:szCs w:val="14"/>
      </w:rPr>
      <w:t xml:space="preserve">    |    IPAM d’Ecaussinnes — Bachelier IT — Page </w:t>
    </w:r>
    <w:r>
      <w:rPr>
        <w:rFonts w:ascii="Arial" w:cs="Arial" w:eastAsia="Arial" w:hAnsi="Arial"/>
        <w:color w:val="555555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i w:val="false"/>
        <w:iCs w:val="false"/>
        <w:color w:val="555555"/>
        <w:sz w:val="14"/>
        <w:szCs w:val="14"/>
      </w:rPr>
      <w:t xml:space="preserve"> / </w:t>
    </w:r>
    <w:r>
      <w:rPr>
        <w:rFonts w:ascii="Arial" w:cs="Arial" w:eastAsia="Arial" w:hAnsi="Arial"/>
        <w:color w:val="555555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2026-04-01T17:44:54.214Z</dcterms:created>
  <dcterms:modified xsi:type="dcterms:W3CDTF">2026-04-01T17:44:54.215Z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