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D3D"/>
          <w:sz w:val="72"/>
          <w:szCs w:val="72"/>
        </w:rPr>
        <w:t xml:space="preserve">RiskGuard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8EC2"/>
          <w:sz w:val="36"/>
          <w:szCs w:val="36"/>
        </w:rPr>
        <w:t xml:space="preserve">Technical Architecture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96A6"/>
          <w:sz w:val="22"/>
          <w:szCs w:val="22"/>
        </w:rPr>
        <w:t xml:space="preserve">Document #5 of 6  —  Version 2.0  —  February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8EC2" w:sz="6"/>
              <w:left w:val="single" w:color="4A8EC2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EC2"/>
                <w:sz w:val="20"/>
                <w:szCs w:val="20"/>
              </w:rPr>
              <w:t xml:space="preserve">Architecture Note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demo (v11 JSX) is a single-file React component. The production architecture translates this into a proper multi-tenant SaaS. All design, data structures, and business logic from the demo carry forward exactly — only the infrastructure layer changes.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1.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Demo is already React JSX. Direct translation path. TypeScript for production type safety.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Tailwind CSS + custom design tokens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Midnight Authority design system implemented as Tailwind config. Exact hex values as CSS variables.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Full-stack React framework. API routes for server logic. SSR for SEO and initial load.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Row-level security for multi-tenancy. Real-time subscriptions for NuTeLa live updates. Israeli data residency compliant.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Magic link (passwordless) for invited users. Email/password for primary accounts. 2FA support.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Company logos, evidence documents, uploaded policies. Structure: /tenants/{id}/{type}/{filename}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AWS il-central-1 (Israel)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 residency in Israel per regulatory requirements. Vercel for Next.js deployment on top of AWS.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PDF/Word Export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React-PDF + docx.js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Same libraries as demo document generation. Board reports, ISA reports, evidence exports.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AI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Anthropic Claude API (Phase 2+)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MVP uses rule-based questionnaire logic. Phase 2 adds Claude for dynamic question generation and gap analysis.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Resend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Magic link invitations, task notifications, NuTeLa push notifications via email.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Recharts</w:t>
            </w:r>
          </w:p>
        </w:tc>
        <w:tc>
          <w:tcPr>
            <w:tcW w:type="dxa" w:w="4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Same library used in demo v11. Area charts, pie charts, radar charts, line charts.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2. Data Architecture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2.1 Multi-Tenancy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Row-level security (RLS) in PostgreSQL isolates all tenant data. Every table has a tenant_id column. RLS policies ensure queries only return data for the authenticated tenant.</w:t>
      </w:r>
    </w:p>
    <w:p>
      <w:pPr>
        <w:spacing w:before="80" w:after="0"/>
      </w:pP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tenant_id UUID NOT NULL DEFAULT auth.uid()::UUID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-- RLS Policy: CREATE POLICY tenant_isolation ON table USING (tenant_id = auth.uid())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2.2 Core Traceability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6"/>
              <w:left w:val="single" w:color="C0392B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Foundational Architecture Decision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Every entity in the system carries a regulatory traceability tuple. This is the technical implementation of the Regulation→Feature→Evidence moat. It is not optional and cannot be omitted from any table that holds compliance-relevant data.</w:t>
            </w:r>
          </w:p>
        </w:tc>
      </w:tr>
    </w:tbl>
    <w:p>
      <w:pPr>
        <w:spacing w:before="160" w:after="0"/>
      </w:pP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-- Traceability columns (added to ALL compliance entities)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reg_id       VARCHAR(20)   -- e.g. '2024-10-2' or '2022-10-9'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section_ref  VARCHAR(30)   -- e.g. '2(א)' or '2(ב)(2)'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req_id       VARCHAR(20)   -- e.g. 'GOV-01' or 'OPS-03'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2.3 Key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 + Purpose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tenants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name, logo_url, license_type, onboarding_complete, subscription_tier, created_at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tenant_id, email, role (admin/risk_manager/viewer/auditor), invited_by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tenant_id, name, category, module, inherent_score, residual_score, status, reg_id, section_ref, req_id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controls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risk_id, tenant_id, name, effectiveness, evidence_url, reg_id, section_ref, req_id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vendors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tenant_id, name, service, criticality, risk_rating, exit_strategy_complete, reg_id, section_ref, req_id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compliance_status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tenant_id, req_id, status (not_started/in_progress/compliant), evidence_url, last_updated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nutela_tasks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tenant_id, questionnaire_type, priority, status (pending/in_progress/done), triggered_by, due_date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documents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tenant_id, template_id, content_url, generated_at, approved_by, approval_date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audit_log</w:t>
            </w:r>
          </w:p>
        </w:tc>
        <w:tc>
          <w:tcPr>
            <w:tcW w:type="dxa" w:w="6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id, tenant_id, user_id, action, entity_type, entity_id, old_value, new_value, timestamp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3. NuTeLa Architecture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operates as an always-on compliance monitor. In the MVP, it uses rule-based logic. In Phase 2, it integrates Claude API for dynamic intelligence.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 MVP (Rule-Based)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Scheduled job runs daily: checks compliance_status table for all tenants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For each overdue or incomplete requirement, creates a nutela_tasks record with appropriate questionnaire_type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Tasks are surfaced on dashboard push queue, ordered by priority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Questionnaire responses update relevant tables and recalculate compliance_status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Priority score = (days_overdue × 2) + (risk_score × 1.5) + (regulatory_severity × 3)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3.2 Phase 2 (Claude API Integration)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Dynamic questionnaire question generation based on company's specific risk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Gap analysis: Claude identifies regulatory gaps not yet captured in rule-based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Inline module guidance: Claude generates context-aware advice in the inline NuTeLa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Report narrative generation: Claude drafts the narrative sections of board reports (human reviews and approves)</w:t>
      </w:r>
    </w:p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4. Security &amp;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AWS il-central-1. All data stored in Israel. No cross-border transfer.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PostgreSQL Row-Level Security. Each tenant sees only their data.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Auth with magic link + 2FA option. Session tokens, not passwords.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 audit_log on all writes. Immutable. Timestamps + user + old/new values.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Document Security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uploads to Supabase Storage with signed URLs (time-limited). No public URLs.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RBAC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 roles: Admin, Risk Manager, Viewer, Auditor. Enforced at API layer.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Backup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automated daily backups. Point-in-time recovery. 30-day retention.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Privacy Law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Israeli Privacy Protection Law (PPL) compliant. Data processing agreement in ToS.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5. Demo → Production Migration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v11 JSX demo is a single React file. Production migration follows this pattern: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(JSX)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Hardcoded const arrays (RISK_BANK, vendors, etc.)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queries with RLS + real-time subscriptions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State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useState, local component state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React Query / SWR for server state + optimistic updates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Inline JSX components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Component library extracted to /components — same design, same code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Queue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Static sample tasks array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nutela_tasks table queries, real-time subscription for new tasks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useState currentPage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Next.js App Router, URL-based navigation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None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Supabase Auth, session management, role-based page access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Company Data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COMPANY const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tenants table + users table, onboarding wizard populates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Colors/Design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Inline const C = {...}</w:t>
            </w:r>
          </w:p>
        </w:tc>
        <w:tc>
          <w:tcPr>
            <w:tcW w:type="dxa" w:w="326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Tailwind config + CSS variables — same hex values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6A6"/>
        <w:sz w:val="18"/>
        <w:szCs w:val="18"/>
      </w:rPr>
      <w:t xml:space="preserve">Page </w:t>
    </w:r>
    <w:r>
      <w:rPr>
        <w:rFonts w:ascii="Arial" w:cs="Arial" w:eastAsia="Arial" w:hAnsi="Arial"/>
        <w:color w:val="889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6A6"/>
        <w:sz w:val="18"/>
        <w:szCs w:val="18"/>
      </w:rPr>
      <w:t xml:space="preserve">  |  RiskGuard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EC2" w:sz="4" w:space="4"/>
      </w:pBdr>
      <w:tabs>
        <w:tab w:val="right" w:pos="9026"/>
      </w:tabs>
    </w:pPr>
    <w:r>
      <w:rPr>
        <w:rFonts w:ascii="Arial" w:cs="Arial" w:eastAsia="Arial" w:hAnsi="Arial"/>
        <w:color w:val="8896A6"/>
        <w:sz w:val="18"/>
        <w:szCs w:val="18"/>
      </w:rPr>
      <w:t xml:space="preserve">RiskGuard — Technical Architecture v2.0</w:t>
    </w:r>
    <w:r>
      <w:rPr>
        <w:rFonts w:ascii="Arial" w:cs="Arial" w:eastAsia="Arial" w:hAnsi="Arial"/>
        <w:color w:val="8896A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8EC2" w:sz="4" w:space="4"/>
      </w:pBdr>
      <w:spacing w:before="340" w:after="120"/>
      <w:outlineLvl w:val="0"/>
    </w:pPr>
    <w:rPr>
      <w:rFonts w:ascii="Arial" w:cs="Arial" w:eastAsia="Arial" w:hAnsi="Arial"/>
      <w:b/>
      <w:bCs/>
      <w:color w:val="1E2D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4A8EC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2026-02-19T10:46:20.228Z</dcterms:created>
  <dcterms:modified xsi:type="dcterms:W3CDTF">2026-02-19T10:46:20.229Z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