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jc w:val="center"/>
      </w:pPr>
      <w:r>
        <w:rPr>
          <w:rFonts w:ascii="Arial" w:cs="Arial" w:eastAsia="Arial" w:hAnsi="Arial"/>
          <w:b/>
          <w:bCs/>
          <w:color w:val="1E2D3D"/>
          <w:sz w:val="72"/>
          <w:szCs w:val="72"/>
        </w:rPr>
        <w:t xml:space="preserve">RiskGuard</w:t>
      </w:r>
    </w:p>
    <w:p>
      <w:pPr>
        <w:spacing w:before="0" w:after="40"/>
        <w:jc w:val="center"/>
      </w:pPr>
      <w:r>
        <w:rPr>
          <w:rFonts w:ascii="Arial" w:cs="Arial" w:eastAsia="Arial" w:hAnsi="Arial"/>
          <w:color w:val="4A8EC2"/>
          <w:sz w:val="36"/>
          <w:szCs w:val="36"/>
        </w:rPr>
        <w:t xml:space="preserve">Interactive Demo &amp; Onboarding Specification</w:t>
      </w:r>
    </w:p>
    <w:p>
      <w:pPr>
        <w:spacing w:before="0" w:after="200"/>
        <w:jc w:val="center"/>
      </w:pPr>
      <w:r>
        <w:rPr>
          <w:rFonts w:ascii="Arial" w:cs="Arial" w:eastAsia="Arial" w:hAnsi="Arial"/>
          <w:i/>
          <w:iCs/>
          <w:color w:val="8896A6"/>
          <w:sz w:val="22"/>
          <w:szCs w:val="22"/>
        </w:rPr>
        <w:t xml:space="preserve">Document #2 of 6  —  Version 2.0  —  February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A8EC2" w:sz="6"/>
              <w:left w:val="single" w:color="4A8EC2" w:sz="18"/>
              <w:bottom w:val="none" w:color="FFFFFF" w:sz="0"/>
              <w:right w:val="none" w:color="FFFFFF" w:sz="0"/>
            </w:tcBorders>
            <w:shd w:fill="F0F7FF" w:val="clear"/>
            <w:tcMar>
              <w:top w:type="dxa" w:w="120"/>
              <w:left w:type="dxa" w:w="200"/>
              <w:bottom w:type="dxa" w:w="120"/>
              <w:right w:type="dxa" w:w="120"/>
            </w:tcMar>
          </w:tcPr>
          <w:p>
            <w:pPr>
              <w:spacing w:before="0" w:after="60"/>
            </w:pPr>
            <w:r>
              <w:rPr>
                <w:rFonts w:ascii="Arial" w:cs="Arial" w:eastAsia="Arial" w:hAnsi="Arial"/>
                <w:b/>
                <w:bCs/>
                <w:color w:val="4A8EC2"/>
                <w:sz w:val="20"/>
                <w:szCs w:val="20"/>
              </w:rPr>
              <w:t xml:space="preserve">What This Document Covers</w:t>
            </w:r>
          </w:p>
          <w:p>
            <w:r>
              <w:rPr>
                <w:rFonts w:ascii="Arial" w:cs="Arial" w:eastAsia="Arial" w:hAnsi="Arial"/>
                <w:color w:val="1A2332"/>
                <w:sz w:val="20"/>
                <w:szCs w:val="20"/>
              </w:rPr>
              <w:t xml:space="preserve">This document specifies the complete demo strategy, all three audience-specific demo flows, the two-track demo environment, the 7-step onboarding wizard, and the NuTeLa push-first user experience as demonstrated in the interactive demo sessions.</w:t>
            </w:r>
          </w:p>
        </w:tc>
      </w:tr>
    </w:tbl>
    <w:p>
      <w:r>
        <w:br w:type="page"/>
      </w:r>
    </w:p>
    <w:p>
      <w:pPr>
        <w:pStyle w:val="Heading1"/>
        <w:spacing w:before="340" w:after="120"/>
      </w:pPr>
      <w:r>
        <w:rPr>
          <w:rFonts w:ascii="Arial" w:cs="Arial" w:eastAsia="Arial" w:hAnsi="Arial"/>
          <w:b/>
          <w:bCs/>
          <w:color w:val="1E2D3D"/>
          <w:sz w:val="32"/>
          <w:szCs w:val="32"/>
        </w:rPr>
        <w:t xml:space="preserve">1. Demo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D3D" w:sz="6"/>
              <w:left w:val="single" w:color="1E2D3D" w:sz="18"/>
              <w:bottom w:val="none" w:color="FFFFFF" w:sz="0"/>
              <w:right w:val="none" w:color="FFFFFF" w:sz="0"/>
            </w:tcBorders>
            <w:shd w:fill="F0F7FF" w:val="clear"/>
            <w:tcMar>
              <w:top w:type="dxa" w:w="120"/>
              <w:left w:type="dxa" w:w="200"/>
              <w:bottom w:type="dxa" w:w="120"/>
              <w:right w:type="dxa" w:w="120"/>
            </w:tcMar>
          </w:tcPr>
          <w:p>
            <w:pPr>
              <w:spacing w:before="0" w:after="60"/>
            </w:pPr>
            <w:r>
              <w:rPr>
                <w:rFonts w:ascii="Arial" w:cs="Arial" w:eastAsia="Arial" w:hAnsi="Arial"/>
                <w:b/>
                <w:bCs/>
                <w:color w:val="1E2D3D"/>
                <w:sz w:val="20"/>
                <w:szCs w:val="20"/>
              </w:rPr>
              <w:t xml:space="preserve">Core Principle</w:t>
            </w:r>
          </w:p>
          <w:p>
            <w:r>
              <w:rPr>
                <w:rFonts w:ascii="Arial" w:cs="Arial" w:eastAsia="Arial" w:hAnsi="Arial"/>
                <w:color w:val="1A2332"/>
                <w:sz w:val="20"/>
                <w:szCs w:val="20"/>
              </w:rPr>
              <w:t xml:space="preserve">The demo IS the product. The interactive demo (v11 JSX, 4,810 lines, 18 screens) built in February 2026 defines the exact look, feel, and behavior of the corporate product. Developers implement the JSX pixel-perfectly. No redesign.</w:t>
            </w:r>
          </w:p>
        </w:tc>
      </w:tr>
    </w:tbl>
    <w:p>
      <w:pPr>
        <w:spacing w:before="160" w:after="0"/>
      </w:pPr>
    </w:p>
    <w:p>
      <w:pPr>
        <w:pStyle w:val="Heading2"/>
        <w:spacing w:before="260" w:after="100"/>
      </w:pPr>
      <w:r>
        <w:rPr>
          <w:rFonts w:ascii="Arial" w:cs="Arial" w:eastAsia="Arial" w:hAnsi="Arial"/>
          <w:b/>
          <w:bCs/>
          <w:color w:val="4A8EC2"/>
          <w:sz w:val="26"/>
          <w:szCs w:val="26"/>
        </w:rPr>
        <w:t xml:space="preserve">1.1 Two-Track Demo Environment</w:t>
      </w:r>
    </w:p>
    <w:p>
      <w:pPr>
        <w:spacing w:before="80" w:after="80"/>
      </w:pPr>
      <w:r>
        <w:rPr>
          <w:rFonts w:ascii="Arial" w:cs="Arial" w:eastAsia="Arial" w:hAnsi="Arial"/>
          <w:color w:val="1A2332"/>
          <w:sz w:val="22"/>
          <w:szCs w:val="22"/>
        </w:rPr>
        <w:t xml:space="preserve">The demo environment operates on two permanently maintained tracks: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Track</w:t>
            </w:r>
          </w:p>
        </w:tc>
        <w:tc>
          <w:tcPr>
            <w:tcW w:type="dxa" w:w="35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3526"/>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Company Data</w:t>
            </w:r>
          </w:p>
        </w:tc>
      </w:tr>
      <w:tr>
        <w:tc>
          <w:tcPr>
            <w:tcW w:type="dxa" w:w="2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Internal Dev/Test</w:t>
            </w:r>
          </w:p>
        </w:tc>
        <w:tc>
          <w:tcPr>
            <w:tcW w:type="dxa" w:w="35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All development, QA, and internal testing uses this track permanently</w:t>
            </w:r>
          </w:p>
        </w:tc>
        <w:tc>
          <w:tcPr>
            <w:tcW w:type="dxa" w:w="35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אשראי פייננס בע״מ — pre-seeded, fixed, never changed</w:t>
            </w:r>
          </w:p>
        </w:tc>
      </w:tr>
      <w:tr>
        <w:tc>
          <w:tcPr>
            <w:tcW w:type="dxa" w:w="20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Sales Demo Mode</w:t>
            </w:r>
          </w:p>
        </w:tc>
        <w:tc>
          <w:tcPr>
            <w:tcW w:type="dxa" w:w="35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Configurable layer for customer-facing demos. Prospect sees their own context.</w:t>
            </w:r>
          </w:p>
        </w:tc>
        <w:tc>
          <w:tcPr>
            <w:tcW w:type="dxa" w:w="35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Company name, logo, license type configurable per prospect</w:t>
            </w:r>
          </w:p>
        </w:tc>
      </w:tr>
    </w:tbl>
    <w:p>
      <w:pPr>
        <w:spacing w:before="160" w:after="0"/>
      </w:pPr>
    </w:p>
    <w:p>
      <w:pPr>
        <w:spacing w:before="80" w:after="80"/>
      </w:pPr>
      <w:r>
        <w:rPr>
          <w:rFonts w:ascii="Arial" w:cs="Arial" w:eastAsia="Arial" w:hAnsi="Arial"/>
          <w:color w:val="1A2332"/>
          <w:sz w:val="22"/>
          <w:szCs w:val="22"/>
        </w:rPr>
        <w:t xml:space="preserve">Demo Mode activation: a toggle in the admin panel switches the platform into Demo Mode. The underlying data structure remains the same — only the display identifiers change. No new data is created per prospect.</w:t>
      </w:r>
    </w:p>
    <w:p>
      <w:pPr>
        <w:spacing w:before="160" w:after="0"/>
      </w:pPr>
    </w:p>
    <w:p>
      <w:pPr>
        <w:pStyle w:val="Heading2"/>
        <w:spacing w:before="260" w:after="100"/>
      </w:pPr>
      <w:r>
        <w:rPr>
          <w:rFonts w:ascii="Arial" w:cs="Arial" w:eastAsia="Arial" w:hAnsi="Arial"/>
          <w:b/>
          <w:bCs/>
          <w:color w:val="4A8EC2"/>
          <w:sz w:val="26"/>
          <w:szCs w:val="26"/>
        </w:rPr>
        <w:t xml:space="preserve">1.2 Demo Principles</w:t>
      </w:r>
    </w:p>
    <w:p>
      <w:pPr>
        <w:pStyle w:val="ListParagraph"/>
        <w:numPr>
          <w:ilvl w:val="0"/>
          <w:numId w:val="2"/>
        </w:numPr>
        <w:spacing w:before="60" w:after="60"/>
      </w:pPr>
      <w:r>
        <w:rPr>
          <w:rFonts w:ascii="Arial" w:cs="Arial" w:eastAsia="Arial" w:hAnsi="Arial"/>
          <w:color w:val="1A2332"/>
          <w:sz w:val="22"/>
          <w:szCs w:val="22"/>
        </w:rPr>
        <w:t xml:space="preserve">Real data, not lorem ipsum: Demo uses realistic Hebrew data. All regulatory text is actual text from ISA circulars.</w:t>
      </w:r>
    </w:p>
    <w:p>
      <w:pPr>
        <w:pStyle w:val="ListParagraph"/>
        <w:numPr>
          <w:ilvl w:val="0"/>
          <w:numId w:val="2"/>
        </w:numPr>
        <w:spacing w:before="60" w:after="60"/>
      </w:pPr>
      <w:r>
        <w:rPr>
          <w:rFonts w:ascii="Arial" w:cs="Arial" w:eastAsia="Arial" w:hAnsi="Arial"/>
          <w:color w:val="1A2332"/>
          <w:sz w:val="22"/>
          <w:szCs w:val="22"/>
        </w:rPr>
        <w:t xml:space="preserve">Hebrew-first impression: Every screen loads in Hebrew RTL. The demo feels native, not translated.</w:t>
      </w:r>
    </w:p>
    <w:p>
      <w:pPr>
        <w:pStyle w:val="ListParagraph"/>
        <w:numPr>
          <w:ilvl w:val="0"/>
          <w:numId w:val="2"/>
        </w:numPr>
        <w:spacing w:before="60" w:after="60"/>
      </w:pPr>
      <w:r>
        <w:rPr>
          <w:rFonts w:ascii="Arial" w:cs="Arial" w:eastAsia="Arial" w:hAnsi="Arial"/>
          <w:color w:val="1A2332"/>
          <w:sz w:val="22"/>
          <w:szCs w:val="22"/>
        </w:rPr>
        <w:t xml:space="preserve">Working interactions: Key flows are functional, not screenshots. Create risk, generate report, browse regulation — all interactive.</w:t>
      </w:r>
    </w:p>
    <w:p>
      <w:pPr>
        <w:pStyle w:val="ListParagraph"/>
        <w:numPr>
          <w:ilvl w:val="0"/>
          <w:numId w:val="2"/>
        </w:numPr>
        <w:spacing w:before="60" w:after="60"/>
      </w:pPr>
      <w:r>
        <w:rPr>
          <w:rFonts w:ascii="Arial" w:cs="Arial" w:eastAsia="Arial" w:hAnsi="Arial"/>
          <w:color w:val="1A2332"/>
          <w:sz w:val="22"/>
          <w:szCs w:val="22"/>
        </w:rPr>
        <w:t xml:space="preserve">Push-first demonstration: NuTeLa's agent queue is shown prominently from the first screen. The demo starts with NuTeLa pushing a task.</w:t>
      </w:r>
    </w:p>
    <w:p>
      <w:pPr>
        <w:pStyle w:val="ListParagraph"/>
        <w:numPr>
          <w:ilvl w:val="0"/>
          <w:numId w:val="2"/>
        </w:numPr>
        <w:spacing w:before="60" w:after="60"/>
      </w:pPr>
      <w:r>
        <w:rPr>
          <w:rFonts w:ascii="Arial" w:cs="Arial" w:eastAsia="Arial" w:hAnsi="Arial"/>
          <w:color w:val="1A2332"/>
          <w:sz w:val="22"/>
          <w:szCs w:val="22"/>
        </w:rPr>
        <w:t xml:space="preserve">Progressive disclosure: Start with dashboard, drill down. Don't overwhelm with all features at once.</w:t>
      </w:r>
    </w:p>
    <w:p>
      <w:pPr>
        <w:pStyle w:val="ListParagraph"/>
        <w:numPr>
          <w:ilvl w:val="0"/>
          <w:numId w:val="2"/>
        </w:numPr>
        <w:spacing w:before="60" w:after="60"/>
      </w:pPr>
      <w:r>
        <w:rPr>
          <w:rFonts w:ascii="Arial" w:cs="Arial" w:eastAsia="Arial" w:hAnsi="Arial"/>
          <w:color w:val="1A2332"/>
          <w:sz w:val="22"/>
          <w:szCs w:val="22"/>
        </w:rPr>
        <w:t xml:space="preserve">Iterative built: Demo was built through back-and-forth feedback sessions. Each screen reviewed and adjusted before the next was built.</w:t>
      </w:r>
    </w:p>
    <w:p>
      <w:pPr>
        <w:spacing w:before="160" w:after="0"/>
      </w:pPr>
    </w:p>
    <w:p>
      <w:pPr>
        <w:pStyle w:val="Heading1"/>
        <w:spacing w:before="340" w:after="120"/>
      </w:pPr>
      <w:r>
        <w:rPr>
          <w:rFonts w:ascii="Arial" w:cs="Arial" w:eastAsia="Arial" w:hAnsi="Arial"/>
          <w:b/>
          <w:bCs/>
          <w:color w:val="1E2D3D"/>
          <w:sz w:val="32"/>
          <w:szCs w:val="32"/>
        </w:rPr>
        <w:t xml:space="preserve">2. The Three Demo Flows</w:t>
      </w:r>
    </w:p>
    <w:p>
      <w:pPr>
        <w:spacing w:before="80" w:after="80"/>
      </w:pPr>
      <w:r>
        <w:rPr>
          <w:rFonts w:ascii="Arial" w:cs="Arial" w:eastAsia="Arial" w:hAnsi="Arial"/>
          <w:color w:val="1A2332"/>
          <w:sz w:val="22"/>
          <w:szCs w:val="22"/>
        </w:rPr>
        <w:t xml:space="preserve">The Regulation→Feature→Evidence traceability is demonstrated through three distinct flows, each tailored to a different audience. The presenter chooses the flow based on who is in the room.</w:t>
      </w:r>
    </w:p>
    <w:p>
      <w:pPr>
        <w:spacing w:before="160" w:after="0"/>
      </w:pPr>
    </w:p>
    <w:p>
      <w:pPr>
        <w:pStyle w:val="Heading2"/>
        <w:spacing w:before="260" w:after="100"/>
      </w:pPr>
      <w:r>
        <w:rPr>
          <w:rFonts w:ascii="Arial" w:cs="Arial" w:eastAsia="Arial" w:hAnsi="Arial"/>
          <w:b/>
          <w:bCs/>
          <w:color w:val="4A8EC2"/>
          <w:sz w:val="26"/>
          <w:szCs w:val="26"/>
        </w:rPr>
        <w:t xml:space="preserve">2.1 Flow A: Auditor / ISA Inspector — 3-Click Compliance Proof</w:t>
      </w:r>
    </w:p>
    <w:p>
      <w:pPr>
        <w:spacing w:before="80" w:after="80"/>
      </w:pPr>
      <w:r>
        <w:rPr>
          <w:rFonts w:ascii="Arial" w:cs="Arial" w:eastAsia="Arial" w:hAnsi="Arial"/>
          <w:color w:val="1A2332"/>
          <w:sz w:val="22"/>
          <w:szCs w:val="22"/>
        </w:rPr>
        <w:t xml:space="preserve">Audience: External auditor, ISA inspector, compliance reviewer</w:t>
      </w:r>
    </w:p>
    <w:p>
      <w:pPr>
        <w:spacing w:before="80" w:after="80"/>
      </w:pPr>
      <w:r>
        <w:rPr>
          <w:rFonts w:ascii="Arial" w:cs="Arial" w:eastAsia="Arial" w:hAnsi="Arial"/>
          <w:color w:val="1A2332"/>
          <w:sz w:val="22"/>
          <w:szCs w:val="22"/>
        </w:rPr>
        <w:t xml:space="preserve">Core message: We can prove 100% regulatory coverage in 3 clicks, for any regulation section.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2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6226"/>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What the Auditor Sees</w:t>
            </w:r>
          </w:p>
        </w:tc>
      </w:tr>
      <w:tr>
        <w:tc>
          <w:tcPr>
            <w:tcW w:type="dxa" w:w="6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1</w:t>
            </w:r>
          </w:p>
        </w:tc>
        <w:tc>
          <w:tcPr>
            <w:tcW w:type="dxa" w:w="2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Click regulation section</w:t>
            </w:r>
          </w:p>
        </w:tc>
        <w:tc>
          <w:tcPr>
            <w:tcW w:type="dxa" w:w="62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Regulation Navigator opens Circular 2024-10-2, Section 2(א). Full regulatory text displayed with ISA reference.</w:t>
            </w:r>
          </w:p>
        </w:tc>
      </w:tr>
      <w:tr>
        <w:tc>
          <w:tcPr>
            <w:tcW w:type="dxa" w:w="6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2</w:t>
            </w:r>
          </w:p>
        </w:tc>
        <w:tc>
          <w:tcPr>
            <w:tcW w:type="dxa" w:w="22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See linked features</w:t>
            </w:r>
          </w:p>
        </w:tc>
        <w:tc>
          <w:tcPr>
            <w:tcW w:type="dxa" w:w="62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System shows which platform features cover this section: Risk Governance module, Risk Officer appointment form, Quarterly reporting workflow.</w:t>
            </w:r>
          </w:p>
        </w:tc>
      </w:tr>
      <w:tr>
        <w:tc>
          <w:tcPr>
            <w:tcW w:type="dxa" w:w="6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3</w:t>
            </w:r>
          </w:p>
        </w:tc>
        <w:tc>
          <w:tcPr>
            <w:tcW w:type="dxa" w:w="2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See evidence</w:t>
            </w:r>
          </w:p>
        </w:tc>
        <w:tc>
          <w:tcPr>
            <w:tcW w:type="dxa" w:w="62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Click any feature → see the actual evidence documents: approved policy (timestamped), Risk Officer appointment letter (uploaded), last quarterly report (generated by system).</w:t>
            </w:r>
          </w:p>
        </w:tc>
      </w:tr>
    </w:tbl>
    <w:p>
      <w:pPr>
        <w:spacing w:before="1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B57" w:sz="6"/>
              <w:left w:val="single" w:color="2E8B57" w:sz="18"/>
              <w:bottom w:val="none" w:color="FFFFFF" w:sz="0"/>
              <w:right w:val="none" w:color="FFFFFF" w:sz="0"/>
            </w:tcBorders>
            <w:shd w:fill="F0F7FF" w:val="clear"/>
            <w:tcMar>
              <w:top w:type="dxa" w:w="120"/>
              <w:left w:type="dxa" w:w="200"/>
              <w:bottom w:type="dxa" w:w="120"/>
              <w:right w:type="dxa" w:w="120"/>
            </w:tcMar>
          </w:tcPr>
          <w:p>
            <w:pPr>
              <w:spacing w:before="0" w:after="60"/>
            </w:pPr>
            <w:r>
              <w:rPr>
                <w:rFonts w:ascii="Arial" w:cs="Arial" w:eastAsia="Arial" w:hAnsi="Arial"/>
                <w:b/>
                <w:bCs/>
                <w:color w:val="2E8B57"/>
                <w:sz w:val="20"/>
                <w:szCs w:val="20"/>
              </w:rPr>
              <w:t xml:space="preserve">The Wow Moment</w:t>
            </w:r>
          </w:p>
          <w:p>
            <w:r>
              <w:rPr>
                <w:rFonts w:ascii="Arial" w:cs="Arial" w:eastAsia="Arial" w:hAnsi="Arial"/>
                <w:color w:val="1A2332"/>
                <w:sz w:val="20"/>
                <w:szCs w:val="20"/>
              </w:rPr>
              <w:t xml:space="preserve">The auditor can click ANY section of either circular and immediately see which features cover it and what evidence exists. This is not a report — it is live, always-current proof. The entire compliance audit trail is navigable in the platform.</w:t>
            </w:r>
          </w:p>
        </w:tc>
      </w:tr>
    </w:tbl>
    <w:p>
      <w:pPr>
        <w:spacing w:before="160" w:after="0"/>
      </w:pPr>
    </w:p>
    <w:p>
      <w:pPr>
        <w:pStyle w:val="Heading2"/>
        <w:spacing w:before="260" w:after="100"/>
      </w:pPr>
      <w:r>
        <w:rPr>
          <w:rFonts w:ascii="Arial" w:cs="Arial" w:eastAsia="Arial" w:hAnsi="Arial"/>
          <w:b/>
          <w:bCs/>
          <w:color w:val="4A8EC2"/>
          <w:sz w:val="26"/>
          <w:szCs w:val="26"/>
        </w:rPr>
        <w:t xml:space="preserve">2.2 Flow B: Risk Manager — Risk-Backward Trace</w:t>
      </w:r>
    </w:p>
    <w:p>
      <w:pPr>
        <w:spacing w:before="80" w:after="80"/>
      </w:pPr>
      <w:r>
        <w:rPr>
          <w:rFonts w:ascii="Arial" w:cs="Arial" w:eastAsia="Arial" w:hAnsi="Arial"/>
          <w:color w:val="1A2332"/>
          <w:sz w:val="22"/>
          <w:szCs w:val="22"/>
        </w:rPr>
        <w:t xml:space="preserve">Audience: Risk Manager, Compliance Officer, Operations Manager</w:t>
      </w:r>
    </w:p>
    <w:p>
      <w:pPr>
        <w:spacing w:before="80" w:after="80"/>
      </w:pPr>
      <w:r>
        <w:rPr>
          <w:rFonts w:ascii="Arial" w:cs="Arial" w:eastAsia="Arial" w:hAnsi="Arial"/>
          <w:color w:val="1A2332"/>
          <w:sz w:val="22"/>
          <w:szCs w:val="22"/>
        </w:rPr>
        <w:t xml:space="preserve">Core message: Every risk you manage is directly connected to the regulation that requires you to manage it — and to the evidence that proves you did.</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2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6226"/>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What the Risk Manager Sees</w:t>
            </w:r>
          </w:p>
        </w:tc>
      </w:tr>
      <w:tr>
        <w:tc>
          <w:tcPr>
            <w:tcW w:type="dxa" w:w="6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1</w:t>
            </w:r>
          </w:p>
        </w:tc>
        <w:tc>
          <w:tcPr>
            <w:tcW w:type="dxa" w:w="2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Open a risk in Risk Register</w:t>
            </w:r>
          </w:p>
        </w:tc>
        <w:tc>
          <w:tcPr>
            <w:tcW w:type="dxa" w:w="62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Risk 'כשל מערכת הליבה' displayed with inherent score (5), controls (3), and residual score (2).</w:t>
            </w:r>
          </w:p>
        </w:tc>
      </w:tr>
      <w:tr>
        <w:tc>
          <w:tcPr>
            <w:tcW w:type="dxa" w:w="6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2</w:t>
            </w:r>
          </w:p>
        </w:tc>
        <w:tc>
          <w:tcPr>
            <w:tcW w:type="dxa" w:w="22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Click regulation tag</w:t>
            </w:r>
          </w:p>
        </w:tc>
        <w:tc>
          <w:tcPr>
            <w:tcW w:type="dxa" w:w="62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System jumps to exact section of Circular 2024-10-2 (Section 2(ב)(2)) that requires this risk to be managed.</w:t>
            </w:r>
          </w:p>
        </w:tc>
      </w:tr>
      <w:tr>
        <w:tc>
          <w:tcPr>
            <w:tcW w:type="dxa" w:w="6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3</w:t>
            </w:r>
          </w:p>
        </w:tc>
        <w:tc>
          <w:tcPr>
            <w:tcW w:type="dxa" w:w="2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See control evidence</w:t>
            </w:r>
          </w:p>
        </w:tc>
        <w:tc>
          <w:tcPr>
            <w:tcW w:type="dxa" w:w="62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Back on the risk: click any control → see the evidence document (procedure, test log, vendor contract) that proves the control is implemented.</w:t>
            </w:r>
          </w:p>
        </w:tc>
      </w:tr>
    </w:tbl>
    <w:p>
      <w:pPr>
        <w:spacing w:before="1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A8EC2" w:sz="6"/>
              <w:left w:val="single" w:color="4A8EC2" w:sz="18"/>
              <w:bottom w:val="none" w:color="FFFFFF" w:sz="0"/>
              <w:right w:val="none" w:color="FFFFFF" w:sz="0"/>
            </w:tcBorders>
            <w:shd w:fill="F0F7FF" w:val="clear"/>
            <w:tcMar>
              <w:top w:type="dxa" w:w="120"/>
              <w:left w:type="dxa" w:w="200"/>
              <w:bottom w:type="dxa" w:w="120"/>
              <w:right w:type="dxa" w:w="120"/>
            </w:tcMar>
          </w:tcPr>
          <w:p>
            <w:pPr>
              <w:spacing w:before="0" w:after="60"/>
            </w:pPr>
            <w:r>
              <w:rPr>
                <w:rFonts w:ascii="Arial" w:cs="Arial" w:eastAsia="Arial" w:hAnsi="Arial"/>
                <w:b/>
                <w:bCs/>
                <w:color w:val="4A8EC2"/>
                <w:sz w:val="20"/>
                <w:szCs w:val="20"/>
              </w:rPr>
              <w:t xml:space="preserve">The Wow Moment</w:t>
            </w:r>
          </w:p>
          <w:p>
            <w:r>
              <w:rPr>
                <w:rFonts w:ascii="Arial" w:cs="Arial" w:eastAsia="Arial" w:hAnsi="Arial"/>
                <w:color w:val="1A2332"/>
                <w:sz w:val="20"/>
                <w:szCs w:val="20"/>
              </w:rPr>
              <w:t xml:space="preserve">The Risk Manager sees the direct line between their daily work and regulatory compliance. Managing risks isn't bureaucracy — every action they take directly satisfies a specific regulatory requirement, and the system proves it automatically.</w:t>
            </w:r>
          </w:p>
        </w:tc>
      </w:tr>
    </w:tbl>
    <w:p>
      <w:pPr>
        <w:spacing w:before="160" w:after="0"/>
      </w:pPr>
    </w:p>
    <w:p>
      <w:pPr>
        <w:pStyle w:val="Heading2"/>
        <w:spacing w:before="260" w:after="100"/>
      </w:pPr>
      <w:r>
        <w:rPr>
          <w:rFonts w:ascii="Arial" w:cs="Arial" w:eastAsia="Arial" w:hAnsi="Arial"/>
          <w:b/>
          <w:bCs/>
          <w:color w:val="4A8EC2"/>
          <w:sz w:val="26"/>
          <w:szCs w:val="26"/>
        </w:rPr>
        <w:t xml:space="preserve">2.3 Flow C: CEO / Owner — Dashboard Score Drill-Down</w:t>
      </w:r>
    </w:p>
    <w:p>
      <w:pPr>
        <w:spacing w:before="80" w:after="80"/>
      </w:pPr>
      <w:r>
        <w:rPr>
          <w:rFonts w:ascii="Arial" w:cs="Arial" w:eastAsia="Arial" w:hAnsi="Arial"/>
          <w:color w:val="1A2332"/>
          <w:sz w:val="22"/>
          <w:szCs w:val="22"/>
        </w:rPr>
        <w:t xml:space="preserve">Audience: CEO, General Manager, Board member</w:t>
      </w:r>
    </w:p>
    <w:p>
      <w:pPr>
        <w:spacing w:before="80" w:after="80"/>
      </w:pPr>
      <w:r>
        <w:rPr>
          <w:rFonts w:ascii="Arial" w:cs="Arial" w:eastAsia="Arial" w:hAnsi="Arial"/>
          <w:color w:val="1A2332"/>
          <w:sz w:val="22"/>
          <w:szCs w:val="22"/>
        </w:rPr>
        <w:t xml:space="preserve">Core message: At a glance you can see your compliance status. Click anything red and the system tells you exactly what needs to happen and what it costs to fix it.</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2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6226"/>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What the CEO Sees</w:t>
            </w:r>
          </w:p>
        </w:tc>
      </w:tr>
      <w:tr>
        <w:tc>
          <w:tcPr>
            <w:tcW w:type="dxa" w:w="6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1</w:t>
            </w:r>
          </w:p>
        </w:tc>
        <w:tc>
          <w:tcPr>
            <w:tcW w:type="dxa" w:w="2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Dashboard opens</w:t>
            </w:r>
          </w:p>
        </w:tc>
        <w:tc>
          <w:tcPr>
            <w:tcW w:type="dxa" w:w="62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Overall compliance score: 62%. 7 module scores displayed as colored gauges. 3 red, 2 orange, 2 green.</w:t>
            </w:r>
          </w:p>
        </w:tc>
      </w:tr>
      <w:tr>
        <w:tc>
          <w:tcPr>
            <w:tcW w:type="dxa" w:w="6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2</w:t>
            </w:r>
          </w:p>
        </w:tc>
        <w:tc>
          <w:tcPr>
            <w:tcW w:type="dxa" w:w="22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Click a red module</w:t>
            </w:r>
          </w:p>
        </w:tc>
        <w:tc>
          <w:tcPr>
            <w:tcW w:type="dxa" w:w="62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Business Continuity (45%): system shows exactly which 3 regulation sections are not met and what's needed to fix each.</w:t>
            </w:r>
          </w:p>
        </w:tc>
      </w:tr>
      <w:tr>
        <w:tc>
          <w:tcPr>
            <w:tcW w:type="dxa" w:w="6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3</w:t>
            </w:r>
          </w:p>
        </w:tc>
        <w:tc>
          <w:tcPr>
            <w:tcW w:type="dxa" w:w="2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See the fix</w:t>
            </w:r>
          </w:p>
        </w:tc>
        <w:tc>
          <w:tcPr>
            <w:tcW w:type="dxa" w:w="62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NuTeLa appears inline: 'I can help you complete the BIA in 20 minutes. Should I create the questionnaire now?' CEO clicks Yes — task created.</w:t>
            </w:r>
          </w:p>
        </w:tc>
      </w:tr>
    </w:tbl>
    <w:p>
      <w:pPr>
        <w:spacing w:before="1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922A" w:sz="6"/>
              <w:left w:val="single" w:color="C8922A" w:sz="18"/>
              <w:bottom w:val="none" w:color="FFFFFF" w:sz="0"/>
              <w:right w:val="none" w:color="FFFFFF" w:sz="0"/>
            </w:tcBorders>
            <w:shd w:fill="F0F7FF" w:val="clear"/>
            <w:tcMar>
              <w:top w:type="dxa" w:w="120"/>
              <w:left w:type="dxa" w:w="200"/>
              <w:bottom w:type="dxa" w:w="120"/>
              <w:right w:type="dxa" w:w="120"/>
            </w:tcMar>
          </w:tcPr>
          <w:p>
            <w:pPr>
              <w:spacing w:before="0" w:after="60"/>
            </w:pPr>
            <w:r>
              <w:rPr>
                <w:rFonts w:ascii="Arial" w:cs="Arial" w:eastAsia="Arial" w:hAnsi="Arial"/>
                <w:b/>
                <w:bCs/>
                <w:color w:val="C8922A"/>
                <w:sz w:val="20"/>
                <w:szCs w:val="20"/>
              </w:rPr>
              <w:t xml:space="preserve">The Wow Moment</w:t>
            </w:r>
          </w:p>
          <w:p>
            <w:r>
              <w:rPr>
                <w:rFonts w:ascii="Arial" w:cs="Arial" w:eastAsia="Arial" w:hAnsi="Arial"/>
                <w:color w:val="1A2332"/>
                <w:sz w:val="20"/>
                <w:szCs w:val="20"/>
              </w:rPr>
              <w:t xml:space="preserve">The CEO doesn't need to understand regulations. They see a number, click what's red, and the system tells them exactly what to do — and NuTeLa offers to start the fix immediately. Compliance becomes manageable for leadership.</w:t>
            </w:r>
          </w:p>
        </w:tc>
      </w:tr>
    </w:tbl>
    <w:p>
      <w:pPr>
        <w:spacing w:before="160" w:after="0"/>
      </w:pPr>
    </w:p>
    <w:p>
      <w:r>
        <w:br w:type="page"/>
      </w:r>
    </w:p>
    <w:p>
      <w:pPr>
        <w:pStyle w:val="Heading1"/>
        <w:spacing w:before="340" w:after="120"/>
      </w:pPr>
      <w:r>
        <w:rPr>
          <w:rFonts w:ascii="Arial" w:cs="Arial" w:eastAsia="Arial" w:hAnsi="Arial"/>
          <w:b/>
          <w:bCs/>
          <w:color w:val="1E2D3D"/>
          <w:sz w:val="32"/>
          <w:szCs w:val="32"/>
        </w:rPr>
        <w:t xml:space="preserve">3. NuTeLa in the Demo Experience</w:t>
      </w:r>
    </w:p>
    <w:p>
      <w:pPr>
        <w:spacing w:before="80" w:after="80"/>
      </w:pPr>
      <w:r>
        <w:rPr>
          <w:rFonts w:ascii="Arial" w:cs="Arial" w:eastAsia="Arial" w:hAnsi="Arial"/>
          <w:color w:val="1A2332"/>
          <w:sz w:val="22"/>
          <w:szCs w:val="22"/>
        </w:rPr>
        <w:t xml:space="preserve">NuTeLa is introduced within the first 2 minutes of every demo. It is the centerpiece of the push-first experience.</w:t>
      </w:r>
    </w:p>
    <w:p>
      <w:pPr>
        <w:spacing w:before="160" w:after="0"/>
      </w:pPr>
    </w:p>
    <w:p>
      <w:pPr>
        <w:pStyle w:val="Heading2"/>
        <w:spacing w:before="260" w:after="100"/>
      </w:pPr>
      <w:r>
        <w:rPr>
          <w:rFonts w:ascii="Arial" w:cs="Arial" w:eastAsia="Arial" w:hAnsi="Arial"/>
          <w:b/>
          <w:bCs/>
          <w:color w:val="4A8EC2"/>
          <w:sz w:val="26"/>
          <w:szCs w:val="26"/>
        </w:rPr>
        <w:t xml:space="preserve">3.1 Demo Opening Sequence</w:t>
      </w:r>
    </w:p>
    <w:p>
      <w:pPr>
        <w:spacing w:before="80" w:after="80"/>
      </w:pPr>
      <w:r>
        <w:rPr>
          <w:rFonts w:ascii="Arial" w:cs="Arial" w:eastAsia="Arial" w:hAnsi="Arial"/>
          <w:color w:val="1A2332"/>
          <w:sz w:val="22"/>
          <w:szCs w:val="22"/>
        </w:rPr>
        <w:t xml:space="preserve">The demo does not start with 'let me show you our features.' It starts with NuTeLa:</w:t>
      </w:r>
    </w:p>
    <w:p>
      <w:pPr>
        <w:pStyle w:val="ListParagraph"/>
        <w:numPr>
          <w:ilvl w:val="0"/>
          <w:numId w:val="3"/>
        </w:numPr>
        <w:spacing w:before="80" w:after="80"/>
      </w:pPr>
      <w:r>
        <w:rPr>
          <w:rFonts w:ascii="Arial" w:cs="Arial" w:eastAsia="Arial" w:hAnsi="Arial"/>
          <w:color w:val="1A2332"/>
          <w:sz w:val="22"/>
          <w:szCs w:val="22"/>
        </w:rPr>
        <w:t xml:space="preserve">Dashboard loads — NuTeLa push queue is visible in the top section with 3 pending tasks</w:t>
      </w:r>
    </w:p>
    <w:p>
      <w:pPr>
        <w:pStyle w:val="ListParagraph"/>
        <w:numPr>
          <w:ilvl w:val="0"/>
          <w:numId w:val="3"/>
        </w:numPr>
        <w:spacing w:before="80" w:after="80"/>
      </w:pPr>
      <w:r>
        <w:rPr>
          <w:rFonts w:ascii="Arial" w:cs="Arial" w:eastAsia="Arial" w:hAnsi="Arial"/>
          <w:color w:val="1A2332"/>
          <w:sz w:val="22"/>
          <w:szCs w:val="22"/>
        </w:rPr>
        <w:t xml:space="preserve">Presenter clicks the first task: 'Quarterly Risk Map Update'</w:t>
      </w:r>
    </w:p>
    <w:p>
      <w:pPr>
        <w:pStyle w:val="ListParagraph"/>
        <w:numPr>
          <w:ilvl w:val="0"/>
          <w:numId w:val="3"/>
        </w:numPr>
        <w:spacing w:before="80" w:after="80"/>
      </w:pPr>
      <w:r>
        <w:rPr>
          <w:rFonts w:ascii="Arial" w:cs="Arial" w:eastAsia="Arial" w:hAnsi="Arial"/>
          <w:color w:val="1A2332"/>
          <w:sz w:val="22"/>
          <w:szCs w:val="22"/>
        </w:rPr>
        <w:t xml:space="preserve">Full-screen NuTeLa questionnaire opens: 5 questions, progress bar, auto-advances</w:t>
      </w:r>
    </w:p>
    <w:p>
      <w:pPr>
        <w:pStyle w:val="ListParagraph"/>
        <w:numPr>
          <w:ilvl w:val="0"/>
          <w:numId w:val="3"/>
        </w:numPr>
        <w:spacing w:before="80" w:after="80"/>
      </w:pPr>
      <w:r>
        <w:rPr>
          <w:rFonts w:ascii="Arial" w:cs="Arial" w:eastAsia="Arial" w:hAnsi="Arial"/>
          <w:color w:val="1A2332"/>
          <w:sz w:val="22"/>
          <w:szCs w:val="22"/>
        </w:rPr>
        <w:t xml:space="preserve">User answers 3 questions — Risk Register and compliance score update live in background</w:t>
      </w:r>
    </w:p>
    <w:p>
      <w:pPr>
        <w:pStyle w:val="ListParagraph"/>
        <w:numPr>
          <w:ilvl w:val="0"/>
          <w:numId w:val="3"/>
        </w:numPr>
        <w:spacing w:before="80" w:after="80"/>
      </w:pPr>
      <w:r>
        <w:rPr>
          <w:rFonts w:ascii="Arial" w:cs="Arial" w:eastAsia="Arial" w:hAnsi="Arial"/>
          <w:color w:val="1A2332"/>
          <w:sz w:val="22"/>
          <w:szCs w:val="22"/>
        </w:rPr>
        <w:t xml:space="preserve">Return to dashboard — compliance score ticked up from 62% to 64%</w:t>
      </w:r>
    </w:p>
    <w:p>
      <w:pPr>
        <w:spacing w:before="1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BB8C9" w:sz="6"/>
              <w:left w:val="single" w:color="5BB8C9" w:sz="18"/>
              <w:bottom w:val="none" w:color="FFFFFF" w:sz="0"/>
              <w:right w:val="none" w:color="FFFFFF" w:sz="0"/>
            </w:tcBorders>
            <w:shd w:fill="F0F7FF" w:val="clear"/>
            <w:tcMar>
              <w:top w:type="dxa" w:w="120"/>
              <w:left w:type="dxa" w:w="200"/>
              <w:bottom w:type="dxa" w:w="120"/>
              <w:right w:type="dxa" w:w="120"/>
            </w:tcMar>
          </w:tcPr>
          <w:p>
            <w:pPr>
              <w:spacing w:before="0" w:after="60"/>
            </w:pPr>
            <w:r>
              <w:rPr>
                <w:rFonts w:ascii="Arial" w:cs="Arial" w:eastAsia="Arial" w:hAnsi="Arial"/>
                <w:b/>
                <w:bCs/>
                <w:color w:val="5BB8C9"/>
                <w:sz w:val="20"/>
                <w:szCs w:val="20"/>
              </w:rPr>
              <w:t xml:space="preserve">Key Demo Point</w:t>
            </w:r>
          </w:p>
          <w:p>
            <w:r>
              <w:rPr>
                <w:rFonts w:ascii="Arial" w:cs="Arial" w:eastAsia="Arial" w:hAnsi="Arial"/>
                <w:color w:val="1A2332"/>
                <w:sz w:val="20"/>
                <w:szCs w:val="20"/>
              </w:rPr>
              <w:t xml:space="preserve">In 5 minutes, the prospect completed a real compliance task without navigating anywhere. NuTeLa came to them, guided them, and updated the system. This is the daily reality of RiskGuard — compliance happens through NuTeLa, not through the user exploring menus.</w:t>
            </w:r>
          </w:p>
        </w:tc>
      </w:tr>
    </w:tbl>
    <w:p>
      <w:pPr>
        <w:spacing w:before="160" w:after="0"/>
      </w:pPr>
    </w:p>
    <w:p>
      <w:pPr>
        <w:pStyle w:val="Heading2"/>
        <w:spacing w:before="260" w:after="100"/>
      </w:pPr>
      <w:r>
        <w:rPr>
          <w:rFonts w:ascii="Arial" w:cs="Arial" w:eastAsia="Arial" w:hAnsi="Arial"/>
          <w:b/>
          <w:bCs/>
          <w:color w:val="4A8EC2"/>
          <w:sz w:val="26"/>
          <w:szCs w:val="26"/>
        </w:rPr>
        <w:t xml:space="preserve">3.2 NuTeLa Contextual Appearance</w:t>
      </w:r>
    </w:p>
    <w:p>
      <w:pPr>
        <w:spacing w:before="80" w:after="80"/>
      </w:pPr>
      <w:r>
        <w:rPr>
          <w:rFonts w:ascii="Arial" w:cs="Arial" w:eastAsia="Arial" w:hAnsi="Arial"/>
          <w:color w:val="1A2332"/>
          <w:sz w:val="22"/>
          <w:szCs w:val="22"/>
        </w:rPr>
        <w:t xml:space="preserve">During the demo, NuTeLa appears in two ways:</w:t>
      </w:r>
    </w:p>
    <w:p>
      <w:pPr>
        <w:pStyle w:val="ListParagraph"/>
        <w:numPr>
          <w:ilvl w:val="0"/>
          <w:numId w:val="2"/>
        </w:numPr>
        <w:spacing w:before="60" w:after="60"/>
      </w:pPr>
      <w:r>
        <w:rPr>
          <w:rFonts w:ascii="Arial" w:cs="Arial" w:eastAsia="Arial" w:hAnsi="Arial"/>
          <w:color w:val="1A2332"/>
          <w:sz w:val="22"/>
          <w:szCs w:val="22"/>
        </w:rPr>
        <w:t xml:space="preserve">Inline contextual: When the presenter navigates to a module screen with an incomplete section, NuTeLa appears inline within the module — not as a popup but as part of the screen — with guidance and an offer to push the relevant questionnaire</w:t>
      </w:r>
    </w:p>
    <w:p>
      <w:pPr>
        <w:pStyle w:val="ListParagraph"/>
        <w:numPr>
          <w:ilvl w:val="0"/>
          <w:numId w:val="2"/>
        </w:numPr>
        <w:spacing w:before="60" w:after="60"/>
      </w:pPr>
      <w:r>
        <w:rPr>
          <w:rFonts w:ascii="Arial" w:cs="Arial" w:eastAsia="Arial" w:hAnsi="Arial"/>
          <w:color w:val="1A2332"/>
          <w:sz w:val="22"/>
          <w:szCs w:val="22"/>
        </w:rPr>
        <w:t xml:space="preserve">Floating bubble: Always visible bottom-right as the egg-shaped avatar. Clicking it opens the full NuTeLa chat/task panel for ad-hoc queries</w:t>
      </w:r>
    </w:p>
    <w:p>
      <w:pPr>
        <w:spacing w:before="160" w:after="0"/>
      </w:pPr>
    </w:p>
    <w:p>
      <w:pPr>
        <w:pStyle w:val="Heading1"/>
        <w:spacing w:before="340" w:after="120"/>
      </w:pPr>
      <w:r>
        <w:rPr>
          <w:rFonts w:ascii="Arial" w:cs="Arial" w:eastAsia="Arial" w:hAnsi="Arial"/>
          <w:b/>
          <w:bCs/>
          <w:color w:val="1E2D3D"/>
          <w:sz w:val="32"/>
          <w:szCs w:val="32"/>
        </w:rPr>
        <w:t xml:space="preserve">4. Demo Company: אשראי פייננס בע״מ</w:t>
      </w:r>
    </w:p>
    <w:p>
      <w:pPr>
        <w:spacing w:before="80" w:after="80"/>
      </w:pPr>
      <w:r>
        <w:rPr>
          <w:rFonts w:ascii="Arial" w:cs="Arial" w:eastAsia="Arial" w:hAnsi="Arial"/>
          <w:color w:val="1A2332"/>
          <w:sz w:val="22"/>
          <w:szCs w:val="22"/>
        </w:rPr>
        <w:t xml:space="preserve">This is the permanent internal dev/test company. All data is pre-seeded and fixed. It represents a realistic mid-compliance state (6 months into using the platform, 62% overall compliance).</w:t>
      </w:r>
    </w:p>
    <w:p>
      <w:pPr>
        <w:spacing w:before="1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30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Hebrew</w:t>
            </w:r>
          </w:p>
        </w:tc>
        <w:tc>
          <w:tcPr>
            <w:tcW w:type="dxa" w:w="3826"/>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Company Name</w:t>
            </w:r>
          </w:p>
        </w:tc>
        <w:tc>
          <w:tcPr>
            <w:tcW w:type="dxa" w:w="3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שם חברה</w:t>
            </w:r>
          </w:p>
        </w:tc>
        <w:tc>
          <w:tcPr>
            <w:tcW w:type="dxa" w:w="38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אשראי פייננס בע״מ</w:t>
            </w:r>
          </w:p>
        </w:tc>
      </w:tr>
      <w:tr>
        <w:tc>
          <w:tcPr>
            <w:tcW w:type="dxa" w:w="22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License Type</w:t>
            </w:r>
          </w:p>
        </w:tc>
        <w:tc>
          <w:tcPr>
            <w:tcW w:type="dxa" w:w="30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סוג רישיון</w:t>
            </w:r>
          </w:p>
        </w:tc>
        <w:tc>
          <w:tcPr>
            <w:tcW w:type="dxa" w:w="38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רישיון מורחב למתן אשראי</w:t>
            </w:r>
          </w:p>
        </w:tc>
      </w:tr>
      <w:tr>
        <w:tc>
          <w:tcPr>
            <w:tcW w:type="dxa" w:w="2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License Number</w:t>
            </w:r>
          </w:p>
        </w:tc>
        <w:tc>
          <w:tcPr>
            <w:tcW w:type="dxa" w:w="3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מספר רישיון</w:t>
            </w:r>
          </w:p>
        </w:tc>
        <w:tc>
          <w:tcPr>
            <w:tcW w:type="dxa" w:w="38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52-1234</w:t>
            </w:r>
          </w:p>
        </w:tc>
      </w:tr>
      <w:tr>
        <w:tc>
          <w:tcPr>
            <w:tcW w:type="dxa" w:w="22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CEO</w:t>
            </w:r>
          </w:p>
        </w:tc>
        <w:tc>
          <w:tcPr>
            <w:tcW w:type="dxa" w:w="30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מנכ״ל</w:t>
            </w:r>
          </w:p>
        </w:tc>
        <w:tc>
          <w:tcPr>
            <w:tcW w:type="dxa" w:w="38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דנה כהן</w:t>
            </w:r>
          </w:p>
        </w:tc>
      </w:tr>
      <w:tr>
        <w:tc>
          <w:tcPr>
            <w:tcW w:type="dxa" w:w="2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Risk Officer</w:t>
            </w:r>
          </w:p>
        </w:tc>
        <w:tc>
          <w:tcPr>
            <w:tcW w:type="dxa" w:w="3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מנהל סיכונים</w:t>
            </w:r>
          </w:p>
        </w:tc>
        <w:tc>
          <w:tcPr>
            <w:tcW w:type="dxa" w:w="38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יוסי לוי</w:t>
            </w:r>
          </w:p>
        </w:tc>
      </w:tr>
      <w:tr>
        <w:tc>
          <w:tcPr>
            <w:tcW w:type="dxa" w:w="22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Employees</w:t>
            </w:r>
          </w:p>
        </w:tc>
        <w:tc>
          <w:tcPr>
            <w:tcW w:type="dxa" w:w="30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עובדים</w:t>
            </w:r>
          </w:p>
        </w:tc>
        <w:tc>
          <w:tcPr>
            <w:tcW w:type="dxa" w:w="38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12</w:t>
            </w:r>
          </w:p>
        </w:tc>
      </w:tr>
      <w:tr>
        <w:tc>
          <w:tcPr>
            <w:tcW w:type="dxa" w:w="2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Address</w:t>
            </w:r>
          </w:p>
        </w:tc>
        <w:tc>
          <w:tcPr>
            <w:tcW w:type="dxa" w:w="3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כתובת</w:t>
            </w:r>
          </w:p>
        </w:tc>
        <w:tc>
          <w:tcPr>
            <w:tcW w:type="dxa" w:w="38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דרך מנחם בגין 48, תל אביב</w:t>
            </w:r>
          </w:p>
        </w:tc>
      </w:tr>
      <w:tr>
        <w:tc>
          <w:tcPr>
            <w:tcW w:type="dxa" w:w="22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Annual Credit Volume</w:t>
            </w:r>
          </w:p>
        </w:tc>
        <w:tc>
          <w:tcPr>
            <w:tcW w:type="dxa" w:w="30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היקף אשראי שנתי</w:t>
            </w:r>
          </w:p>
        </w:tc>
        <w:tc>
          <w:tcPr>
            <w:tcW w:type="dxa" w:w="38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₪85,000,000</w:t>
            </w:r>
          </w:p>
        </w:tc>
      </w:tr>
      <w:tr>
        <w:tc>
          <w:tcPr>
            <w:tcW w:type="dxa" w:w="2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Subscription Tier</w:t>
            </w:r>
          </w:p>
        </w:tc>
        <w:tc>
          <w:tcPr>
            <w:tcW w:type="dxa" w:w="3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חבילת מנוי</w:t>
            </w:r>
          </w:p>
        </w:tc>
        <w:tc>
          <w:tcPr>
            <w:tcW w:type="dxa" w:w="38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Pro (to demonstrate all features)</w:t>
            </w:r>
          </w:p>
        </w:tc>
      </w:tr>
      <w:tr>
        <w:tc>
          <w:tcPr>
            <w:tcW w:type="dxa" w:w="22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Board</w:t>
            </w:r>
          </w:p>
        </w:tc>
        <w:tc>
          <w:tcPr>
            <w:tcW w:type="dxa" w:w="30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דירקטוריון</w:t>
            </w:r>
          </w:p>
        </w:tc>
        <w:tc>
          <w:tcPr>
            <w:tcW w:type="dxa" w:w="38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רונית אברהם (יו״ר), אבי מזרחי, מירי שרון</w:t>
            </w:r>
          </w:p>
        </w:tc>
      </w:tr>
      <w:tr>
        <w:tc>
          <w:tcPr>
            <w:tcW w:type="dxa" w:w="2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Overall Compliance</w:t>
            </w:r>
          </w:p>
        </w:tc>
        <w:tc>
          <w:tcPr>
            <w:tcW w:type="dxa" w:w="3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עמידה כוללת</w:t>
            </w:r>
          </w:p>
        </w:tc>
        <w:tc>
          <w:tcPr>
            <w:tcW w:type="dxa" w:w="38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62% — realistic 6-month state</w:t>
            </w:r>
          </w:p>
        </w:tc>
      </w:tr>
    </w:tbl>
    <w:p>
      <w:pPr>
        <w:spacing w:before="160" w:after="0"/>
      </w:pPr>
    </w:p>
    <w:p>
      <w:r>
        <w:br w:type="page"/>
      </w:r>
    </w:p>
    <w:p>
      <w:pPr>
        <w:pStyle w:val="Heading1"/>
        <w:spacing w:before="340" w:after="120"/>
      </w:pPr>
      <w:r>
        <w:rPr>
          <w:rFonts w:ascii="Arial" w:cs="Arial" w:eastAsia="Arial" w:hAnsi="Arial"/>
          <w:b/>
          <w:bCs/>
          <w:color w:val="1E2D3D"/>
          <w:sz w:val="32"/>
          <w:szCs w:val="32"/>
        </w:rPr>
        <w:t xml:space="preserve">5. Onboarding Wizard — 7 Steps to Zero Day-One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B57" w:sz="6"/>
              <w:left w:val="single" w:color="2E8B57" w:sz="18"/>
              <w:bottom w:val="none" w:color="FFFFFF" w:sz="0"/>
              <w:right w:val="none" w:color="FFFFFF" w:sz="0"/>
            </w:tcBorders>
            <w:shd w:fill="F0F7FF" w:val="clear"/>
            <w:tcMar>
              <w:top w:type="dxa" w:w="120"/>
              <w:left w:type="dxa" w:w="200"/>
              <w:bottom w:type="dxa" w:w="120"/>
              <w:right w:type="dxa" w:w="120"/>
            </w:tcMar>
          </w:tcPr>
          <w:p>
            <w:pPr>
              <w:spacing w:before="0" w:after="60"/>
            </w:pPr>
            <w:r>
              <w:rPr>
                <w:rFonts w:ascii="Arial" w:cs="Arial" w:eastAsia="Arial" w:hAnsi="Arial"/>
                <w:b/>
                <w:bCs/>
                <w:color w:val="2E8B57"/>
                <w:sz w:val="20"/>
                <w:szCs w:val="20"/>
              </w:rPr>
              <w:t xml:space="preserve">Core Concept: Zero Day-One Setup</w:t>
            </w:r>
          </w:p>
          <w:p>
            <w:r>
              <w:rPr>
                <w:rFonts w:ascii="Arial" w:cs="Arial" w:eastAsia="Arial" w:hAnsi="Arial"/>
                <w:color w:val="1A2332"/>
                <w:sz w:val="20"/>
                <w:szCs w:val="20"/>
              </w:rPr>
              <w:t xml:space="preserve">The wizard doesn't just collect data — it launches the platform. By the time the user clicks 'Finish', the system is already partially operational: first NuTeLa tasks have been created, regulatory templates are populated with company data, team invitations have been sent, and the compliance score has been initialized. The user walks into a live working environment.</w:t>
            </w:r>
          </w:p>
        </w:tc>
      </w:tr>
    </w:tbl>
    <w:p>
      <w:pPr>
        <w:spacing w:before="160" w:after="0"/>
      </w:pPr>
    </w:p>
    <w:p>
      <w:pPr>
        <w:pStyle w:val="Heading2"/>
        <w:spacing w:before="260" w:after="100"/>
      </w:pPr>
      <w:r>
        <w:rPr>
          <w:rFonts w:ascii="Arial" w:cs="Arial" w:eastAsia="Arial" w:hAnsi="Arial"/>
          <w:b/>
          <w:bCs/>
          <w:color w:val="4A8EC2"/>
          <w:sz w:val="26"/>
          <w:szCs w:val="26"/>
        </w:rPr>
        <w:t xml:space="preserve">5.1 Wizard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000"/>
        <w:gridCol w:w="2026"/>
      </w:tblGrid>
      <w:tr>
        <w:trPr>
          <w:tblHeader/>
        </w:trPr>
        <w:tc>
          <w:tcPr>
            <w:tcW w:type="dxa" w:w="6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4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Title (Hebrew)</w:t>
            </w:r>
          </w:p>
        </w:tc>
        <w:tc>
          <w:tcPr>
            <w:tcW w:type="dxa" w:w="40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2026"/>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Key Output</w:t>
            </w:r>
          </w:p>
        </w:tc>
      </w:tr>
      <w:tr>
        <w:tc>
          <w:tcPr>
            <w:tcW w:type="dxa" w:w="6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1</w:t>
            </w:r>
          </w:p>
        </w:tc>
        <w:tc>
          <w:tcPr>
            <w:tcW w:type="dxa" w:w="24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פרטי החברה</w:t>
            </w:r>
          </w:p>
        </w:tc>
        <w:tc>
          <w:tcPr>
            <w:tcW w:type="dxa" w:w="4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Company name, logo upload, registration number, address</w:t>
            </w:r>
          </w:p>
        </w:tc>
        <w:tc>
          <w:tcPr>
            <w:tcW w:type="dxa" w:w="20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Company identity seeded across all templates</w:t>
            </w:r>
          </w:p>
        </w:tc>
      </w:tr>
      <w:tr>
        <w:tc>
          <w:tcPr>
            <w:tcW w:type="dxa" w:w="6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2</w:t>
            </w:r>
          </w:p>
        </w:tc>
        <w:tc>
          <w:tcPr>
            <w:tcW w:type="dxa" w:w="24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רישיון ורגולציה</w:t>
            </w:r>
          </w:p>
        </w:tc>
        <w:tc>
          <w:tcPr>
            <w:tcW w:type="dxa" w:w="40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License type selection → triggers applicable regulation set</w:t>
            </w:r>
          </w:p>
        </w:tc>
        <w:tc>
          <w:tcPr>
            <w:tcW w:type="dxa" w:w="20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Compliance roadmap initialized with correct requirements count</w:t>
            </w:r>
          </w:p>
        </w:tc>
      </w:tr>
      <w:tr>
        <w:tc>
          <w:tcPr>
            <w:tcW w:type="dxa" w:w="6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3</w:t>
            </w:r>
          </w:p>
        </w:tc>
        <w:tc>
          <w:tcPr>
            <w:tcW w:type="dxa" w:w="24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הערכה ראשונית</w:t>
            </w:r>
          </w:p>
        </w:tc>
        <w:tc>
          <w:tcPr>
            <w:tcW w:type="dxa" w:w="4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Quick 5-question current compliance self-assessment</w:t>
            </w:r>
          </w:p>
        </w:tc>
        <w:tc>
          <w:tcPr>
            <w:tcW w:type="dxa" w:w="20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Initial compliance score calculated; priority modules identified</w:t>
            </w:r>
          </w:p>
        </w:tc>
      </w:tr>
      <w:tr>
        <w:tc>
          <w:tcPr>
            <w:tcW w:type="dxa" w:w="6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4</w:t>
            </w:r>
          </w:p>
        </w:tc>
        <w:tc>
          <w:tcPr>
            <w:tcW w:type="dxa" w:w="24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מנהל הסיכונים</w:t>
            </w:r>
          </w:p>
        </w:tc>
        <w:tc>
          <w:tcPr>
            <w:tcW w:type="dxa" w:w="40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Risk Officer details — name, contact, reporting line, appointment document</w:t>
            </w:r>
          </w:p>
        </w:tc>
        <w:tc>
          <w:tcPr>
            <w:tcW w:type="dxa" w:w="20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Risk Officer profile created; regulatory appointment requirement satisfied</w:t>
            </w:r>
          </w:p>
        </w:tc>
      </w:tr>
      <w:tr>
        <w:tc>
          <w:tcPr>
            <w:tcW w:type="dxa" w:w="6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5</w:t>
            </w:r>
          </w:p>
        </w:tc>
        <w:tc>
          <w:tcPr>
            <w:tcW w:type="dxa" w:w="24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הדירקטוריון</w:t>
            </w:r>
          </w:p>
        </w:tc>
        <w:tc>
          <w:tcPr>
            <w:tcW w:type="dxa" w:w="4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Board members names and roles for governance module</w:t>
            </w:r>
          </w:p>
        </w:tc>
        <w:tc>
          <w:tcPr>
            <w:tcW w:type="dxa" w:w="20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Board report distribution list created; governance templates populated</w:t>
            </w:r>
          </w:p>
        </w:tc>
      </w:tr>
      <w:tr>
        <w:tc>
          <w:tcPr>
            <w:tcW w:type="dxa" w:w="6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6</w:t>
            </w:r>
          </w:p>
        </w:tc>
        <w:tc>
          <w:tcPr>
            <w:tcW w:type="dxa" w:w="24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הזמנת משתמשים</w:t>
            </w:r>
          </w:p>
        </w:tc>
        <w:tc>
          <w:tcPr>
            <w:tcW w:type="dxa" w:w="40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Invite team members with role assignment</w:t>
            </w:r>
          </w:p>
        </w:tc>
        <w:tc>
          <w:tcPr>
            <w:tcW w:type="dxa" w:w="20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Magic link invitations queued; sent on wizard completion</w:t>
            </w:r>
          </w:p>
        </w:tc>
      </w:tr>
      <w:tr>
        <w:tc>
          <w:tcPr>
            <w:tcW w:type="dxa" w:w="6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7</w:t>
            </w:r>
          </w:p>
        </w:tc>
        <w:tc>
          <w:tcPr>
            <w:tcW w:type="dxa" w:w="24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סיכום והשקה</w:t>
            </w:r>
          </w:p>
        </w:tc>
        <w:tc>
          <w:tcPr>
            <w:tcW w:type="dxa" w:w="4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Review all data. One-click launch.</w:t>
            </w:r>
          </w:p>
        </w:tc>
        <w:tc>
          <w:tcPr>
            <w:tcW w:type="dxa" w:w="20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System activated: tasks created, templates ready, score initialized</w:t>
            </w:r>
          </w:p>
        </w:tc>
      </w:tr>
    </w:tbl>
    <w:p>
      <w:pPr>
        <w:spacing w:before="160" w:after="0"/>
      </w:pPr>
    </w:p>
    <w:p>
      <w:pPr>
        <w:pStyle w:val="Heading2"/>
        <w:spacing w:before="260" w:after="100"/>
      </w:pPr>
      <w:r>
        <w:rPr>
          <w:rFonts w:ascii="Arial" w:cs="Arial" w:eastAsia="Arial" w:hAnsi="Arial"/>
          <w:b/>
          <w:bCs/>
          <w:color w:val="4A8EC2"/>
          <w:sz w:val="26"/>
          <w:szCs w:val="26"/>
        </w:rPr>
        <w:t xml:space="preserve">5.2 What 'Zero Day-One' Means Exactly</w:t>
      </w:r>
    </w:p>
    <w:p>
      <w:pPr>
        <w:spacing w:before="80" w:after="80"/>
      </w:pPr>
      <w:r>
        <w:rPr>
          <w:rFonts w:ascii="Arial" w:cs="Arial" w:eastAsia="Arial" w:hAnsi="Arial"/>
          <w:color w:val="1A2332"/>
          <w:sz w:val="22"/>
          <w:szCs w:val="22"/>
        </w:rPr>
        <w:t xml:space="preserve">On wizard completion (Step 7 → Finish), the following happens automatically:</w:t>
      </w:r>
    </w:p>
    <w:p>
      <w:pPr>
        <w:pStyle w:val="ListParagraph"/>
        <w:numPr>
          <w:ilvl w:val="0"/>
          <w:numId w:val="2"/>
        </w:numPr>
        <w:spacing w:before="60" w:after="60"/>
      </w:pPr>
      <w:r>
        <w:rPr>
          <w:rFonts w:ascii="Arial" w:cs="Arial" w:eastAsia="Arial" w:hAnsi="Arial"/>
          <w:color w:val="1A2332"/>
          <w:sz w:val="22"/>
          <w:szCs w:val="22"/>
        </w:rPr>
        <w:t xml:space="preserve">Compliance score initialized: Based on self-assessment answers, an opening score is calculated for each module</w:t>
      </w:r>
    </w:p>
    <w:p>
      <w:pPr>
        <w:pStyle w:val="ListParagraph"/>
        <w:numPr>
          <w:ilvl w:val="0"/>
          <w:numId w:val="2"/>
        </w:numPr>
        <w:spacing w:before="60" w:after="60"/>
      </w:pPr>
      <w:r>
        <w:rPr>
          <w:rFonts w:ascii="Arial" w:cs="Arial" w:eastAsia="Arial" w:hAnsi="Arial"/>
          <w:color w:val="1A2332"/>
          <w:sz w:val="22"/>
          <w:szCs w:val="22"/>
        </w:rPr>
        <w:t xml:space="preserve">NuTeLa queue populated: First 5 priority tasks are created based on license type and self-assessment gaps — user has immediate work to do</w:t>
      </w:r>
    </w:p>
    <w:p>
      <w:pPr>
        <w:pStyle w:val="ListParagraph"/>
        <w:numPr>
          <w:ilvl w:val="0"/>
          <w:numId w:val="2"/>
        </w:numPr>
        <w:spacing w:before="60" w:after="60"/>
      </w:pPr>
      <w:r>
        <w:rPr>
          <w:rFonts w:ascii="Arial" w:cs="Arial" w:eastAsia="Arial" w:hAnsi="Arial"/>
          <w:color w:val="1A2332"/>
          <w:sz w:val="22"/>
          <w:szCs w:val="22"/>
        </w:rPr>
        <w:t xml:space="preserve">Templates pre-populated: All 31 document templates have company name, logo, CEO name, Risk Officer name, board names, license number, and address filled in</w:t>
      </w:r>
    </w:p>
    <w:p>
      <w:pPr>
        <w:pStyle w:val="ListParagraph"/>
        <w:numPr>
          <w:ilvl w:val="0"/>
          <w:numId w:val="2"/>
        </w:numPr>
        <w:spacing w:before="60" w:after="60"/>
      </w:pPr>
      <w:r>
        <w:rPr>
          <w:rFonts w:ascii="Arial" w:cs="Arial" w:eastAsia="Arial" w:hAnsi="Arial"/>
          <w:color w:val="1A2332"/>
          <w:sz w:val="22"/>
          <w:szCs w:val="22"/>
        </w:rPr>
        <w:t xml:space="preserve">Recurring tasks created: Regulatory deadlines (quarterly reports, annual assessments) are scheduled as recurring NuTeLa tasks</w:t>
      </w:r>
    </w:p>
    <w:p>
      <w:pPr>
        <w:pStyle w:val="ListParagraph"/>
        <w:numPr>
          <w:ilvl w:val="0"/>
          <w:numId w:val="2"/>
        </w:numPr>
        <w:spacing w:before="60" w:after="60"/>
      </w:pPr>
      <w:r>
        <w:rPr>
          <w:rFonts w:ascii="Arial" w:cs="Arial" w:eastAsia="Arial" w:hAnsi="Arial"/>
          <w:color w:val="1A2332"/>
          <w:sz w:val="22"/>
          <w:szCs w:val="22"/>
        </w:rPr>
        <w:t xml:space="preserve">Team invitations sent: All invited users receive magic link emails; they join the existing tenant with their assigned role</w:t>
      </w:r>
    </w:p>
    <w:p>
      <w:pPr>
        <w:pStyle w:val="ListParagraph"/>
        <w:numPr>
          <w:ilvl w:val="0"/>
          <w:numId w:val="2"/>
        </w:numPr>
        <w:spacing w:before="60" w:after="60"/>
      </w:pPr>
      <w:r>
        <w:rPr>
          <w:rFonts w:ascii="Arial" w:cs="Arial" w:eastAsia="Arial" w:hAnsi="Arial"/>
          <w:color w:val="1A2332"/>
          <w:sz w:val="22"/>
          <w:szCs w:val="22"/>
        </w:rPr>
        <w:t xml:space="preserve">Regulation navigator configured: ISA circulars filtered to show only requirements applicable to the company's license type</w:t>
      </w:r>
    </w:p>
    <w:p>
      <w:pPr>
        <w:spacing w:before="160" w:after="0"/>
      </w:pPr>
    </w:p>
    <w:p>
      <w:pPr>
        <w:pStyle w:val="Heading2"/>
        <w:spacing w:before="260" w:after="100"/>
      </w:pPr>
      <w:r>
        <w:rPr>
          <w:rFonts w:ascii="Arial" w:cs="Arial" w:eastAsia="Arial" w:hAnsi="Arial"/>
          <w:b/>
          <w:bCs/>
          <w:color w:val="4A8EC2"/>
          <w:sz w:val="26"/>
          <w:szCs w:val="26"/>
        </w:rPr>
        <w:t xml:space="preserve">5.3 Data Cascade — Where Each Field Flows</w:t>
      </w:r>
    </w:p>
    <w:p>
      <w:pPr>
        <w:spacing w:before="80" w:after="80"/>
      </w:pPr>
      <w:r>
        <w:rPr>
          <w:rFonts w:ascii="Arial" w:cs="Arial" w:eastAsia="Arial" w:hAnsi="Arial"/>
          <w:color w:val="1A2332"/>
          <w:sz w:val="22"/>
          <w:szCs w:val="22"/>
        </w:rPr>
        <w:t xml:space="preserve">Every field from onboarding propagates throughout the platform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rPr>
          <w:tblHeader/>
        </w:trPr>
        <w:tc>
          <w:tcPr>
            <w:tcW w:type="dxa" w:w="20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Onboarding Field</w:t>
            </w:r>
          </w:p>
        </w:tc>
        <w:tc>
          <w:tcPr>
            <w:tcW w:type="dxa" w:w="25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Document Templates</w:t>
            </w:r>
          </w:p>
        </w:tc>
        <w:tc>
          <w:tcPr>
            <w:tcW w:type="dxa" w:w="25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Module Screens</w:t>
            </w:r>
          </w:p>
        </w:tc>
        <w:tc>
          <w:tcPr>
            <w:tcW w:type="dxa" w:w="2026"/>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Exports</w:t>
            </w:r>
          </w:p>
        </w:tc>
      </w:tr>
      <w:tr>
        <w:tc>
          <w:tcPr>
            <w:tcW w:type="dxa" w:w="2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שם חברה (Company Name)</w:t>
            </w:r>
          </w:p>
        </w:tc>
        <w:tc>
          <w:tcPr>
            <w:tcW w:type="dxa" w:w="25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All 31 templates: header + footer</w:t>
            </w:r>
          </w:p>
        </w:tc>
        <w:tc>
          <w:tcPr>
            <w:tcW w:type="dxa" w:w="25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Sidebar, settings, all screens</w:t>
            </w:r>
          </w:p>
        </w:tc>
        <w:tc>
          <w:tcPr>
            <w:tcW w:type="dxa" w:w="20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PDF/Word headers</w:t>
            </w:r>
          </w:p>
        </w:tc>
      </w:tr>
      <w:tr>
        <w:tc>
          <w:tcPr>
            <w:tcW w:type="dxa" w:w="20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לוגו (Logo)</w:t>
            </w:r>
          </w:p>
        </w:tc>
        <w:tc>
          <w:tcPr>
            <w:tcW w:type="dxa" w:w="25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All templates: header logo</w:t>
            </w:r>
          </w:p>
        </w:tc>
        <w:tc>
          <w:tcPr>
            <w:tcW w:type="dxa" w:w="25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Sidebar logo, dashboard</w:t>
            </w:r>
          </w:p>
        </w:tc>
        <w:tc>
          <w:tcPr>
            <w:tcW w:type="dxa" w:w="20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PDF/Word logo placement</w:t>
            </w:r>
          </w:p>
        </w:tc>
      </w:tr>
      <w:tr>
        <w:tc>
          <w:tcPr>
            <w:tcW w:type="dxa" w:w="2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מנכ״ל (CEO)</w:t>
            </w:r>
          </w:p>
        </w:tc>
        <w:tc>
          <w:tcPr>
            <w:tcW w:type="dxa" w:w="25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Approval lines, appointment letters</w:t>
            </w:r>
          </w:p>
        </w:tc>
        <w:tc>
          <w:tcPr>
            <w:tcW w:type="dxa" w:w="25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BCP contacts, governance</w:t>
            </w:r>
          </w:p>
        </w:tc>
        <w:tc>
          <w:tcPr>
            <w:tcW w:type="dxa" w:w="20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Approval stamps</w:t>
            </w:r>
          </w:p>
        </w:tc>
      </w:tr>
      <w:tr>
        <w:tc>
          <w:tcPr>
            <w:tcW w:type="dxa" w:w="20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מנהל סיכונים (Risk Officer)</w:t>
            </w:r>
          </w:p>
        </w:tc>
        <w:tc>
          <w:tcPr>
            <w:tcW w:type="dxa" w:w="25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Appointment doc, quarterly reports</w:t>
            </w:r>
          </w:p>
        </w:tc>
        <w:tc>
          <w:tcPr>
            <w:tcW w:type="dxa" w:w="25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Risk governance, task defaults</w:t>
            </w:r>
          </w:p>
        </w:tc>
        <w:tc>
          <w:tcPr>
            <w:tcW w:type="dxa" w:w="20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Report signatures</w:t>
            </w:r>
          </w:p>
        </w:tc>
      </w:tr>
      <w:tr>
        <w:tc>
          <w:tcPr>
            <w:tcW w:type="dxa" w:w="2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דירקטוריון (Board)</w:t>
            </w:r>
          </w:p>
        </w:tc>
        <w:tc>
          <w:tcPr>
            <w:tcW w:type="dxa" w:w="25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Board report recipients, steering committee</w:t>
            </w:r>
          </w:p>
        </w:tc>
        <w:tc>
          <w:tcPr>
            <w:tcW w:type="dxa" w:w="25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Governance, approval workflows</w:t>
            </w:r>
          </w:p>
        </w:tc>
        <w:tc>
          <w:tcPr>
            <w:tcW w:type="dxa" w:w="20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Meeting minutes</w:t>
            </w:r>
          </w:p>
        </w:tc>
      </w:tr>
      <w:tr>
        <w:tc>
          <w:tcPr>
            <w:tcW w:type="dxa" w:w="20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סוג רישיון (License Type)</w:t>
            </w:r>
          </w:p>
        </w:tc>
        <w:tc>
          <w:tcPr>
            <w:tcW w:type="dxa" w:w="25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Risk policy, cyber policy</w:t>
            </w:r>
          </w:p>
        </w:tc>
        <w:tc>
          <w:tcPr>
            <w:tcW w:type="dxa" w:w="25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Regulation navigator (filters)</w:t>
            </w:r>
          </w:p>
        </w:tc>
        <w:tc>
          <w:tcPr>
            <w:tcW w:type="dxa" w:w="20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All regulatory documents</w:t>
            </w:r>
          </w:p>
        </w:tc>
      </w:tr>
      <w:tr>
        <w:tc>
          <w:tcPr>
            <w:tcW w:type="dxa" w:w="20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כתובת (Address)</w:t>
            </w:r>
          </w:p>
        </w:tc>
        <w:tc>
          <w:tcPr>
            <w:tcW w:type="dxa" w:w="25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All templates: footer</w:t>
            </w:r>
          </w:p>
        </w:tc>
        <w:tc>
          <w:tcPr>
            <w:tcW w:type="dxa" w:w="25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BCP, emergency contacts</w:t>
            </w:r>
          </w:p>
        </w:tc>
        <w:tc>
          <w:tcPr>
            <w:tcW w:type="dxa" w:w="20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Document footers</w:t>
            </w:r>
          </w:p>
        </w:tc>
      </w:tr>
    </w:tbl>
    <w:p>
      <w:pPr>
        <w:spacing w:before="160" w:after="0"/>
      </w:pPr>
    </w:p>
    <w:p>
      <w:pPr>
        <w:pStyle w:val="Heading2"/>
        <w:spacing w:before="260" w:after="100"/>
      </w:pPr>
      <w:r>
        <w:rPr>
          <w:rFonts w:ascii="Arial" w:cs="Arial" w:eastAsia="Arial" w:hAnsi="Arial"/>
          <w:b/>
          <w:bCs/>
          <w:color w:val="4A8EC2"/>
          <w:sz w:val="26"/>
          <w:szCs w:val="26"/>
        </w:rPr>
        <w:t xml:space="preserve">5.4 Wizard UI Specifications</w:t>
      </w:r>
    </w:p>
    <w:p>
      <w:pPr>
        <w:spacing w:before="80" w:after="80"/>
      </w:pPr>
      <w:r>
        <w:rPr>
          <w:rFonts w:ascii="Arial" w:cs="Arial" w:eastAsia="Arial" w:hAnsi="Arial"/>
          <w:color w:val="1A2332"/>
          <w:sz w:val="22"/>
          <w:szCs w:val="22"/>
        </w:rPr>
        <w:t xml:space="preserve">The wizard design must match the demo exactly:</w:t>
      </w:r>
    </w:p>
    <w:p>
      <w:pPr>
        <w:pStyle w:val="ListParagraph"/>
        <w:numPr>
          <w:ilvl w:val="0"/>
          <w:numId w:val="2"/>
        </w:numPr>
        <w:spacing w:before="60" w:after="60"/>
      </w:pPr>
      <w:r>
        <w:rPr>
          <w:rFonts w:ascii="Arial" w:cs="Arial" w:eastAsia="Arial" w:hAnsi="Arial"/>
          <w:color w:val="1A2332"/>
          <w:sz w:val="22"/>
          <w:szCs w:val="22"/>
        </w:rPr>
        <w:t xml:space="preserve">Layout: Centered card, max-width 640px. Clean light background (#F5F7FA). No sidebar during onboarding — full focus.</w:t>
      </w:r>
    </w:p>
    <w:p>
      <w:pPr>
        <w:pStyle w:val="ListParagraph"/>
        <w:numPr>
          <w:ilvl w:val="0"/>
          <w:numId w:val="2"/>
        </w:numPr>
        <w:spacing w:before="60" w:after="60"/>
      </w:pPr>
      <w:r>
        <w:rPr>
          <w:rFonts w:ascii="Arial" w:cs="Arial" w:eastAsia="Arial" w:hAnsi="Arial"/>
          <w:color w:val="1A2332"/>
          <w:sz w:val="22"/>
          <w:szCs w:val="22"/>
        </w:rPr>
        <w:t xml:space="preserve">Progress: Top of card. 7 dots connected by line. Current step: accent blue filled. Completed: success green. Future: gray outline. Hebrew step labels below dots.</w:t>
      </w:r>
    </w:p>
    <w:p>
      <w:pPr>
        <w:pStyle w:val="ListParagraph"/>
        <w:numPr>
          <w:ilvl w:val="0"/>
          <w:numId w:val="2"/>
        </w:numPr>
        <w:spacing w:before="60" w:after="60"/>
      </w:pPr>
      <w:r>
        <w:rPr>
          <w:rFonts w:ascii="Arial" w:cs="Arial" w:eastAsia="Arial" w:hAnsi="Arial"/>
          <w:color w:val="1A2332"/>
          <w:sz w:val="22"/>
          <w:szCs w:val="22"/>
        </w:rPr>
        <w:t xml:space="preserve">Animation: Slide-in from LEFT (RTL: content enters from the start direction). 200ms ease-out.</w:t>
      </w:r>
    </w:p>
    <w:p>
      <w:pPr>
        <w:pStyle w:val="ListParagraph"/>
        <w:numPr>
          <w:ilvl w:val="0"/>
          <w:numId w:val="2"/>
        </w:numPr>
        <w:spacing w:before="60" w:after="60"/>
      </w:pPr>
      <w:r>
        <w:rPr>
          <w:rFonts w:ascii="Arial" w:cs="Arial" w:eastAsia="Arial" w:hAnsi="Arial"/>
          <w:color w:val="1A2332"/>
          <w:sz w:val="22"/>
          <w:szCs w:val="22"/>
        </w:rPr>
        <w:t xml:space="preserve">Navigation: Bottom of card: הקודם (Back, secondary) | דלג (Skip, ghost) | המשך (Next, primary). Final step: סיים והתחל (Finish, primary).</w:t>
      </w:r>
    </w:p>
    <w:p>
      <w:pPr>
        <w:pStyle w:val="ListParagraph"/>
        <w:numPr>
          <w:ilvl w:val="0"/>
          <w:numId w:val="2"/>
        </w:numPr>
        <w:spacing w:before="60" w:after="60"/>
      </w:pPr>
      <w:r>
        <w:rPr>
          <w:rFonts w:ascii="Arial" w:cs="Arial" w:eastAsia="Arial" w:hAnsi="Arial"/>
          <w:color w:val="1A2332"/>
          <w:sz w:val="22"/>
          <w:szCs w:val="22"/>
        </w:rPr>
        <w:t xml:space="preserve">Logo Upload: Client-side preview immediately on upload. Show in document preview mockup beside it — the wow moment of seeing their logo in a real document template.</w:t>
      </w:r>
    </w:p>
    <w:p>
      <w:pPr>
        <w:pStyle w:val="ListParagraph"/>
        <w:numPr>
          <w:ilvl w:val="0"/>
          <w:numId w:val="2"/>
        </w:numPr>
        <w:spacing w:before="60" w:after="60"/>
      </w:pPr>
      <w:r>
        <w:rPr>
          <w:rFonts w:ascii="Arial" w:cs="Arial" w:eastAsia="Arial" w:hAnsi="Arial"/>
          <w:color w:val="1A2332"/>
          <w:sz w:val="22"/>
          <w:szCs w:val="22"/>
        </w:rPr>
        <w:t xml:space="preserve">Validation: Inline on blur. Hebrew error messages. Prevent Next until required fields are valid.</w:t>
      </w:r>
    </w:p>
    <w:p>
      <w:pPr>
        <w:pStyle w:val="ListParagraph"/>
        <w:numPr>
          <w:ilvl w:val="0"/>
          <w:numId w:val="2"/>
        </w:numPr>
        <w:spacing w:before="60" w:after="60"/>
      </w:pPr>
      <w:r>
        <w:rPr>
          <w:rFonts w:ascii="Arial" w:cs="Arial" w:eastAsia="Arial" w:hAnsi="Arial"/>
          <w:color w:val="1A2332"/>
          <w:sz w:val="22"/>
          <w:szCs w:val="22"/>
        </w:rPr>
        <w:t xml:space="preserve">Skip Logic: Each step except Step 1 (company name + logo) can be skipped. Skipped steps create a 'השלם פרטים' task in NuTeLa queue with 7-day deadline.</w:t>
      </w:r>
    </w:p>
    <w:p>
      <w:r>
        <w:br w:type="page"/>
      </w:r>
    </w:p>
    <w:p>
      <w:pPr>
        <w:pStyle w:val="Heading1"/>
        <w:spacing w:before="340" w:after="120"/>
      </w:pPr>
      <w:r>
        <w:rPr>
          <w:rFonts w:ascii="Arial" w:cs="Arial" w:eastAsia="Arial" w:hAnsi="Arial"/>
          <w:b/>
          <w:bCs/>
          <w:color w:val="1E2D3D"/>
          <w:sz w:val="32"/>
          <w:szCs w:val="32"/>
        </w:rPr>
        <w:t xml:space="preserve">6. Demo Script by Audience</w:t>
      </w:r>
    </w:p>
    <w:p>
      <w:pPr>
        <w:pStyle w:val="Heading2"/>
        <w:spacing w:before="260" w:after="100"/>
      </w:pPr>
      <w:r>
        <w:rPr>
          <w:rFonts w:ascii="Arial" w:cs="Arial" w:eastAsia="Arial" w:hAnsi="Arial"/>
          <w:b/>
          <w:bCs/>
          <w:color w:val="4A8EC2"/>
          <w:sz w:val="26"/>
          <w:szCs w:val="26"/>
        </w:rPr>
        <w:t xml:space="preserve">6.1 Risk Manager Demo (15-20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rPr>
          <w:tblHeader/>
        </w:trPr>
        <w:tc>
          <w:tcPr>
            <w:tcW w:type="dxa" w:w="12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Time</w:t>
            </w:r>
          </w:p>
        </w:tc>
        <w:tc>
          <w:tcPr>
            <w:tcW w:type="dxa" w:w="2400"/>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5426"/>
            <w:tcBorders>
              <w:top w:val="single" w:color="E1E8EF" w:sz="1"/>
              <w:left w:val="single" w:color="E1E8EF" w:sz="1"/>
              <w:bottom w:val="single" w:color="E1E8EF" w:sz="1"/>
              <w:right w:val="single" w:color="E1E8EF" w:sz="1"/>
            </w:tcBorders>
            <w:shd w:fill="1E2D3D" w:val="clear"/>
            <w:tcMar>
              <w:top w:type="dxa" w:w="80"/>
              <w:left w:type="dxa" w:w="140"/>
              <w:bottom w:type="dxa" w:w="80"/>
              <w:right w:type="dxa" w:w="140"/>
            </w:tcMar>
          </w:tcPr>
          <w:p>
            <w:r>
              <w:rPr>
                <w:rFonts w:ascii="Arial" w:cs="Arial" w:eastAsia="Arial" w:hAnsi="Arial"/>
                <w:b/>
                <w:bCs/>
                <w:color w:val="FFFFFF"/>
                <w:sz w:val="20"/>
                <w:szCs w:val="20"/>
              </w:rPr>
              <w:t xml:space="preserve">Content</w:t>
            </w:r>
          </w:p>
        </w:tc>
      </w:tr>
      <w:tr>
        <w:tc>
          <w:tcPr>
            <w:tcW w:type="dxa" w:w="1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0-2 min</w:t>
            </w:r>
          </w:p>
        </w:tc>
        <w:tc>
          <w:tcPr>
            <w:tcW w:type="dxa" w:w="24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Hook: NuTeLa Push</w:t>
            </w:r>
          </w:p>
        </w:tc>
        <w:tc>
          <w:tcPr>
            <w:tcW w:type="dxa" w:w="54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Open dashboard. NuTeLa queue visible. Click first task. Show questionnaire. Answer 2 questions. Score updates.</w:t>
            </w:r>
          </w:p>
        </w:tc>
      </w:tr>
      <w:tr>
        <w:tc>
          <w:tcPr>
            <w:tcW w:type="dxa" w:w="12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2-6 min</w:t>
            </w:r>
          </w:p>
        </w:tc>
        <w:tc>
          <w:tcPr>
            <w:tcW w:type="dxa" w:w="24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Risk Register</w:t>
            </w:r>
          </w:p>
        </w:tc>
        <w:tc>
          <w:tcPr>
            <w:tcW w:type="dxa" w:w="54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Navigate to Risk Register. Show 12 risks with inherent/residual scores. Click one risk → show regulation tag → click tag → jump to regulation. Flow B.</w:t>
            </w:r>
          </w:p>
        </w:tc>
      </w:tr>
      <w:tr>
        <w:tc>
          <w:tcPr>
            <w:tcW w:type="dxa" w:w="1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6-10 min</w:t>
            </w:r>
          </w:p>
        </w:tc>
        <w:tc>
          <w:tcPr>
            <w:tcW w:type="dxa" w:w="24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Regulation Navigator</w:t>
            </w:r>
          </w:p>
        </w:tc>
        <w:tc>
          <w:tcPr>
            <w:tcW w:type="dxa" w:w="54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Show ISA Circular 2024-10-2. Click Section 2(א) → see features → see evidence. Flow A.</w:t>
            </w:r>
          </w:p>
        </w:tc>
      </w:tr>
      <w:tr>
        <w:tc>
          <w:tcPr>
            <w:tcW w:type="dxa" w:w="12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10-14 min</w:t>
            </w:r>
          </w:p>
        </w:tc>
        <w:tc>
          <w:tcPr>
            <w:tcW w:type="dxa" w:w="24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Templates</w:t>
            </w:r>
          </w:p>
        </w:tc>
        <w:tc>
          <w:tcPr>
            <w:tcW w:type="dxa" w:w="54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Open document templates. Show company name and logo already filled in. Generate a one-click board report preview.</w:t>
            </w:r>
          </w:p>
        </w:tc>
      </w:tr>
      <w:tr>
        <w:tc>
          <w:tcPr>
            <w:tcW w:type="dxa" w:w="12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14-18 min</w:t>
            </w:r>
          </w:p>
        </w:tc>
        <w:tc>
          <w:tcPr>
            <w:tcW w:type="dxa" w:w="2400"/>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Onboarding Replay</w:t>
            </w:r>
          </w:p>
        </w:tc>
        <w:tc>
          <w:tcPr>
            <w:tcW w:type="dxa" w:w="5426"/>
            <w:tcBorders>
              <w:top w:val="single" w:color="E1E8EF" w:sz="1"/>
              <w:left w:val="single" w:color="E1E8EF" w:sz="1"/>
              <w:bottom w:val="single" w:color="E1E8EF" w:sz="1"/>
              <w:right w:val="single" w:color="E1E8EF" w:sz="1"/>
            </w:tcBorders>
            <w:shd w:fill="FFFFFF" w:val="clear"/>
            <w:tcMar>
              <w:top w:type="dxa" w:w="80"/>
              <w:left w:type="dxa" w:w="140"/>
              <w:bottom w:type="dxa" w:w="80"/>
              <w:right w:type="dxa" w:w="140"/>
            </w:tcMar>
          </w:tcPr>
          <w:p>
            <w:r>
              <w:rPr>
                <w:rFonts w:ascii="Arial" w:cs="Arial" w:eastAsia="Arial" w:hAnsi="Arial"/>
                <w:color w:val="1A2332"/>
                <w:sz w:val="20"/>
                <w:szCs w:val="20"/>
              </w:rPr>
              <w:t xml:space="preserve">Walk through onboarding wizard steps 1-3 quickly. Emphasize zero day-one setup — system is live from minute one.</w:t>
            </w:r>
          </w:p>
        </w:tc>
      </w:tr>
      <w:tr>
        <w:tc>
          <w:tcPr>
            <w:tcW w:type="dxa" w:w="12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18-20 min</w:t>
            </w:r>
          </w:p>
        </w:tc>
        <w:tc>
          <w:tcPr>
            <w:tcW w:type="dxa" w:w="2400"/>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Q&amp;A + Pricing</w:t>
            </w:r>
          </w:p>
        </w:tc>
        <w:tc>
          <w:tcPr>
            <w:tcW w:type="dxa" w:w="5426"/>
            <w:tcBorders>
              <w:top w:val="single" w:color="E1E8EF" w:sz="1"/>
              <w:left w:val="single" w:color="E1E8EF" w:sz="1"/>
              <w:bottom w:val="single" w:color="E1E8EF" w:sz="1"/>
              <w:right w:val="single" w:color="E1E8EF" w:sz="1"/>
            </w:tcBorders>
            <w:shd w:fill="EBF4FA" w:val="clear"/>
            <w:tcMar>
              <w:top w:type="dxa" w:w="80"/>
              <w:left w:type="dxa" w:w="140"/>
              <w:bottom w:type="dxa" w:w="80"/>
              <w:right w:type="dxa" w:w="140"/>
            </w:tcMar>
          </w:tcPr>
          <w:p>
            <w:r>
              <w:rPr>
                <w:rFonts w:ascii="Arial" w:cs="Arial" w:eastAsia="Arial" w:hAnsi="Arial"/>
                <w:color w:val="1A2332"/>
                <w:sz w:val="20"/>
                <w:szCs w:val="20"/>
              </w:rPr>
              <w:t xml:space="preserve">Answer questions. Show Pro tier features. Discuss next steps.</w:t>
            </w:r>
          </w:p>
        </w:tc>
      </w:tr>
    </w:tbl>
    <w:p>
      <w:pPr>
        <w:spacing w:before="160" w:after="0"/>
      </w:pPr>
    </w:p>
    <w:p>
      <w:pPr>
        <w:pStyle w:val="Heading2"/>
        <w:spacing w:before="260" w:after="100"/>
      </w:pPr>
      <w:r>
        <w:rPr>
          <w:rFonts w:ascii="Arial" w:cs="Arial" w:eastAsia="Arial" w:hAnsi="Arial"/>
          <w:b/>
          <w:bCs/>
          <w:color w:val="4A8EC2"/>
          <w:sz w:val="26"/>
          <w:szCs w:val="26"/>
        </w:rPr>
        <w:t xml:space="preserve">6.2 CEO Demo (5-10 min)</w:t>
      </w:r>
    </w:p>
    <w:p>
      <w:pPr>
        <w:pStyle w:val="ListParagraph"/>
        <w:numPr>
          <w:ilvl w:val="0"/>
          <w:numId w:val="2"/>
        </w:numPr>
        <w:spacing w:before="60" w:after="60"/>
      </w:pPr>
      <w:r>
        <w:rPr>
          <w:rFonts w:ascii="Arial" w:cs="Arial" w:eastAsia="Arial" w:hAnsi="Arial"/>
          <w:color w:val="1A2332"/>
          <w:sz w:val="22"/>
          <w:szCs w:val="22"/>
        </w:rPr>
        <w:t xml:space="preserve">Open dashboard: 62% compliance score. Module gauges. Explain what the number means for ISA audit risk.</w:t>
      </w:r>
    </w:p>
    <w:p>
      <w:pPr>
        <w:pStyle w:val="ListParagraph"/>
        <w:numPr>
          <w:ilvl w:val="0"/>
          <w:numId w:val="2"/>
        </w:numPr>
        <w:spacing w:before="60" w:after="60"/>
      </w:pPr>
      <w:r>
        <w:rPr>
          <w:rFonts w:ascii="Arial" w:cs="Arial" w:eastAsia="Arial" w:hAnsi="Arial"/>
          <w:color w:val="1A2332"/>
          <w:sz w:val="22"/>
          <w:szCs w:val="22"/>
        </w:rPr>
        <w:t xml:space="preserve">Click red module (Business Continuity, 45%): Show exactly what regulation sections are unmet and what's needed.</w:t>
      </w:r>
    </w:p>
    <w:p>
      <w:pPr>
        <w:pStyle w:val="ListParagraph"/>
        <w:numPr>
          <w:ilvl w:val="0"/>
          <w:numId w:val="2"/>
        </w:numPr>
        <w:spacing w:before="60" w:after="60"/>
      </w:pPr>
      <w:r>
        <w:rPr>
          <w:rFonts w:ascii="Arial" w:cs="Arial" w:eastAsia="Arial" w:hAnsi="Arial"/>
          <w:color w:val="1A2332"/>
          <w:sz w:val="22"/>
          <w:szCs w:val="22"/>
        </w:rPr>
        <w:t xml:space="preserve">NuTeLa inline: Show NuTeLa offering to fix the gap with a questionnaire. Emphasize: your Risk Manager handles this — you just see the status.</w:t>
      </w:r>
    </w:p>
    <w:p>
      <w:pPr>
        <w:pStyle w:val="ListParagraph"/>
        <w:numPr>
          <w:ilvl w:val="0"/>
          <w:numId w:val="2"/>
        </w:numPr>
        <w:spacing w:before="60" w:after="60"/>
      </w:pPr>
      <w:r>
        <w:rPr>
          <w:rFonts w:ascii="Arial" w:cs="Arial" w:eastAsia="Arial" w:hAnsi="Arial"/>
          <w:color w:val="1A2332"/>
          <w:sz w:val="22"/>
          <w:szCs w:val="22"/>
        </w:rPr>
        <w:t xml:space="preserve">Board report: One click to generate the quarterly board compliance report. CEO reviews, approves, done.</w:t>
      </w:r>
    </w:p>
    <w:p>
      <w:pPr>
        <w:spacing w:before="160" w:after="0"/>
      </w:pPr>
    </w:p>
    <w:p>
      <w:pPr>
        <w:pStyle w:val="Heading2"/>
        <w:spacing w:before="260" w:after="100"/>
      </w:pPr>
      <w:r>
        <w:rPr>
          <w:rFonts w:ascii="Arial" w:cs="Arial" w:eastAsia="Arial" w:hAnsi="Arial"/>
          <w:b/>
          <w:bCs/>
          <w:color w:val="4A8EC2"/>
          <w:sz w:val="26"/>
          <w:szCs w:val="26"/>
        </w:rPr>
        <w:t xml:space="preserve">6.3 Auditor Demo (10 min)</w:t>
      </w:r>
    </w:p>
    <w:p>
      <w:pPr>
        <w:pStyle w:val="ListParagraph"/>
        <w:numPr>
          <w:ilvl w:val="0"/>
          <w:numId w:val="2"/>
        </w:numPr>
        <w:spacing w:before="60" w:after="60"/>
      </w:pPr>
      <w:r>
        <w:rPr>
          <w:rFonts w:ascii="Arial" w:cs="Arial" w:eastAsia="Arial" w:hAnsi="Arial"/>
          <w:color w:val="1A2332"/>
          <w:sz w:val="22"/>
          <w:szCs w:val="22"/>
        </w:rPr>
        <w:t xml:space="preserve">Go directly to Regulation Navigator. This is their interface.</w:t>
      </w:r>
    </w:p>
    <w:p>
      <w:pPr>
        <w:pStyle w:val="ListParagraph"/>
        <w:numPr>
          <w:ilvl w:val="0"/>
          <w:numId w:val="2"/>
        </w:numPr>
        <w:spacing w:before="60" w:after="60"/>
      </w:pPr>
      <w:r>
        <w:rPr>
          <w:rFonts w:ascii="Arial" w:cs="Arial" w:eastAsia="Arial" w:hAnsi="Arial"/>
          <w:color w:val="1A2332"/>
          <w:sz w:val="22"/>
          <w:szCs w:val="22"/>
        </w:rPr>
        <w:t xml:space="preserve">Click any section of Circular 2022-10-9 (Cyber). Show feature linkage. Show evidence documents.</w:t>
      </w:r>
    </w:p>
    <w:p>
      <w:pPr>
        <w:pStyle w:val="ListParagraph"/>
        <w:numPr>
          <w:ilvl w:val="0"/>
          <w:numId w:val="2"/>
        </w:numPr>
        <w:spacing w:before="60" w:after="60"/>
      </w:pPr>
      <w:r>
        <w:rPr>
          <w:rFonts w:ascii="Arial" w:cs="Arial" w:eastAsia="Arial" w:hAnsi="Arial"/>
          <w:color w:val="1A2332"/>
          <w:sz w:val="22"/>
          <w:szCs w:val="22"/>
        </w:rPr>
        <w:t xml:space="preserve">Open Risk Register. Show regulation tag on any risk. Click tag. Show the circle: regulation → risk → control → evidence → regulation.</w:t>
      </w:r>
    </w:p>
    <w:p>
      <w:pPr>
        <w:pStyle w:val="ListParagraph"/>
        <w:numPr>
          <w:ilvl w:val="0"/>
          <w:numId w:val="2"/>
        </w:numPr>
        <w:spacing w:before="60" w:after="60"/>
      </w:pPr>
      <w:r>
        <w:rPr>
          <w:rFonts w:ascii="Arial" w:cs="Arial" w:eastAsia="Arial" w:hAnsi="Arial"/>
          <w:color w:val="1A2332"/>
          <w:sz w:val="22"/>
          <w:szCs w:val="22"/>
        </w:rPr>
        <w:t xml:space="preserve">Show audit trail: every action timestamped, every document versioned, every change logged.</w:t>
      </w:r>
    </w:p>
    <w:p>
      <w:pPr>
        <w:pStyle w:val="ListParagraph"/>
        <w:numPr>
          <w:ilvl w:val="0"/>
          <w:numId w:val="2"/>
        </w:numPr>
        <w:spacing w:before="60" w:after="60"/>
      </w:pPr>
      <w:r>
        <w:rPr>
          <w:rFonts w:ascii="Arial" w:cs="Arial" w:eastAsia="Arial" w:hAnsi="Arial"/>
          <w:color w:val="1A2332"/>
          <w:sz w:val="22"/>
          <w:szCs w:val="22"/>
        </w:rPr>
        <w:t xml:space="preserve">Emphasize: this platform doesn't just help manage risks — it generates audit-ready proof automatically.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96A6"/>
        <w:sz w:val="18"/>
        <w:szCs w:val="18"/>
      </w:rPr>
      <w:t xml:space="preserve">Page </w:t>
    </w:r>
    <w:r>
      <w:rPr>
        <w:rFonts w:ascii="Arial" w:cs="Arial" w:eastAsia="Arial" w:hAnsi="Arial"/>
        <w:color w:val="8896A6"/>
        <w:sz w:val="18"/>
        <w:szCs w:val="18"/>
      </w:rPr>
      <w:fldChar w:fldCharType="begin"/>
      <w:instrText xml:space="preserve">PAGE</w:instrText>
      <w:fldChar w:fldCharType="separate"/>
      <w:fldChar w:fldCharType="end"/>
    </w:r>
    <w:r>
      <w:rPr>
        <w:rFonts w:ascii="Arial" w:cs="Arial" w:eastAsia="Arial" w:hAnsi="Arial"/>
        <w:color w:val="8896A6"/>
        <w:sz w:val="18"/>
        <w:szCs w:val="18"/>
      </w:rPr>
      <w:t xml:space="preserve">  |  RiskGuard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8EC2" w:sz="4" w:space="4"/>
      </w:pBdr>
      <w:tabs>
        <w:tab w:val="right" w:pos="9026"/>
      </w:tabs>
    </w:pPr>
    <w:r>
      <w:rPr>
        <w:rFonts w:ascii="Arial" w:cs="Arial" w:eastAsia="Arial" w:hAnsi="Arial"/>
        <w:color w:val="8896A6"/>
        <w:sz w:val="18"/>
        <w:szCs w:val="18"/>
      </w:rPr>
      <w:t xml:space="preserve">RiskGuard — Demo &amp; Onboarding Specification v2.0</w:t>
    </w:r>
    <w:r>
      <w:rPr>
        <w:rFonts w:ascii="Arial" w:cs="Arial" w:eastAsia="Arial" w:hAnsi="Arial"/>
        <w:color w:val="8896A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600" w:hanging="300"/>
      </w:pPr>
    </w:lvl>
  </w:abstractNum>
  <w:abstractNum w:abstractNumId="3" w15:restartNumberingAfterBreak="0">
    <w:multiLevelType w:val="hybridMultilevel"/>
    <w:lvl w:ilvl="0" w15:tentative="1">
      <w:start w:val="1"/>
      <w:numFmt w:val="bullet"/>
      <w:lvlText w:val="–"/>
      <w:lvlJc w:val="left"/>
      <w:pPr>
        <w:spacing w:before="40" w:after="40"/>
        <w:ind w:left="900" w:hanging="300"/>
      </w:pPr>
    </w:lvl>
  </w:abstractNum>
  <w:abstractNum w:abstractNumId="4" w15:restartNumberingAfterBreak="0">
    <w:multiLevelType w:val="hybridMultilevel"/>
    <w:lvl w:ilvl="0" w15:tentative="1">
      <w:start w:val="1"/>
      <w:numFmt w:val="decimal"/>
      <w:lvlText w:val="%1."/>
      <w:lvlJc w:val="left"/>
      <w:pPr>
        <w:spacing w:before="80" w:after="80"/>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A8EC2" w:sz="4" w:space="4"/>
      </w:pBdr>
      <w:spacing w:before="340" w:after="120"/>
      <w:outlineLvl w:val="0"/>
    </w:pPr>
    <w:rPr>
      <w:rFonts w:ascii="Arial" w:cs="Arial" w:eastAsia="Arial" w:hAnsi="Arial"/>
      <w:b/>
      <w:bCs/>
      <w:color w:val="1E2D3D"/>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4A8EC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2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2026-02-19T10:38:45.712Z</dcterms:created>
  <dcterms:modified xsi:type="dcterms:W3CDTF">2026-02-19T10:38:45.713Z</dcterms:modified>
</cp:coreProperties>
</file>

<file path=docProps/custom.xml><?xml version="1.0" encoding="utf-8"?>
<Properties xmlns="http://schemas.openxmlformats.org/officeDocument/2006/custom-properties" xmlns:vt="http://schemas.openxmlformats.org/officeDocument/2006/docPropsVTypes"/>
</file>