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D3D"/>
          <w:sz w:val="72"/>
          <w:szCs w:val="72"/>
        </w:rPr>
        <w:t xml:space="preserve">RiskGuard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8EC2"/>
          <w:sz w:val="36"/>
          <w:szCs w:val="36"/>
        </w:rPr>
        <w:t xml:space="preserve">Design System: Midnight Authority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96A6"/>
          <w:sz w:val="22"/>
          <w:szCs w:val="22"/>
        </w:rPr>
        <w:t xml:space="preserve">Document #3 of 6  —  Version 2.0  —  February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6"/>
              <w:left w:val="single" w:color="C0392B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IMMUTABLE DESIGN LOCK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design system defined in this document is LOCKED. It was finalized through the interactive demo build sessions and approved by Ernest. The corporate product must implement these specifications pixel-perfectly. No deviations, no 'improvements', no simplifications without explicit approval. The demo JSX (v11+) is the source of truth.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1. Design Philosophy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Midnight Authority design system communicates professionalism, regulatory authority, and technological sophistication. It is designed for a Risk Manager who must feel confident using this tool in front of a board of directors and during ISA audits.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Authority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Dark navy sidebar (#1E2D3D) conveys stability and trust. Not trendy — institutional.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Precision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Blue-teal gradient accents suggest technology and accuracy. Used sparingly.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Hebrew-Native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RTL first. All UI text in Hebrew. No translated feel — designed for the language.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Clarity over Complexity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Clean surfaces, white cards, generous whitespace. Compliance is complex — the UI must not add to that complexity.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Consistent Trust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Same colors, same components, same layout across all 18 screens. Predictability builds trust.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2. Color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6"/>
              <w:left w:val="single" w:color="C0392B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Exact Values Required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These are the exact hex values used in v11 JSX. Developers must use these exact values. Approximations are not acceptable.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2.1 Primary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Variable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#1E2D3D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navBg — Sidebar Background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Main navigation sidebar background. Used for all sidebar elements.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2A3F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#2A3F52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navHover — Sidebar Hover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Sidebar item hover state. Active/selected sidebar items.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4A8EC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#4A8EC2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accent — Primary Accent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buttons, links, active states, progress bars, badges. The brand blue.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5BB8C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#5BB8C9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accentTeal — Secondary Accent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Gradient pair with accent. Used in charts, secondary highlights, NuTeLa elements.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8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#E8F4FA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accentLight — Accent Background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Subtle accent background for cards, selected rows, info panels.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#F5F7FA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bg — Page Background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Main page background. All screens use this as the base.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surface — Card Surface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Card backgrounds, modal surfaces, sidebar panels.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A233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#1A2332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text — Primary Text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body text, labels, primary content.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4A556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#4A5568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textSec — Secondary Text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Secondary labels, subtitles, table secondary data.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8896A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#8896A6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textMuted — Muted Text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Timestamps, placeholder text, helper text, metadata.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1E8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#E1E8EF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border — Default Border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Card borders, table borders, dividers, input borders.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0F3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#F0F3F7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borderLight — Light Border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Subtle separators, hover backgrounds, zebra rows.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2.2 Semantic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13"/>
        <w:gridCol w:w="3413"/>
      </w:tblGrid>
      <w:tr>
        <w:trPr>
          <w:tblHeader/>
        </w:trP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2E8B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#2E8B57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B57"/>
                <w:sz w:val="20"/>
                <w:szCs w:val="20"/>
              </w:rPr>
              <w:t xml:space="preserve">success</w:t>
            </w:r>
          </w:p>
        </w:tc>
        <w:tc>
          <w:tcPr>
            <w:tcW w:type="dxa" w:w="2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F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#EFF8F2</w:t>
            </w:r>
          </w:p>
        </w:tc>
        <w:tc>
          <w:tcPr>
            <w:tcW w:type="dxa" w:w="3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Compliant status, completed tasks, approved items, passed checks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C89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#C8922A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warning</w:t>
            </w:r>
          </w:p>
        </w:tc>
        <w:tc>
          <w:tcPr>
            <w:tcW w:type="dxa" w:w="2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DF8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#FDF8ED</w:t>
            </w:r>
          </w:p>
        </w:tc>
        <w:tc>
          <w:tcPr>
            <w:tcW w:type="dxa" w:w="3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In-progress status, medium risk, attention needed, partial compliance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#C0392B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danger</w:t>
            </w:r>
          </w:p>
        </w:tc>
        <w:tc>
          <w:tcPr>
            <w:tcW w:type="dxa" w:w="2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DF0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#FDF0EE</w:t>
            </w:r>
          </w:p>
        </w:tc>
        <w:tc>
          <w:tcPr>
            <w:tcW w:type="dxa" w:w="3413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High risk, regulatory gap, overdue task, critical alert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2.3 Gradient — The Brand Signature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blue-teal gradient is used for primary CTAs, progress indicators, and NuTeLa elements. It is the most recognizable visual element of the brand.</w:t>
      </w:r>
    </w:p>
    <w:p>
      <w:pPr>
        <w:spacing w:before="80" w:after="0"/>
      </w:pP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E2D3D"/>
          <w:sz w:val="20"/>
          <w:szCs w:val="20"/>
        </w:rPr>
        <w:t xml:space="preserve">accentGrad: linear-gradient(135deg, #4A8EC2, #5BB8C9)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Usage: Primary action buttons, NuTeLa avatar background, selected sidebar items, chart fill, active progress bars. Never use gradient on text. Never use it on large background areas.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3.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Size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/ Usage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Page Title (H1)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24px / 48pt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text (#1A2332). Screen titles, module names.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Section Title (H2)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18px / 36pt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(#1E2D3D). Card headers, panel titles.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Sub-heading (H3)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14px / 28pt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accent (#4A8EC2). Sub-sections, group labels.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13px / 26pt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text (#1A2332). All body content, descriptions.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12px / 24pt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textSec (#4A5568). Form labels, table headers.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Helper / Timestamp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11px / 22pt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textMuted (#8896A6). Metadata, helper text.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11px / 22pt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Varies by semantic color. Always uppercase.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KPI Number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32px / 64pt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text (#1A2332). Dashboard KPI values.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Font family: System font stack — prefer 'Inter', then '-apple-system', 'BlinkMacSystemFont', 'Segoe UI', 'Arial'. Hebrew text uses 'Assistant' font for best RTL rendering when available.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Direction: All UI is RTL (dir='rtl'). Text alignment defaults to right. Exceptions: charts and numeric data align left for readability.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4. Layout System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4.1 Shell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Sidebar (collapsed)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64px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Icon-only mode. Logo at top, navigation icons, collapse toggle at bottom.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Sidebar (expanded)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240px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Logo + company name, full navigation labels, NuTeLa indicator, user profile at bottom.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Top Bar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 width, 56px height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Screen title (H1), breadcrumb, notification bell, user avatar. Sticky.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Remaining width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Padding: 24px. Max content width: 1400px. Background: #F5F7FA.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Bubble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Fixed, bottom-right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52px circle. Gradient background. 20px from bottom and right edges. Always on top (z-index: 9999).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4.2 Sidebar Navigation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(Hebrew)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(English)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/ Notes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לוח בקרה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LayoutDashboard icon. Always first. Shows compliance score and NuTeLa queue.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ממשל סיכונים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Shield icon. Governance policies, risk officer profile.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סיכון תפעולי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BarChart3 icon. Risk register with 30 pre-seeded risks.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מיקור חוץ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Handshake icon. Vendor management, third-party risk.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המשכיות עסקית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ShieldCheck icon. BCP, BIA, DR planning.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ממשל סייבר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Governance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Lock icon. Cyber policy, CISO role, asset register.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הגנת סייבר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Protection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ShieldAlert icon. Controls, pen test, vulnerability management.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אירועי סייבר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Incidents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Zap icon. Incident log, ISA reporting, post-mortems.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דוחות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Reports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FileText icon. Board reports, ISA reports, templates (31 total).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רגולציה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 Navigator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BookOpen icon. ISA circulars with feature+evidence linkage.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ניהול דירקטוריון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Board Management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Users icon (PRO badge). Board member profiles, meeting management.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סיכון אשראי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CreditCard icon (PRO badge). Credit risk module — Pro exclusive.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 Dashboard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Gauge icon (PRO badge). Key Risk Indicators — Pro exclusive.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הגדרות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Settings</w:t>
            </w:r>
          </w:p>
        </w:tc>
        <w:tc>
          <w:tcPr>
            <w:tcW w:type="dxa" w:w="47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Settings icon. Billing, users, profile, integrations.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4.3 Card Component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Cards are the primary content container across all screens: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Background: #FFFFFF (white)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Border: 1px solid #E1E8EF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Box shadow: 0 1px 3px rgba(0,0,0,0.08)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Padding: 20px (standard) / 16px (compact) / 24px (dashboard KPI cards)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Card header: 14px bold, text (#1A2332). Optional subtitle: 12px muted (#8896A6).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Hover state (clickable cards): box-shadow 0 4px 12px rgba(74,142,194,0.15)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4.4 KPI Dashboard Cards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Top of dashboard. 4 cards in a row. Each card: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Icon: 40x40px, rounded 10px, accent-light background, accent-color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KPI Number: 32px bold, text color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KPI Label: 12px muted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Trend indicator: ArrowUpRight (success green) or ArrowDownRight (danger 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Bottom border: 3px, semantic color (success/warning/danger based on KPI status)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5. NuTeLa Visual Design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NuTeLa's visual identity is distinct from the rest of the UI — it signals AI, energy, and proactivity while remaining integrated with the Midnight Authority palette.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5.1 Avatar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Shape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Egg / oval shape — wider at bottom, slightly narrower at top. Not circular.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Size (floating bubble)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52x52px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Size (inline panel header)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40x40px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Size (push queue task)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28x28px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Background gradient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linear-gradient(135deg, #00D4FF, #FF6B9D) — cyan to pink. Vivid, electric.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Border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2px solid rgba(255,255,255,0.3) — glassmorphic rim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Glow effect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box-shadow: 0 0 20px rgba(0,212,255,0.4), 0 0 40px rgba(255,107,157,0.2)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Two eyes (white circles with dark pupils, 30% down from center). Neutral-friendly expression.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Animation (idle)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Gentle float: translateY(-3px) and back, 3s ease-in-out infinite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Animation (active)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Pulse glow: box-shadow cycles from 20px to 30px, 1.5s infinite — indicates pending task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Name label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— displayed in 11px bold, gradient text, below avatar in inline panels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5.2 NuTeLa Floating Bubble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floating bubble is always present on every screen: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Position: fixed, bottom: 20px, left: 20px (RTL — left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Z-index: 9999 (always on 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When closed: egg avatar with idle float animation. Notification dot (red, 8px) when tasks pending.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On hover: scale(1.1), 0.2s transition. Cursor: pointer.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On click: expands into floating panel (320px wide, 450px tall) above the bubble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Panel shows: NuTeLa avatar header, task queue list, or chat interface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5.3 Questionnaire / Push Panel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When a NuTeLa questionnaire is opened: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Opens as full-screen overlay (not modal) — 100vw, 100vh, z-index 10000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Background: semi-transparent dark (#0F172A at 95% opacity) for focus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Content card: white, 640px max-width, centered, 24px padding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Header: NuTeLa avatar (40px) + task name + progress bar (steps X/Y)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Questions auto-advance on selection — no 'Next' button needed for single-choice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Final screen: completion animation + summary of what was updated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6. Component Specifications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6.1 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accentGrad background, white text, 8px radius, 10px 20px padding</w:t>
            </w:r>
          </w:p>
        </w:tc>
        <w:tc>
          <w:tcPr>
            <w:tcW w:type="dxa" w:w="4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Main CTA: Save, Generate, Submit, Launch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Secondary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White background, accent border (1px), accent text</w:t>
            </w:r>
          </w:p>
        </w:tc>
        <w:tc>
          <w:tcPr>
            <w:tcW w:type="dxa" w:w="4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Back, Cancel, Secondary actions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Ghost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Transparent background, muted text, no border</w:t>
            </w:r>
          </w:p>
        </w:tc>
        <w:tc>
          <w:tcPr>
            <w:tcW w:type="dxa" w:w="4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Skip, Dismiss, Low-priority actions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Danger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danger color background, white text</w:t>
            </w:r>
          </w:p>
        </w:tc>
        <w:tc>
          <w:tcPr>
            <w:tcW w:type="dxa" w:w="4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Delete, Remove — destructive actions only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Icon Button</w:t>
            </w:r>
          </w:p>
        </w:tc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36x36px square, 8px radius, borderLight background</w:t>
            </w:r>
          </w:p>
        </w:tc>
        <w:tc>
          <w:tcPr>
            <w:tcW w:type="dxa" w:w="4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Filter, Sort, Export, View toggle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6.2 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(Hebrew)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(English)</w:t>
            </w:r>
          </w:p>
        </w:tc>
        <w:tc>
          <w:tcPr>
            <w:tcW w:type="dxa" w:w="5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 Style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פתוח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Open</w:t>
            </w:r>
          </w:p>
        </w:tc>
        <w:tc>
          <w:tcPr>
            <w:tcW w:type="dxa" w:w="5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danger background (#FDF0EE), danger text (#C0392B), 4px radius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מטופל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warning background (#FDF8ED), warning text (#C8922A), 4px radius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סגור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Closed</w:t>
            </w:r>
          </w:p>
        </w:tc>
        <w:tc>
          <w:tcPr>
            <w:tcW w:type="dxa" w:w="5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success background (#EFF8F2), success text (#2E8B57), 4px radius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Feature</w:t>
            </w:r>
          </w:p>
        </w:tc>
        <w:tc>
          <w:tcPr>
            <w:tcW w:type="dxa" w:w="5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accentGrad background, white text, 4px radius, Crown icon</w:t>
            </w:r>
          </w:p>
        </w:tc>
      </w:tr>
      <w:tr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קריטי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Critical</w:t>
            </w:r>
          </w:p>
        </w:tc>
        <w:tc>
          <w:tcPr>
            <w:tcW w:type="dxa" w:w="50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danger (#C0392B) solid background, white text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6.3 Risk Heat Matrix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5x5 risk matrix (Probability × Impact) uses this exact color scale: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7CB5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#7CB5A0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זניח (Negligible) — Level 1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Score 1. Lowest risk category.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2E8B5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#2E8B57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נמוך (Low) — Level 2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Score 2. Acceptable risk.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C892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#C8922A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בינוני (Medium) — Level 3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Score 3. Requires monitoring.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8875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#E8875B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גבוה (High) — Level 4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Score 4. Requires treatment plan.</w:t>
            </w:r>
          </w:p>
        </w:tc>
      </w:tr>
      <w:tr>
        <w:tc>
          <w:tcPr>
            <w:tcW w:type="dxa" w:w="1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#C0392B</w:t>
            </w:r>
          </w:p>
        </w:tc>
        <w:tc>
          <w:tcPr>
            <w:tcW w:type="dxa" w:w="2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קריטי (Critical) — Level 5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Score 5. Immediate action required.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8EC2" w:sz="6"/>
              <w:left w:val="single" w:color="4A8EC2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EC2"/>
                <w:sz w:val="20"/>
                <w:szCs w:val="20"/>
              </w:rPr>
              <w:t xml:space="preserve">Residual Risk Matrix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platform calculates residual risk automatically using: MATRIX[inherent_score][avg_control_effectiveness] = residual_score. This 5x5 lookup table is embedded in the JSX and must remain identical in the production system.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7. Hebrew RTL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All container elements use dir='rtl'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Sidebar: icons on right side of label text (RTL natural)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Forms: labels right-aligned, inputs right-to-left text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Tables: columns read right-to-left. First column (leftmost in DOM) is the last data column visually.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Pagination: next page button is on the left (RTL forward direction)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Breadcrumbs: flow right to left with &gt; separator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Date formats: DD/MM/YYYY (Israeli standard)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Number formatting: Hebrew numeric grouping (1,234.56 — period as decimal, comma as thousands)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Sidebar collapse animation: slides to right (RTL: offscreen means 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bubble: positioned bottom-LEFT (LTR: bottom-right = most prominent; RTL: bottom-left = most prominent)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6A6"/>
        <w:sz w:val="18"/>
        <w:szCs w:val="18"/>
      </w:rPr>
      <w:t xml:space="preserve">Page </w:t>
    </w:r>
    <w:r>
      <w:rPr>
        <w:rFonts w:ascii="Arial" w:cs="Arial" w:eastAsia="Arial" w:hAnsi="Arial"/>
        <w:color w:val="889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A6"/>
        <w:sz w:val="18"/>
        <w:szCs w:val="18"/>
      </w:rPr>
      <w:t xml:space="preserve">  |  RiskGuard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EC2" w:sz="4" w:space="4"/>
      </w:pBdr>
      <w:tabs>
        <w:tab w:val="right" w:pos="9026"/>
      </w:tabs>
    </w:pPr>
    <w:r>
      <w:rPr>
        <w:rFonts w:ascii="Arial" w:cs="Arial" w:eastAsia="Arial" w:hAnsi="Arial"/>
        <w:color w:val="8896A6"/>
        <w:sz w:val="18"/>
        <w:szCs w:val="18"/>
      </w:rPr>
      <w:t xml:space="preserve">RiskGuard — Design System v2.0 (Midnight Authority)</w:t>
    </w:r>
    <w:r>
      <w:rPr>
        <w:rFonts w:ascii="Arial" w:cs="Arial" w:eastAsia="Arial" w:hAnsi="Arial"/>
        <w:color w:val="8896A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EC2" w:sz="4" w:space="4"/>
      </w:pBdr>
      <w:spacing w:before="340" w:after="120"/>
      <w:outlineLvl w:val="0"/>
    </w:pPr>
    <w:rPr>
      <w:rFonts w:ascii="Arial" w:cs="Arial" w:eastAsia="Arial" w:hAnsi="Arial"/>
      <w:b/>
      <w:bCs/>
      <w:color w:val="1E2D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4A8EC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2026-02-19T10:41:27.234Z</dcterms:created>
  <dcterms:modified xsi:type="dcterms:W3CDTF">2026-02-19T10:41:27.236Z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