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0"/>
      </w:pP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E2D3D"/>
          <w:sz w:val="72"/>
          <w:szCs w:val="72"/>
        </w:rPr>
        <w:t xml:space="preserve">RiskGuard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4A8EC2"/>
          <w:sz w:val="36"/>
          <w:szCs w:val="36"/>
        </w:rPr>
        <w:t xml:space="preserve">Product Requirements Document</w:t>
      </w:r>
    </w:p>
    <w:p>
      <w:pPr>
        <w:spacing w:before="0" w:after="200"/>
        <w:jc w:val="center"/>
      </w:pPr>
      <w:r>
        <w:rPr>
          <w:rFonts w:ascii="Arial" w:cs="Arial" w:eastAsia="Arial" w:hAnsi="Arial"/>
          <w:i/>
          <w:iCs/>
          <w:color w:val="8896A6"/>
          <w:sz w:val="24"/>
          <w:szCs w:val="24"/>
        </w:rPr>
        <w:t xml:space="preserve">Regulatory Compliance Platform for Israeli Non-Bank Credit Institutions</w:t>
      </w:r>
    </w:p>
    <w:tbl>
      <w:tblPr>
        <w:tblW w:type="dxa" w:w="5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896A6"/>
                <w:sz w:val="20"/>
                <w:szCs w:val="20"/>
              </w:rPr>
              <w:t xml:space="preserve">Version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2.0 — Post-Demo Update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896A6"/>
                <w:sz w:val="20"/>
                <w:szCs w:val="20"/>
              </w:rPr>
              <w:t xml:space="preserve">Date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February 2026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896A6"/>
                <w:sz w:val="20"/>
                <w:szCs w:val="20"/>
              </w:rPr>
              <w:t xml:space="preserve">Status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Active — Incorporates Demo Decisions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896A6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Confidential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896A6"/>
                <w:sz w:val="20"/>
                <w:szCs w:val="20"/>
              </w:rPr>
              <w:t xml:space="preserve">Previous Version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1.0 (February 16, 2026)</w:t>
            </w:r>
          </w:p>
        </w:tc>
      </w:tr>
    </w:tbl>
    <w:p>
      <w:pPr>
        <w:spacing w:before="20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4A8EC2" w:sz="6"/>
              <w:left w:val="single" w:color="4A8EC2" w:sz="18"/>
              <w:bottom w:val="none" w:color="FFFFFF" w:sz="0"/>
              <w:right w:val="none" w:color="FFFFFF" w:sz="0"/>
            </w:tcBorders>
            <w:shd w:fill="F0F7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4A8EC2"/>
                <w:sz w:val="20"/>
                <w:szCs w:val="20"/>
              </w:rPr>
              <w:t xml:space="preserve">📋 Version 2.0 — What Changed</w:t>
            </w:r>
          </w:p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This version incorporates all decisions made during the interactive demo build sessions. Key updates: NuTeLa AI assistant architecture, push-first UX model, pixel-perfect design system lock, two-track demo strategy, and iterative development process formalization.</w:t>
            </w:r>
          </w:p>
        </w:tc>
      </w:tr>
    </w:tbl>
    <w:p>
      <w:r>
        <w:br w:type="page"/>
      </w:r>
    </w:p>
    <w:p>
      <w:pPr>
        <w:pStyle w:val="Heading1"/>
        <w:spacing w:before="340" w:after="120"/>
      </w:pPr>
      <w:r>
        <w:rPr>
          <w:rFonts w:ascii="Arial" w:cs="Arial" w:eastAsia="Arial" w:hAnsi="Arial"/>
          <w:b/>
          <w:bCs/>
          <w:color w:val="1E2D3D"/>
          <w:sz w:val="32"/>
          <w:szCs w:val="32"/>
        </w:rPr>
        <w:t xml:space="preserve">1. Executive Summary</w:t>
      </w:r>
    </w:p>
    <w:p>
      <w:pPr>
        <w:spacing w:before="80" w:after="8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RiskGuard is a cloud-based regulatory compliance platform purpose-built for Israeli non-bank credit institutions operating under the supervision of the Israel Securities Authority (ISA). The platform addresses a critical market gap: approximately 100 licensed institutions are required to comply with comprehensive risk management and cyber security regulations, yet no dedicated SaaS solution exists for this market segment.</w:t>
      </w:r>
    </w:p>
    <w:p>
      <w:pPr>
        <w:spacing w:before="160" w:after="0"/>
      </w:pPr>
    </w:p>
    <w:p>
      <w:pPr>
        <w:spacing w:before="80" w:after="8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The platform is distinguished by three core innovations: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NuTeLa AI Assistant — an embedded AI layer that monitors compliance status and proactively pushes guided questionnaires to users, eliminating the need for users to navigate the system independently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Regulation→Feature→Evidence Traceability — every entity in the system carries a traceability tuple (reg_id, section_ref, req_id), enabling complete audit proof in three clicks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Push-First UX — 80% of daily compliance work is delivered to the user through NuTeLa's task queue; modules exist for advanced users and auditors</w:t>
      </w:r>
    </w:p>
    <w:p>
      <w:pPr>
        <w:spacing w:before="160" w:after="0"/>
      </w:pPr>
    </w:p>
    <w:p>
      <w:pPr>
        <w:spacing w:before="80" w:after="8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The platform systematically translates two core ISA regulatory circulars into actionable, trackable compliance workflows: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General Risk Management: Circular 2022-10-7 as amended by Circular 2024-10-2, covering governance, operational risk, outsourcing, and business continuity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Cyber Risk Management: Circular 2022-10-9, covering cyber governance, risk assessment, protection measures, incident management, and third-party oversight</w:t>
      </w:r>
    </w:p>
    <w:p>
      <w:pPr>
        <w:spacing w:before="1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E2D3D" w:sz="6"/>
              <w:left w:val="single" w:color="1E2D3D" w:sz="18"/>
              <w:bottom w:val="none" w:color="FFFFFF" w:sz="0"/>
              <w:right w:val="none" w:color="FFFFFF" w:sz="0"/>
            </w:tcBorders>
            <w:shd w:fill="F0F7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E2D3D"/>
                <w:sz w:val="20"/>
                <w:szCs w:val="20"/>
              </w:rPr>
              <w:t xml:space="preserve">🎨 Design Principle: The Demo IS the Product</w:t>
            </w:r>
          </w:p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The interactive demo built in February 2026 (v11, 4,810 lines, 18 screens) IS the product design specification. The corporate product must be a pixel-perfect match to the demo — same colors, same components, same layout. No redesign. Developers implement exactly what the demo shows.</w:t>
            </w:r>
          </w:p>
        </w:tc>
      </w:tr>
    </w:tbl>
    <w:p>
      <w:pPr>
        <w:spacing w:before="160" w:after="0"/>
      </w:pPr>
    </w:p>
    <w:p>
      <w:pPr>
        <w:spacing w:before="80" w:after="8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Pricing targets 5,000 NIS/month (Pro tier) with a 3-tier model: Starter (3,500) / Pro (5,000) / Enterprise (8,000). The Pro tier's headline differentiators are Credit Risk module and KRI Dashboard. The MVP targets delivery within 3-4 months using an iterative AI-assisted development approach.</w:t>
      </w:r>
    </w:p>
    <w:p>
      <w:r>
        <w:br w:type="page"/>
      </w:r>
    </w:p>
    <w:p>
      <w:pPr>
        <w:pStyle w:val="Heading1"/>
        <w:spacing w:before="340" w:after="120"/>
      </w:pPr>
      <w:r>
        <w:rPr>
          <w:rFonts w:ascii="Arial" w:cs="Arial" w:eastAsia="Arial" w:hAnsi="Arial"/>
          <w:b/>
          <w:bCs/>
          <w:color w:val="1E2D3D"/>
          <w:sz w:val="32"/>
          <w:szCs w:val="32"/>
        </w:rPr>
        <w:t xml:space="preserve">2. Product Vision &amp; Strategy</w:t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4A8EC2"/>
          <w:sz w:val="26"/>
          <w:szCs w:val="26"/>
        </w:rPr>
        <w:t xml:space="preserve">2.1 Vision Statement</w:t>
      </w:r>
    </w:p>
    <w:p>
      <w:pPr>
        <w:spacing w:before="80" w:after="8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To become the default compliance operating system for non-bank financial institutions in Israel, making regulatory compliance accessible, affordable, and manageable through an AI-driven push model that requires minimal initiative from the user.</w:t>
      </w:r>
    </w:p>
    <w:p>
      <w:pPr>
        <w:spacing w:before="160" w:after="0"/>
      </w:pP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4A8EC2"/>
          <w:sz w:val="26"/>
          <w:szCs w:val="26"/>
        </w:rPr>
        <w:t xml:space="preserve">2.2 Problem Statement</w:t>
      </w:r>
    </w:p>
    <w:p>
      <w:pPr>
        <w:spacing w:before="80" w:after="8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Israeli non-bank credit institutions face a growing regulatory burden. The ISA has introduced comprehensive risk management requirements (Circular 2024-10-2) and cyber security mandates (Circular 2022-10-9) that demand structured governance, documentation, reporting, and continuous monitoring. These institutions typically have 5-20 employees and cannot afford enterprise GRC solutions designed for banks.</w:t>
      </w:r>
    </w:p>
    <w:p>
      <w:pPr>
        <w:spacing w:before="160" w:after="0"/>
      </w:pPr>
    </w:p>
    <w:p>
      <w:pPr>
        <w:spacing w:before="80" w:after="8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The deeper problem is not just tooling — it is cognitive load. The Risk Manager at a small institution wears multiple hats (often also CFO or compliance officer) and cannot afford to spend significant time learning and navigating a complex system. The system must come to them, not the other way around.</w:t>
      </w:r>
    </w:p>
    <w:p>
      <w:pPr>
        <w:spacing w:before="160" w:after="0"/>
      </w:pP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4A8EC2"/>
          <w:sz w:val="26"/>
          <w:szCs w:val="26"/>
        </w:rPr>
        <w:t xml:space="preserve">2.3 Solution Overview</w:t>
      </w:r>
    </w:p>
    <w:p>
      <w:pPr>
        <w:spacing w:before="80" w:after="8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RiskGuard solves this through a push-first architecture powered by NuTeLa: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NuTeLa AI Assistant monitors compliance status across all regulatory domains and proactively pushes guided questionnaires to the user when action is needed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80% of daily compliance work arrives through NuTeLa's push queue — users respond, they do not navigate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Pre-configured regulatory frameworks map every ISA requirement to specific tasks, documents, and controls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Smart Onboarding Wizard launches a fully operational compliance environment from day one — tasks created, templates ready, team invited, compliance score initialized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Complete audit trail with Regulation→Feature→Evidence traceability on every entity</w:t>
      </w:r>
    </w:p>
    <w:p>
      <w:pPr>
        <w:spacing w:before="160" w:after="0"/>
      </w:pP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4A8EC2"/>
          <w:sz w:val="26"/>
          <w:szCs w:val="26"/>
        </w:rPr>
        <w:t xml:space="preserve">2.4 Strategic Differentiators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1E2D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Differentiator</w:t>
            </w:r>
          </w:p>
        </w:tc>
        <w:tc>
          <w:tcPr>
            <w:tcW w:type="dxa" w:w="58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1E2D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NuTeLa Push Model</w:t>
            </w:r>
          </w:p>
        </w:tc>
        <w:tc>
          <w:tcPr>
            <w:tcW w:type="dxa" w:w="58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AI assistant delivers 80% of daily work to user. Compliance requires zero navigation initiative.</w:t>
            </w:r>
          </w:p>
        </w:tc>
      </w:tr>
      <w:tr>
        <w:tc>
          <w:tcPr>
            <w:tcW w:type="dxa" w:w="32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Regulation Traceability</w:t>
            </w:r>
          </w:p>
        </w:tc>
        <w:tc>
          <w:tcPr>
            <w:tcW w:type="dxa" w:w="58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Every entity tagged with (reg_id, section_ref, req_id). Auditor-ready proof in 3 clicks.</w:t>
            </w:r>
          </w:p>
        </w:tc>
      </w:tr>
      <w:tr>
        <w:tc>
          <w:tcPr>
            <w:tcW w:type="dxa" w:w="32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Zero Day-One Setup</w:t>
            </w:r>
          </w:p>
        </w:tc>
        <w:tc>
          <w:tcPr>
            <w:tcW w:type="dxa" w:w="58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Onboarding wizard initializes the entire platform. Users walk into a live compliance environment.</w:t>
            </w:r>
          </w:p>
        </w:tc>
      </w:tr>
      <w:tr>
        <w:tc>
          <w:tcPr>
            <w:tcW w:type="dxa" w:w="32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Demo = Product</w:t>
            </w:r>
          </w:p>
        </w:tc>
        <w:tc>
          <w:tcPr>
            <w:tcW w:type="dxa" w:w="58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Pixel-perfect design locked from demo. No design drift between prototype and production.</w:t>
            </w:r>
          </w:p>
        </w:tc>
      </w:tr>
      <w:tr>
        <w:tc>
          <w:tcPr>
            <w:tcW w:type="dxa" w:w="32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Hebrew-Native RTL</w:t>
            </w:r>
          </w:p>
        </w:tc>
        <w:tc>
          <w:tcPr>
            <w:tcW w:type="dxa" w:w="58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Built for Israeli market from ground up. Not translated, not adapted.</w:t>
            </w:r>
          </w:p>
        </w:tc>
      </w:tr>
      <w:tr>
        <w:tc>
          <w:tcPr>
            <w:tcW w:type="dxa" w:w="32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Affordable Pricing</w:t>
            </w:r>
          </w:p>
        </w:tc>
        <w:tc>
          <w:tcPr>
            <w:tcW w:type="dxa" w:w="58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3,500–8,000 NIS/month vs. enterprise GRC at 50,000+ NIS/month.</w:t>
            </w:r>
          </w:p>
        </w:tc>
      </w:tr>
    </w:tbl>
    <w:p>
      <w:r>
        <w:br w:type="page"/>
      </w:r>
    </w:p>
    <w:p>
      <w:pPr>
        <w:pStyle w:val="Heading1"/>
        <w:spacing w:before="340" w:after="120"/>
      </w:pPr>
      <w:r>
        <w:rPr>
          <w:rFonts w:ascii="Arial" w:cs="Arial" w:eastAsia="Arial" w:hAnsi="Arial"/>
          <w:b/>
          <w:bCs/>
          <w:color w:val="1E2D3D"/>
          <w:sz w:val="32"/>
          <w:szCs w:val="32"/>
        </w:rPr>
        <w:t xml:space="preserve">3. NuTeLa AI Assistant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5BB8C9" w:sz="6"/>
              <w:left w:val="single" w:color="5BB8C9" w:sz="18"/>
              <w:bottom w:val="none" w:color="FFFFFF" w:sz="0"/>
              <w:right w:val="none" w:color="FFFFFF" w:sz="0"/>
            </w:tcBorders>
            <w:shd w:fill="F0F7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5BB8C9"/>
                <w:sz w:val="20"/>
                <w:szCs w:val="20"/>
              </w:rPr>
              <w:t xml:space="preserve">Core Concept</w:t>
            </w:r>
          </w:p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NuTeLa is the system's AI layer. It monitors compliance status across all regulatory domains and proactively pushes guided questionnaires to users when action is required. NuTeLa is not a chatbot — it is the primary delivery mechanism for 80% of daily compliance work.</w:t>
            </w:r>
          </w:p>
        </w:tc>
      </w:tr>
    </w:tbl>
    <w:p>
      <w:pPr>
        <w:spacing w:before="160" w:after="0"/>
      </w:pP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4A8EC2"/>
          <w:sz w:val="26"/>
          <w:szCs w:val="26"/>
        </w:rPr>
        <w:t xml:space="preserve">3.1 NuTeLa Role Definition</w:t>
      </w:r>
    </w:p>
    <w:p>
      <w:pPr>
        <w:spacing w:before="80" w:after="8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NuTeLa (the platform's AI assistant) operates as an always-on compliance monitor. Its primary function is to: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Monitor the compliance status of all regulatory requirements across all modules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Detect when a requirement is due, overdue, incomplete, or approaching a deadline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Generate and push a guided questionnaire to the user with the exact information needed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Receive the user's responses and update the compliance record automatically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Provide contextual guidance inline within each module screen when relevant</w:t>
      </w:r>
    </w:p>
    <w:p>
      <w:pPr>
        <w:spacing w:before="160" w:after="0"/>
      </w:pP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4A8EC2"/>
          <w:sz w:val="26"/>
          <w:szCs w:val="26"/>
        </w:rPr>
        <w:t xml:space="preserve">3.2 Push-First Architecture</w:t>
      </w:r>
    </w:p>
    <w:p>
      <w:pPr>
        <w:spacing w:before="80" w:after="8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The push-first model is the defining architectural decision of RiskGuard. It means: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426"/>
      </w:tblGrid>
      <w:tr>
        <w:trPr>
          <w:tblHeader/>
        </w:trPr>
        <w:tc>
          <w:tcPr>
            <w:tcW w:type="dxa" w:w="24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1E2D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2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1E2D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Traditional GRC</w:t>
            </w:r>
          </w:p>
        </w:tc>
        <w:tc>
          <w:tcPr>
            <w:tcW w:type="dxa" w:w="34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1E2D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RiskGuard Push-First</w:t>
            </w:r>
          </w:p>
        </w:tc>
      </w:tr>
      <w:tr>
        <w:tc>
          <w:tcPr>
            <w:tcW w:type="dxa" w:w="24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Daily Interaction</w:t>
            </w:r>
          </w:p>
        </w:tc>
        <w:tc>
          <w:tcPr>
            <w:tcW w:type="dxa" w:w="32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User navigates to module, finds task, fills form</w:t>
            </w:r>
          </w:p>
        </w:tc>
        <w:tc>
          <w:tcPr>
            <w:tcW w:type="dxa" w:w="34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NuTeLa pushes questionnaire to user, user responds</w:t>
            </w:r>
          </w:p>
        </w:tc>
      </w:tr>
      <w:tr>
        <w:tc>
          <w:tcPr>
            <w:tcW w:type="dxa" w:w="24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User Initiative Required</w:t>
            </w:r>
          </w:p>
        </w:tc>
        <w:tc>
          <w:tcPr>
            <w:tcW w:type="dxa" w:w="32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High — user must know what to do and when</w:t>
            </w:r>
          </w:p>
        </w:tc>
        <w:tc>
          <w:tcPr>
            <w:tcW w:type="dxa" w:w="34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Minimal — system tells user exactly what to do</w:t>
            </w:r>
          </w:p>
        </w:tc>
      </w:tr>
      <w:tr>
        <w:tc>
          <w:tcPr>
            <w:tcW w:type="dxa" w:w="24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Module Navigation</w:t>
            </w:r>
          </w:p>
        </w:tc>
        <w:tc>
          <w:tcPr>
            <w:tcW w:type="dxa" w:w="32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Primary interface</w:t>
            </w:r>
          </w:p>
        </w:tc>
        <w:tc>
          <w:tcPr>
            <w:tcW w:type="dxa" w:w="34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For advanced users and auditors only</w:t>
            </w:r>
          </w:p>
        </w:tc>
      </w:tr>
      <w:tr>
        <w:tc>
          <w:tcPr>
            <w:tcW w:type="dxa" w:w="24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Compliance Coverage</w:t>
            </w:r>
          </w:p>
        </w:tc>
        <w:tc>
          <w:tcPr>
            <w:tcW w:type="dxa" w:w="32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Depends on user discipline</w:t>
            </w:r>
          </w:p>
        </w:tc>
        <w:tc>
          <w:tcPr>
            <w:tcW w:type="dxa" w:w="34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System-driven, deadline-aware, automatic</w:t>
            </w:r>
          </w:p>
        </w:tc>
      </w:tr>
      <w:tr>
        <w:tc>
          <w:tcPr>
            <w:tcW w:type="dxa" w:w="24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Daily Work Source</w:t>
            </w:r>
          </w:p>
        </w:tc>
        <w:tc>
          <w:tcPr>
            <w:tcW w:type="dxa" w:w="32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User-initiated (100%)</w:t>
            </w:r>
          </w:p>
        </w:tc>
        <w:tc>
          <w:tcPr>
            <w:tcW w:type="dxa" w:w="34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NuTeLa push queue (80%) + self-service (20%)</w:t>
            </w:r>
          </w:p>
        </w:tc>
      </w:tr>
    </w:tbl>
    <w:p>
      <w:pPr>
        <w:spacing w:before="160" w:after="0"/>
      </w:pP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4A8EC2"/>
          <w:sz w:val="26"/>
          <w:szCs w:val="26"/>
        </w:rPr>
        <w:t xml:space="preserve">3.3 NuTeLa Presence on Screen</w:t>
      </w:r>
    </w:p>
    <w:p>
      <w:pPr>
        <w:spacing w:before="80" w:after="8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NuTeLa appears contextually across the platform: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Inline within each module screen — NuTeLa surfaces relevant guidance, warnings, and questionnaire triggers within the context of what the user is viewing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Floating bubble (bottom-right) — always-available fallback on every screen. Expands into full chat/task panel when clicked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Push queue on dashboard — prominent agent task queue showing all pending NuTeLa-generated tasks with priority indicators</w:t>
      </w:r>
    </w:p>
    <w:p>
      <w:pPr>
        <w:spacing w:before="160" w:after="0"/>
      </w:pP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4A8EC2"/>
          <w:sz w:val="26"/>
          <w:szCs w:val="26"/>
        </w:rPr>
        <w:t xml:space="preserve">3.4 Pre-Configured Agent Questionnaires</w:t>
      </w:r>
    </w:p>
    <w:p>
      <w:pPr>
        <w:spacing w:before="80" w:after="8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NuTeLa ships with 5 pre-configured questionnaire types covering the most frequent compliance tasks: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Quarterly Risk Map Update — guided review of all active risks, inherent scores, and control effectiveness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Monthly Vulnerability Scan — cyber protection status check and remediation tracking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Board Report Approval — structured approval workflow for quarterly board compliance reports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Supplier Review — annual third-party risk assessment questionnaire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Cyber Incident Reporting — ISA-compliant incident reporting with automatic regulatory notification preparation</w:t>
      </w:r>
    </w:p>
    <w:p>
      <w:pPr>
        <w:spacing w:before="160" w:after="0"/>
      </w:pP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4A8EC2"/>
          <w:sz w:val="26"/>
          <w:szCs w:val="26"/>
        </w:rPr>
        <w:t xml:space="preserve">3.5 NuTeLa Avatar</w:t>
      </w:r>
    </w:p>
    <w:p>
      <w:pPr>
        <w:spacing w:before="80" w:after="8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NuTeLa is represented visually as a futuristic egg-shaped mascot with vivid electric gradients (cyan to pink spectrum), glassmorphic effects, and a 2030s aesthetic. The avatar appears consistently across all NuTeLa touchpoints — floating bubble, inline panels, and push notifications.</w:t>
      </w:r>
    </w:p>
    <w:p>
      <w:r>
        <w:br w:type="page"/>
      </w:r>
    </w:p>
    <w:p>
      <w:pPr>
        <w:pStyle w:val="Heading1"/>
        <w:spacing w:before="340" w:after="120"/>
      </w:pPr>
      <w:r>
        <w:rPr>
          <w:rFonts w:ascii="Arial" w:cs="Arial" w:eastAsia="Arial" w:hAnsi="Arial"/>
          <w:b/>
          <w:bCs/>
          <w:color w:val="1E2D3D"/>
          <w:sz w:val="32"/>
          <w:szCs w:val="32"/>
        </w:rPr>
        <w:t xml:space="preserve">4. Target Market &amp; User Personas</w:t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4A8EC2"/>
          <w:sz w:val="26"/>
          <w:szCs w:val="26"/>
        </w:rPr>
        <w:t xml:space="preserve">4.1 Total Addressable Market</w:t>
      </w:r>
    </w:p>
    <w:p>
      <w:pPr>
        <w:spacing w:before="80" w:after="8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The primary market consists of approximately 100 institutions holding Extended Credit Licenses (Rishyon Murhav L'Matan Ashrai) under the ISA. Secondary markets include other ISA-regulated license types addressable through premium modules.</w:t>
      </w:r>
    </w:p>
    <w:p>
      <w:pPr>
        <w:spacing w:before="160" w:after="0"/>
      </w:pP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4A8EC2"/>
          <w:sz w:val="26"/>
          <w:szCs w:val="26"/>
        </w:rPr>
        <w:t xml:space="preserve">4.2 Primary Persona: The Risk Manager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1E2D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5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1E2D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5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Title</w:t>
            </w:r>
          </w:p>
        </w:tc>
        <w:tc>
          <w:tcPr>
            <w:tcW w:type="dxa" w:w="65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Risk Manager (מנהל סיכונים) — dedicated role per Circular 2024-10-2</w:t>
            </w:r>
          </w:p>
        </w:tc>
      </w:tr>
      <w:tr>
        <w:tc>
          <w:tcPr>
            <w:tcW w:type="dxa" w:w="25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Organization</w:t>
            </w:r>
          </w:p>
        </w:tc>
        <w:tc>
          <w:tcPr>
            <w:tcW w:type="dxa" w:w="65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5-20 employees, licensed non-bank credit institution</w:t>
            </w:r>
          </w:p>
        </w:tc>
      </w:tr>
      <w:tr>
        <w:tc>
          <w:tcPr>
            <w:tcW w:type="dxa" w:w="25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Reality</w:t>
            </w:r>
          </w:p>
        </w:tc>
        <w:tc>
          <w:tcPr>
            <w:tcW w:type="dxa" w:w="65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Often wears multiple hats: may also serve as CFO, compliance officer, or VP Operations</w:t>
            </w:r>
          </w:p>
        </w:tc>
      </w:tr>
      <w:tr>
        <w:tc>
          <w:tcPr>
            <w:tcW w:type="dxa" w:w="25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Technical Level</w:t>
            </w:r>
          </w:p>
        </w:tc>
        <w:tc>
          <w:tcPr>
            <w:tcW w:type="dxa" w:w="65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Business-oriented, not technical. Comfortable with SaaS but not with complex configurations</w:t>
            </w:r>
          </w:p>
        </w:tc>
      </w:tr>
      <w:tr>
        <w:tc>
          <w:tcPr>
            <w:tcW w:type="dxa" w:w="25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Pain Points</w:t>
            </w:r>
          </w:p>
        </w:tc>
        <w:tc>
          <w:tcPr>
            <w:tcW w:type="dxa" w:w="65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Regulatory requirements are complex and growing; no dedicated tools; relies on spreadsheets; audit preparation is stressful</w:t>
            </w:r>
          </w:p>
        </w:tc>
      </w:tr>
      <w:tr>
        <w:tc>
          <w:tcPr>
            <w:tcW w:type="dxa" w:w="25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Goals</w:t>
            </w:r>
          </w:p>
        </w:tc>
        <w:tc>
          <w:tcPr>
            <w:tcW w:type="dxa" w:w="65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Stay compliant with minimal effort; present professional reports to board; be prepared for ISA audits</w:t>
            </w:r>
          </w:p>
        </w:tc>
      </w:tr>
      <w:tr>
        <w:tc>
          <w:tcPr>
            <w:tcW w:type="dxa" w:w="25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Why Push-First Works</w:t>
            </w:r>
          </w:p>
        </w:tc>
        <w:tc>
          <w:tcPr>
            <w:tcW w:type="dxa" w:w="65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Risk management is one of several responsibilities. The system must do the thinking — not the user.</w:t>
            </w:r>
          </w:p>
        </w:tc>
      </w:tr>
    </w:tbl>
    <w:p>
      <w:pPr>
        <w:spacing w:before="160" w:after="0"/>
      </w:pP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4A8EC2"/>
          <w:sz w:val="26"/>
          <w:szCs w:val="26"/>
        </w:rPr>
        <w:t xml:space="preserve">4.3 Secondary Personas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CEO / General Manager: Reviews compliance dashboard, approves policies, receives board-ready reports. High-level visibility without deep diving. Demo flow: Dashboard score drill-down.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Board of Directors: Receives periodic risk reports per regulatory requirements. Read-only access to compliance status and trend data.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External Auditor / ISA Inspector: Needs structured evidence access, audit trails, and regulatory mapping. Demo flow: 3-click regulation→feature→evidence proof. View-only audit mode.</w:t>
      </w:r>
    </w:p>
    <w:p>
      <w:r>
        <w:br w:type="page"/>
      </w:r>
    </w:p>
    <w:p>
      <w:pPr>
        <w:pStyle w:val="Heading1"/>
        <w:spacing w:before="340" w:after="120"/>
      </w:pPr>
      <w:r>
        <w:rPr>
          <w:rFonts w:ascii="Arial" w:cs="Arial" w:eastAsia="Arial" w:hAnsi="Arial"/>
          <w:b/>
          <w:bCs/>
          <w:color w:val="1E2D3D"/>
          <w:sz w:val="32"/>
          <w:szCs w:val="32"/>
        </w:rPr>
        <w:t xml:space="preserve">5. Pricing &amp; Tier Structure</w:t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4A8EC2"/>
          <w:sz w:val="26"/>
          <w:szCs w:val="26"/>
        </w:rPr>
        <w:t xml:space="preserve">5.1 Three-Tier Model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426"/>
      </w:tblGrid>
      <w:tr>
        <w:trPr>
          <w:tblHeader/>
        </w:trPr>
        <w:tc>
          <w:tcPr>
            <w:tcW w:type="dxa" w:w="22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1E2D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2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1E2D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Starter — 3,500 ₪</w:t>
            </w:r>
          </w:p>
        </w:tc>
        <w:tc>
          <w:tcPr>
            <w:tcW w:type="dxa" w:w="22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1E2D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 — 5,000 ₪</w:t>
            </w:r>
          </w:p>
        </w:tc>
        <w:tc>
          <w:tcPr>
            <w:tcW w:type="dxa" w:w="24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1E2D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Enterprise — 8,000 ₪</w:t>
            </w:r>
          </w:p>
        </w:tc>
      </w:tr>
      <w:tr>
        <w:tc>
          <w:tcPr>
            <w:tcW w:type="dxa" w:w="22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Risk Governance</w:t>
            </w:r>
          </w:p>
        </w:tc>
        <w:tc>
          <w:tcPr>
            <w:tcW w:type="dxa" w:w="22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✓</w:t>
            </w:r>
          </w:p>
        </w:tc>
        <w:tc>
          <w:tcPr>
            <w:tcW w:type="dxa" w:w="22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✓</w:t>
            </w:r>
          </w:p>
        </w:tc>
        <w:tc>
          <w:tcPr>
            <w:tcW w:type="dxa" w:w="24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Operational Risk</w:t>
            </w:r>
          </w:p>
        </w:tc>
        <w:tc>
          <w:tcPr>
            <w:tcW w:type="dxa" w:w="22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✓</w:t>
            </w:r>
          </w:p>
        </w:tc>
        <w:tc>
          <w:tcPr>
            <w:tcW w:type="dxa" w:w="22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✓</w:t>
            </w:r>
          </w:p>
        </w:tc>
        <w:tc>
          <w:tcPr>
            <w:tcW w:type="dxa" w:w="24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Outsourcing Module</w:t>
            </w:r>
          </w:p>
        </w:tc>
        <w:tc>
          <w:tcPr>
            <w:tcW w:type="dxa" w:w="22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✓</w:t>
            </w:r>
          </w:p>
        </w:tc>
        <w:tc>
          <w:tcPr>
            <w:tcW w:type="dxa" w:w="22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✓</w:t>
            </w:r>
          </w:p>
        </w:tc>
        <w:tc>
          <w:tcPr>
            <w:tcW w:type="dxa" w:w="24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Business Continuity</w:t>
            </w:r>
          </w:p>
        </w:tc>
        <w:tc>
          <w:tcPr>
            <w:tcW w:type="dxa" w:w="22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✓</w:t>
            </w:r>
          </w:p>
        </w:tc>
        <w:tc>
          <w:tcPr>
            <w:tcW w:type="dxa" w:w="22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✓</w:t>
            </w:r>
          </w:p>
        </w:tc>
        <w:tc>
          <w:tcPr>
            <w:tcW w:type="dxa" w:w="24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NuTeLa AI Assistant</w:t>
            </w:r>
          </w:p>
        </w:tc>
        <w:tc>
          <w:tcPr>
            <w:tcW w:type="dxa" w:w="22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✓</w:t>
            </w:r>
          </w:p>
        </w:tc>
        <w:tc>
          <w:tcPr>
            <w:tcW w:type="dxa" w:w="22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✓</w:t>
            </w:r>
          </w:p>
        </w:tc>
        <w:tc>
          <w:tcPr>
            <w:tcW w:type="dxa" w:w="24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Cyber Modules (3)</w:t>
            </w:r>
          </w:p>
        </w:tc>
        <w:tc>
          <w:tcPr>
            <w:tcW w:type="dxa" w:w="22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✓</w:t>
            </w:r>
          </w:p>
        </w:tc>
        <w:tc>
          <w:tcPr>
            <w:tcW w:type="dxa" w:w="22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✓</w:t>
            </w:r>
          </w:p>
        </w:tc>
        <w:tc>
          <w:tcPr>
            <w:tcW w:type="dxa" w:w="24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Reports &amp; Templates</w:t>
            </w:r>
          </w:p>
        </w:tc>
        <w:tc>
          <w:tcPr>
            <w:tcW w:type="dxa" w:w="22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✓</w:t>
            </w:r>
          </w:p>
        </w:tc>
        <w:tc>
          <w:tcPr>
            <w:tcW w:type="dxa" w:w="22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✓</w:t>
            </w:r>
          </w:p>
        </w:tc>
        <w:tc>
          <w:tcPr>
            <w:tcW w:type="dxa" w:w="24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Credit Risk Module ★</w:t>
            </w:r>
          </w:p>
        </w:tc>
        <w:tc>
          <w:tcPr>
            <w:tcW w:type="dxa" w:w="22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✓ PRO</w:t>
            </w:r>
          </w:p>
        </w:tc>
        <w:tc>
          <w:tcPr>
            <w:tcW w:type="dxa" w:w="24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KRI Dashboard ★</w:t>
            </w:r>
          </w:p>
        </w:tc>
        <w:tc>
          <w:tcPr>
            <w:tcW w:type="dxa" w:w="22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✓ PRO</w:t>
            </w:r>
          </w:p>
        </w:tc>
        <w:tc>
          <w:tcPr>
            <w:tcW w:type="dxa" w:w="24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API Access</w:t>
            </w:r>
          </w:p>
        </w:tc>
        <w:tc>
          <w:tcPr>
            <w:tcW w:type="dxa" w:w="22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—</w:t>
            </w:r>
          </w:p>
        </w:tc>
        <w:tc>
          <w:tcPr>
            <w:tcW w:type="dxa" w:w="24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Custom Modules</w:t>
            </w:r>
          </w:p>
        </w:tc>
        <w:tc>
          <w:tcPr>
            <w:tcW w:type="dxa" w:w="22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—</w:t>
            </w:r>
          </w:p>
        </w:tc>
        <w:tc>
          <w:tcPr>
            <w:tcW w:type="dxa" w:w="24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In-App Document Sales</w:t>
            </w:r>
          </w:p>
        </w:tc>
        <w:tc>
          <w:tcPr>
            <w:tcW w:type="dxa" w:w="22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✓</w:t>
            </w:r>
          </w:p>
        </w:tc>
        <w:tc>
          <w:tcPr>
            <w:tcW w:type="dxa" w:w="22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✓</w:t>
            </w:r>
          </w:p>
        </w:tc>
        <w:tc>
          <w:tcPr>
            <w:tcW w:type="dxa" w:w="24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✓</w:t>
            </w:r>
          </w:p>
        </w:tc>
      </w:tr>
    </w:tbl>
    <w:p>
      <w:pPr>
        <w:spacing w:before="1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4A8EC2" w:sz="6"/>
              <w:left w:val="single" w:color="4A8EC2" w:sz="18"/>
              <w:bottom w:val="none" w:color="FFFFFF" w:sz="0"/>
              <w:right w:val="none" w:color="FFFFFF" w:sz="0"/>
            </w:tcBorders>
            <w:shd w:fill="F0F7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4A8EC2"/>
                <w:sz w:val="20"/>
                <w:szCs w:val="20"/>
              </w:rPr>
              <w:t xml:space="preserve">★ Pro Headline Differentiators</w:t>
            </w:r>
          </w:p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Credit Risk Module and KRI Dashboard are the primary drivers for Starter→Pro upgrades. These features are exclusive to Pro and Enterprise tiers and represent the clearest value jump in the pricing ladder.</w:t>
            </w:r>
          </w:p>
        </w:tc>
      </w:tr>
    </w:tbl>
    <w:p>
      <w:pPr>
        <w:spacing w:before="160" w:after="0"/>
      </w:pP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4A8EC2"/>
          <w:sz w:val="26"/>
          <w:szCs w:val="26"/>
        </w:rPr>
        <w:t xml:space="preserve">5.2 Additional Revenue: In-App Document Sales</w:t>
      </w:r>
    </w:p>
    <w:p>
      <w:pPr>
        <w:spacing w:before="80" w:after="8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All tiers include access to the in-app document marketplace where organizations can purchase pre-built regulatory templates, policy frameworks, and compliance toolkits. This provides additional recurring revenue independent of subscription tier.</w:t>
      </w:r>
    </w:p>
    <w:p>
      <w:r>
        <w:br w:type="page"/>
      </w:r>
    </w:p>
    <w:p>
      <w:pPr>
        <w:pStyle w:val="Heading1"/>
        <w:spacing w:before="340" w:after="120"/>
      </w:pPr>
      <w:r>
        <w:rPr>
          <w:rFonts w:ascii="Arial" w:cs="Arial" w:eastAsia="Arial" w:hAnsi="Arial"/>
          <w:b/>
          <w:bCs/>
          <w:color w:val="1E2D3D"/>
          <w:sz w:val="32"/>
          <w:szCs w:val="32"/>
        </w:rPr>
        <w:t xml:space="preserve">6. Development Process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8922A" w:sz="6"/>
              <w:left w:val="single" w:color="C8922A" w:sz="18"/>
              <w:bottom w:val="none" w:color="FFFFFF" w:sz="0"/>
              <w:right w:val="none" w:color="FFFFFF" w:sz="0"/>
            </w:tcBorders>
            <w:shd w:fill="F0F7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C8922A"/>
                <w:sz w:val="20"/>
                <w:szCs w:val="20"/>
              </w:rPr>
              <w:t xml:space="preserve">Iterative Development — Core Principle</w:t>
            </w:r>
          </w:p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RiskGuard development is NOT waterfall. Every module is built, reviewed by Ernest, and refined before the next module begins. Changes during development are expected and welcome. The feedback loop is: Build → Review in Claude chat → Refine → Approve → Next module.</w:t>
            </w:r>
          </w:p>
        </w:tc>
      </w:tr>
    </w:tbl>
    <w:p>
      <w:pPr>
        <w:spacing w:before="160" w:after="0"/>
      </w:pP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4A8EC2"/>
          <w:sz w:val="26"/>
          <w:szCs w:val="26"/>
        </w:rPr>
        <w:t xml:space="preserve">6.1 Feedback Loop</w:t>
      </w:r>
    </w:p>
    <w:p>
      <w:pPr>
        <w:spacing w:before="80" w:after="8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The development process operates through three synchronized mechanisms: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Chat-first feedback: All feedback happens in Claude chat sessions. Developer reads the conversation, implements changes, shares result back in chat for review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Versioned JSX files: Each iteration produces a numbered JSX version (v12, v13...). Ernest reviews each version before the next build begins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Module-by-module approval: One module is built and approved at a time before moving to the next. No parallel development.</w:t>
      </w:r>
    </w:p>
    <w:p>
      <w:pPr>
        <w:spacing w:before="160" w:after="0"/>
      </w:pP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4A8EC2"/>
          <w:sz w:val="26"/>
          <w:szCs w:val="26"/>
        </w:rPr>
        <w:t xml:space="preserve">6.2 Design Lock</w:t>
      </w:r>
    </w:p>
    <w:p>
      <w:pPr>
        <w:spacing w:before="80" w:after="8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The demo (v11 JSX, 4,810 lines, 18 screens) is the design specification. Developers implement exactly what the demo shows: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Colors: exact hex values from the Midnight Authority design system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Components: same structure, same layout, same spacing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Behavior: same interactions, same animations, same Hebrew RTL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No redesign, no creative deviation, no 'improvements' without Ernest's explicit approval</w:t>
      </w:r>
    </w:p>
    <w:p>
      <w:pPr>
        <w:spacing w:before="160" w:after="0"/>
      </w:pP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4A8EC2"/>
          <w:sz w:val="26"/>
          <w:szCs w:val="26"/>
        </w:rPr>
        <w:t xml:space="preserve">6.3 Two-Track Demo Strategy</w:t>
      </w:r>
    </w:p>
    <w:p>
      <w:pPr>
        <w:spacing w:before="80" w:after="8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The demo environment operates on two tracks: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Internal track: אשראי פייננס בע״מ is the permanent internal dev/test dataset. All development and QA uses this fictional company with its pre-seeded compliance data.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Sales track: A configurable Demo Mode layer allows the company name, logo, and key data to be swapped for sales presentations. Each prospect can see their own name and context in the platform.</w:t>
      </w:r>
    </w:p>
    <w:p>
      <w:pPr>
        <w:spacing w:before="160" w:after="0"/>
      </w:pP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4A8EC2"/>
          <w:sz w:val="26"/>
          <w:szCs w:val="26"/>
        </w:rPr>
        <w:t xml:space="preserve">6.4 Phase Plan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3200"/>
        <w:gridCol w:w="2226"/>
      </w:tblGrid>
      <w:tr>
        <w:trPr>
          <w:tblHeader/>
        </w:trPr>
        <w:tc>
          <w:tcPr>
            <w:tcW w:type="dxa" w:w="18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1E2D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1E2D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32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1E2D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22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1E2D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</w:tr>
      <w:tr>
        <w:tc>
          <w:tcPr>
            <w:tcW w:type="dxa" w:w="18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Phase 0: Demo</w:t>
            </w:r>
          </w:p>
        </w:tc>
        <w:tc>
          <w:tcPr>
            <w:tcW w:type="dxa" w:w="18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Complete</w:t>
            </w:r>
          </w:p>
        </w:tc>
        <w:tc>
          <w:tcPr>
            <w:tcW w:type="dxa" w:w="32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v11 JSX demo — 18 screens, 4,810 lines. All modules shown.</w:t>
            </w:r>
          </w:p>
        </w:tc>
        <w:tc>
          <w:tcPr>
            <w:tcW w:type="dxa" w:w="22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Demo ready ✓</w:t>
            </w:r>
          </w:p>
        </w:tc>
      </w:tr>
      <w:tr>
        <w:tc>
          <w:tcPr>
            <w:tcW w:type="dxa" w:w="18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Phase 1: Foundation</w:t>
            </w:r>
          </w:p>
        </w:tc>
        <w:tc>
          <w:tcPr>
            <w:tcW w:type="dxa" w:w="18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Weeks 1-4</w:t>
            </w:r>
          </w:p>
        </w:tc>
        <w:tc>
          <w:tcPr>
            <w:tcW w:type="dxa" w:w="32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Auth, multi-tenant infra, database schema, core UI shell</w:t>
            </w:r>
          </w:p>
        </w:tc>
        <w:tc>
          <w:tcPr>
            <w:tcW w:type="dxa" w:w="22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Deployable app with login</w:t>
            </w:r>
          </w:p>
        </w:tc>
      </w:tr>
      <w:tr>
        <w:tc>
          <w:tcPr>
            <w:tcW w:type="dxa" w:w="18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Phase 2: Core Modules</w:t>
            </w:r>
          </w:p>
        </w:tc>
        <w:tc>
          <w:tcPr>
            <w:tcW w:type="dxa" w:w="18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Weeks 5-12</w:t>
            </w:r>
          </w:p>
        </w:tc>
        <w:tc>
          <w:tcPr>
            <w:tcW w:type="dxa" w:w="32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Risk Governance + Ops Risk + Outsourcing + BCP + NuTeLa push queue</w:t>
            </w:r>
          </w:p>
        </w:tc>
        <w:tc>
          <w:tcPr>
            <w:tcW w:type="dxa" w:w="22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Starter tier ready for pilot</w:t>
            </w:r>
          </w:p>
        </w:tc>
      </w:tr>
      <w:tr>
        <w:tc>
          <w:tcPr>
            <w:tcW w:type="dxa" w:w="18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Phase 3: Pilot</w:t>
            </w:r>
          </w:p>
        </w:tc>
        <w:tc>
          <w:tcPr>
            <w:tcW w:type="dxa" w:w="18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Weeks 13-16</w:t>
            </w:r>
          </w:p>
        </w:tc>
        <w:tc>
          <w:tcPr>
            <w:tcW w:type="dxa" w:w="32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3-5 customers, feedback integration, stability</w:t>
            </w:r>
          </w:p>
        </w:tc>
        <w:tc>
          <w:tcPr>
            <w:tcW w:type="dxa" w:w="22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Validated with paying customers</w:t>
            </w:r>
          </w:p>
        </w:tc>
      </w:tr>
      <w:tr>
        <w:tc>
          <w:tcPr>
            <w:tcW w:type="dxa" w:w="18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Phase 4: Pro Features</w:t>
            </w:r>
          </w:p>
        </w:tc>
        <w:tc>
          <w:tcPr>
            <w:tcW w:type="dxa" w:w="18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Weeks 17-22</w:t>
            </w:r>
          </w:p>
        </w:tc>
        <w:tc>
          <w:tcPr>
            <w:tcW w:type="dxa" w:w="32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Credit Risk Module + KRI Dashboard (Pro differentiators)</w:t>
            </w:r>
          </w:p>
        </w:tc>
        <w:tc>
          <w:tcPr>
            <w:tcW w:type="dxa" w:w="22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Pro tier complete</w:t>
            </w:r>
          </w:p>
        </w:tc>
      </w:tr>
      <w:tr>
        <w:tc>
          <w:tcPr>
            <w:tcW w:type="dxa" w:w="18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Phase 5: Scale</w:t>
            </w:r>
          </w:p>
        </w:tc>
        <w:tc>
          <w:tcPr>
            <w:tcW w:type="dxa" w:w="18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Weeks 23+</w:t>
            </w:r>
          </w:p>
        </w:tc>
        <w:tc>
          <w:tcPr>
            <w:tcW w:type="dxa" w:w="32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Enterprise features, API, advanced reporting, first hire</w:t>
            </w:r>
          </w:p>
        </w:tc>
        <w:tc>
          <w:tcPr>
            <w:tcW w:type="dxa" w:w="22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Commercial launch</w:t>
            </w:r>
          </w:p>
        </w:tc>
      </w:tr>
    </w:tbl>
    <w:p>
      <w:r>
        <w:br w:type="page"/>
      </w:r>
    </w:p>
    <w:p>
      <w:pPr>
        <w:pStyle w:val="Heading1"/>
        <w:spacing w:before="340" w:after="120"/>
      </w:pPr>
      <w:r>
        <w:rPr>
          <w:rFonts w:ascii="Arial" w:cs="Arial" w:eastAsia="Arial" w:hAnsi="Arial"/>
          <w:b/>
          <w:bCs/>
          <w:color w:val="1E2D3D"/>
          <w:sz w:val="32"/>
          <w:szCs w:val="32"/>
        </w:rPr>
        <w:t xml:space="preserve">7. Decision Log</w:t>
      </w:r>
    </w:p>
    <w:p>
      <w:pPr>
        <w:spacing w:before="80" w:after="8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All decisions established through the interactive demo build sessions — February 2026:</w:t>
      </w:r>
    </w:p>
    <w:p>
      <w:pPr>
        <w:spacing w:before="1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3000"/>
        <w:gridCol w:w="3426"/>
      </w:tblGrid>
      <w:tr>
        <w:trPr>
          <w:tblHeader/>
        </w:trPr>
        <w:tc>
          <w:tcPr>
            <w:tcW w:type="dxa" w:w="4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1E2D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1E2D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 Area</w:t>
            </w:r>
          </w:p>
        </w:tc>
        <w:tc>
          <w:tcPr>
            <w:tcW w:type="dxa" w:w="3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1E2D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  <w:tc>
          <w:tcPr>
            <w:tcW w:type="dxa" w:w="34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1E2D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4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NuTeLa Role</w:t>
            </w:r>
          </w:p>
        </w:tc>
        <w:tc>
          <w:tcPr>
            <w:tcW w:type="dxa" w:w="3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AI Assistant + Task Pusher</w:t>
            </w:r>
          </w:p>
        </w:tc>
        <w:tc>
          <w:tcPr>
            <w:tcW w:type="dxa" w:w="34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NuTeLa is the primary UX delivery mechanism, not a chatbot add-on</w:t>
            </w:r>
          </w:p>
        </w:tc>
      </w:tr>
      <w:tr>
        <w:tc>
          <w:tcPr>
            <w:tcW w:type="dxa" w:w="4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Push vs Navigation</w:t>
            </w:r>
          </w:p>
        </w:tc>
        <w:tc>
          <w:tcPr>
            <w:tcW w:type="dxa" w:w="3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Push-first (80% NuTeLa / 20% self-service)</w:t>
            </w:r>
          </w:p>
        </w:tc>
        <w:tc>
          <w:tcPr>
            <w:tcW w:type="dxa" w:w="34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Modules are for advanced users; daily work comes through NuTeLa queue</w:t>
            </w:r>
          </w:p>
        </w:tc>
      </w:tr>
      <w:tr>
        <w:tc>
          <w:tcPr>
            <w:tcW w:type="dxa" w:w="4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Traceability Demo</w:t>
            </w:r>
          </w:p>
        </w:tc>
        <w:tc>
          <w:tcPr>
            <w:tcW w:type="dxa" w:w="3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All 3 flows (auditor, risk manager, CEO)</w:t>
            </w:r>
          </w:p>
        </w:tc>
        <w:tc>
          <w:tcPr>
            <w:tcW w:type="dxa" w:w="34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Demo must show 3 paths; audience determines which flow is shown first</w:t>
            </w:r>
          </w:p>
        </w:tc>
      </w:tr>
      <w:tr>
        <w:tc>
          <w:tcPr>
            <w:tcW w:type="dxa" w:w="4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NuTeLa Presence</w:t>
            </w:r>
          </w:p>
        </w:tc>
        <w:tc>
          <w:tcPr>
            <w:tcW w:type="dxa" w:w="3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Contextual inline + floating bubble fallback</w:t>
            </w:r>
          </w:p>
        </w:tc>
        <w:tc>
          <w:tcPr>
            <w:tcW w:type="dxa" w:w="34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NuTeLa appears inside module screens when relevant; always available via bubble</w:t>
            </w:r>
          </w:p>
        </w:tc>
      </w:tr>
      <w:tr>
        <w:tc>
          <w:tcPr>
            <w:tcW w:type="dxa" w:w="4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Onboarding Wow</w:t>
            </w:r>
          </w:p>
        </w:tc>
        <w:tc>
          <w:tcPr>
            <w:tcW w:type="dxa" w:w="3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Zero day-one setup</w:t>
            </w:r>
          </w:p>
        </w:tc>
        <w:tc>
          <w:tcPr>
            <w:tcW w:type="dxa" w:w="34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Wizard completion = live compliance environment; not just data collection</w:t>
            </w:r>
          </w:p>
        </w:tc>
      </w:tr>
      <w:tr>
        <w:tc>
          <w:tcPr>
            <w:tcW w:type="dxa" w:w="4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Design Fidelity</w:t>
            </w:r>
          </w:p>
        </w:tc>
        <w:tc>
          <w:tcPr>
            <w:tcW w:type="dxa" w:w="3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Pixel-perfect match to demo</w:t>
            </w:r>
          </w:p>
        </w:tc>
        <w:tc>
          <w:tcPr>
            <w:tcW w:type="dxa" w:w="34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Corporate product IS the demo. Developers implement the JSX exactly.</w:t>
            </w:r>
          </w:p>
        </w:tc>
      </w:tr>
      <w:tr>
        <w:tc>
          <w:tcPr>
            <w:tcW w:type="dxa" w:w="4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Pro Differentiator</w:t>
            </w:r>
          </w:p>
        </w:tc>
        <w:tc>
          <w:tcPr>
            <w:tcW w:type="dxa" w:w="3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Credit Risk + KRI Dashboard</w:t>
            </w:r>
          </w:p>
        </w:tc>
        <w:tc>
          <w:tcPr>
            <w:tcW w:type="dxa" w:w="34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These two features exclusively justify Starter→Pro upgrade</w:t>
            </w:r>
          </w:p>
        </w:tc>
      </w:tr>
      <w:tr>
        <w:tc>
          <w:tcPr>
            <w:tcW w:type="dxa" w:w="4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Dev Feedback Loop</w:t>
            </w:r>
          </w:p>
        </w:tc>
        <w:tc>
          <w:tcPr>
            <w:tcW w:type="dxa" w:w="3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Chat + versioned JSX + module approval</w:t>
            </w:r>
          </w:p>
        </w:tc>
        <w:tc>
          <w:tcPr>
            <w:tcW w:type="dxa" w:w="34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Full iterative loop; nothing advances without Ernest's sign-off</w:t>
            </w:r>
          </w:p>
        </w:tc>
      </w:tr>
      <w:tr>
        <w:tc>
          <w:tcPr>
            <w:tcW w:type="dxa" w:w="4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Demo Company</w:t>
            </w:r>
          </w:p>
        </w:tc>
        <w:tc>
          <w:tcPr>
            <w:tcW w:type="dxa" w:w="3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Two tracks (internal dev + configurable sales)</w:t>
            </w:r>
          </w:p>
        </w:tc>
        <w:tc>
          <w:tcPr>
            <w:tcW w:type="dxa" w:w="34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אשראי פייננס = permanent internal; Demo Mode = configurable for sales</w:t>
            </w:r>
          </w:p>
        </w:tc>
      </w:tr>
      <w:tr>
        <w:tc>
          <w:tcPr>
            <w:tcW w:type="dxa" w:w="4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Doc Priority</w:t>
            </w:r>
          </w:p>
        </w:tc>
        <w:tc>
          <w:tcPr>
            <w:tcW w:type="dxa" w:w="3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PRD → Demo → Design → Modules → Architecture → Regulatory</w:t>
            </w:r>
          </w:p>
        </w:tc>
        <w:tc>
          <w:tcPr>
            <w:tcW w:type="dxa" w:w="34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Documents updated in this sequence to reflect demo decisions</w:t>
            </w:r>
          </w:p>
        </w:tc>
      </w:tr>
      <w:tr>
        <w:tc>
          <w:tcPr>
            <w:tcW w:type="dxa" w:w="4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11</w:t>
            </w:r>
          </w:p>
        </w:tc>
        <w:tc>
          <w:tcPr>
            <w:tcW w:type="dxa" w:w="22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Primary User</w:t>
            </w:r>
          </w:p>
        </w:tc>
        <w:tc>
          <w:tcPr>
            <w:tcW w:type="dxa" w:w="3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Risk Manager (dedicated role)</w:t>
            </w:r>
          </w:p>
        </w:tc>
        <w:tc>
          <w:tcPr>
            <w:tcW w:type="dxa" w:w="34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UX designed for Risk Manager as primary persona</w:t>
            </w:r>
          </w:p>
        </w:tc>
      </w:tr>
      <w:tr>
        <w:tc>
          <w:tcPr>
            <w:tcW w:type="dxa" w:w="4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12</w:t>
            </w:r>
          </w:p>
        </w:tc>
        <w:tc>
          <w:tcPr>
            <w:tcW w:type="dxa" w:w="22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Language</w:t>
            </w:r>
          </w:p>
        </w:tc>
        <w:tc>
          <w:tcPr>
            <w:tcW w:type="dxa" w:w="3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Hebrew-first, English for exports</w:t>
            </w:r>
          </w:p>
        </w:tc>
        <w:tc>
          <w:tcPr>
            <w:tcW w:type="dxa" w:w="34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RTL native; all UI Hebrew; regulatory exports bilingual</w:t>
            </w:r>
          </w:p>
        </w:tc>
      </w:tr>
      <w:tr>
        <w:tc>
          <w:tcPr>
            <w:tcW w:type="dxa" w:w="4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13</w:t>
            </w:r>
          </w:p>
        </w:tc>
        <w:tc>
          <w:tcPr>
            <w:tcW w:type="dxa" w:w="22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Hosting</w:t>
            </w:r>
          </w:p>
        </w:tc>
        <w:tc>
          <w:tcPr>
            <w:tcW w:type="dxa" w:w="3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Cloud-native, AWS Israel Region</w:t>
            </w:r>
          </w:p>
        </w:tc>
        <w:tc>
          <w:tcPr>
            <w:tcW w:type="dxa" w:w="34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Data residency compliance; pay-as-you-grow</w:t>
            </w:r>
          </w:p>
        </w:tc>
      </w:tr>
      <w:tr>
        <w:tc>
          <w:tcPr>
            <w:tcW w:type="dxa" w:w="4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14</w:t>
            </w:r>
          </w:p>
        </w:tc>
        <w:tc>
          <w:tcPr>
            <w:tcW w:type="dxa" w:w="22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AI Level (MVP)</w:t>
            </w:r>
          </w:p>
        </w:tc>
        <w:tc>
          <w:tcPr>
            <w:tcW w:type="dxa" w:w="3000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NuTeLa push + rule-based automation</w:t>
            </w:r>
          </w:p>
        </w:tc>
        <w:tc>
          <w:tcPr>
            <w:tcW w:type="dxa" w:w="3426"/>
            <w:tcBorders>
              <w:top w:val="single" w:color="E1E8EF" w:sz="1"/>
              <w:left w:val="single" w:color="E1E8EF" w:sz="1"/>
              <w:bottom w:val="single" w:color="E1E8EF" w:sz="1"/>
              <w:right w:val="single" w:color="E1E8EF" w:sz="1"/>
            </w:tcBorders>
            <w:shd w:fill="EBF4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No LLM generation in MVP; smart templates + questionnaire-driven</w:t>
            </w:r>
          </w:p>
        </w:tc>
      </w:tr>
    </w:tbl>
    <w:p>
      <w:r>
        <w:br w:type="page"/>
      </w:r>
    </w:p>
    <w:p>
      <w:pPr>
        <w:pStyle w:val="Heading1"/>
        <w:spacing w:before="340" w:after="120"/>
      </w:pPr>
      <w:r>
        <w:rPr>
          <w:rFonts w:ascii="Arial" w:cs="Arial" w:eastAsia="Arial" w:hAnsi="Arial"/>
          <w:b/>
          <w:bCs/>
          <w:color w:val="1E2D3D"/>
          <w:sz w:val="32"/>
          <w:szCs w:val="32"/>
        </w:rPr>
        <w:t xml:space="preserve">Appendix A: Session Brief Template</w:t>
      </w:r>
    </w:p>
    <w:p>
      <w:pPr>
        <w:spacing w:before="80" w:after="8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Use this template at the start of every new Claude chat session to ensure full context is available:</w:t>
      </w:r>
    </w:p>
    <w:p>
      <w:pPr>
        <w:spacing w:before="1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E2D3D" w:sz="6"/>
              <w:left w:val="single" w:color="1E2D3D" w:sz="18"/>
              <w:bottom w:val="none" w:color="FFFFFF" w:sz="0"/>
              <w:right w:val="none" w:color="FFFFFF" w:sz="0"/>
            </w:tcBorders>
            <w:shd w:fill="F0F7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E2D3D"/>
                <w:sz w:val="20"/>
                <w:szCs w:val="20"/>
              </w:rPr>
              <w:t xml:space="preserve">Session Brief Template (copy-paste at start of each session)</w:t>
            </w:r>
          </w:p>
          <w:p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═══════════════════════════════════════
🛡️ RISKGUARD — SESSION BRIEF
═══════════════════════════════════════
Current Version: v[XX] — [X,XXX] lines
Project Files: All 6 docs + latest JSX in project
SYSTEM: RiskGuard compliance SaaS for Israeli non-bank credit institutions
Price: Starter 3,500 / Pro 5,000 / Enterprise 8,000 NIS/month
Core moat: Regulation→Feature→Evidence traceability (reg_id, section_ref, req_id)
Pro differentiator: Credit Risk module + KRI Dashboard
DESIGN ("Midnight Authority" — pixel-perfect, no deviation):
Sidebar: #1E2D3D | Accent: #4A8EC2 | Teal: #5BB8C9
Gradient: linear-gradient(135deg, #4A8EC2, #5BB8C9)
Background: #F5F7FA | Surface: #FFFFFF | Hebrew RTL first
ARCHITECTURE:
- NuTeLa = AI Assistant + Task Pusher (80% of daily work pushed to user)
- Push-first: NuTeLa questionnaires → user responds → system updates
- Onboarding wizard (7 steps) seeds all data; zero day-one setup
- All entities: (reg_id, section_ref, req_id) traceability
- Dev = iterative: chat feedback + versioned JSX + module approval
TODAY'S TASK: [DESCRIBE WHAT YOU'RE BUILDING]
Files to modify: [JSX v__ / Doc __ ]
Start from: [screen name or module]
═══════════════════════════════════════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96A6"/>
        <w:sz w:val="18"/>
        <w:szCs w:val="18"/>
      </w:rPr>
      <w:t xml:space="preserve">Page </w:t>
    </w:r>
    <w:r>
      <w:rPr>
        <w:rFonts w:ascii="Arial" w:cs="Arial" w:eastAsia="Arial" w:hAnsi="Arial"/>
        <w:color w:val="8896A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96A6"/>
        <w:sz w:val="18"/>
        <w:szCs w:val="18"/>
      </w:rPr>
      <w:t xml:space="preserve">  |  RiskGuard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A8EC2" w:sz="4" w:space="4"/>
      </w:pBdr>
      <w:tabs>
        <w:tab w:val="right" w:pos="9026"/>
      </w:tabs>
    </w:pPr>
    <w:r>
      <w:rPr>
        <w:rFonts w:ascii="Arial" w:cs="Arial" w:eastAsia="Arial" w:hAnsi="Arial"/>
        <w:color w:val="8896A6"/>
        <w:sz w:val="18"/>
        <w:szCs w:val="18"/>
      </w:rPr>
      <w:t xml:space="preserve">RiskGuard — Product Requirements Document v2.0</w:t>
    </w:r>
    <w:r>
      <w:rPr>
        <w:rFonts w:ascii="Arial" w:cs="Arial" w:eastAsia="Arial" w:hAnsi="Arial"/>
        <w:color w:val="8896A6"/>
        <w:sz w:val="18"/>
        <w:szCs w:val="18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before="60" w:after="60"/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4A8EC2" w:sz="4" w:space="4"/>
      </w:pBdr>
      <w:spacing w:before="340" w:after="120"/>
      <w:outlineLvl w:val="0"/>
    </w:pPr>
    <w:rPr>
      <w:rFonts w:ascii="Arial" w:cs="Arial" w:eastAsia="Arial" w:hAnsi="Arial"/>
      <w:b/>
      <w:bCs/>
      <w:color w:val="1E2D3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60" w:after="100"/>
      <w:outlineLvl w:val="1"/>
    </w:pPr>
    <w:rPr>
      <w:rFonts w:ascii="Arial" w:cs="Arial" w:eastAsia="Arial" w:hAnsi="Arial"/>
      <w:b/>
      <w:bCs/>
      <w:color w:val="4A8EC2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E2D3D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2026-02-19T10:36:06.323Z</dcterms:created>
  <dcterms:modified xsi:type="dcterms:W3CDTF">2026-02-19T10:36:06.324Z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