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D3D"/>
          <w:sz w:val="72"/>
          <w:szCs w:val="72"/>
        </w:rPr>
        <w:t xml:space="preserve">RiskGuard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8EC2"/>
          <w:sz w:val="36"/>
          <w:szCs w:val="36"/>
        </w:rPr>
        <w:t xml:space="preserve">Regulatory Mapping Specification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96A6"/>
          <w:sz w:val="22"/>
          <w:szCs w:val="22"/>
        </w:rPr>
        <w:t xml:space="preserve">Document #6 of 6  —  Version 2.0  —  February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8EC2" w:sz="6"/>
              <w:left w:val="single" w:color="4A8EC2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8EC2"/>
                <w:sz w:val="20"/>
                <w:szCs w:val="20"/>
              </w:rPr>
              <w:t xml:space="preserve">The Core Competitive Moat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document defines the Regulation→Feature→Evidence linkage that makes RiskGuard uniquely defensible. Every requirement from both ISA circulars is mapped to a specific platform feature and to the evidence type that proves compliance. This mapping is the product's primary competitive advantage.</w:t>
            </w:r>
          </w:p>
        </w:tc>
      </w:tr>
    </w:tbl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1. Traceability Architecture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Every entity in RiskGuard carries a traceability tuple that links it to its regulatory source:</w:t>
      </w:r>
    </w:p>
    <w:p>
      <w:pPr>
        <w:spacing w:before="80" w:after="0"/>
      </w:pP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E2D3D"/>
          <w:sz w:val="20"/>
          <w:szCs w:val="20"/>
        </w:rPr>
        <w:t xml:space="preserve">{ reg_id: '2024-10-2', section_ref: '2(א)', req_id: 'GOV-01' }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This tuple is applied to: risks, controls, vendors, incidents, policies, documents, compliance status records, and NuTeLa tasks. Nothing compliance-relevant exists without a regulatory anchor.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three demo flows that prove this traceability: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Flow A (Auditor): Regulation section → Platform features that cover it → Evidence documents with timestamps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Flow B (Risk Manager): Risk → Regulation that requires it → Controls → Control evidence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Flow C (CEO): Compliance score → Red module → Specific regulation gaps → NuTeLa fix offer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2. Circular 2024-10-2: General Risk Management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Circular 2024-10-2 (amendment to 2022-10-7) — General Risk Management for Non-Bank Credit Institutions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600"/>
        <w:gridCol w:w="1800"/>
        <w:gridCol w:w="3526"/>
      </w:tblGrid>
      <w:tr>
        <w:trPr>
          <w:tblHeader/>
        </w:trP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(Hebrew)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Feature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GOV-01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§2(א)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מדיניות ניהול סיכונים מאושרת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Governance → Policy Manager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Approved policy document (PDF) + board approval date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GOV-02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§2(א)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עדכון שנתי של מדיניות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Governance → Policy Version History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Policy version log with update dates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GOV-03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§2(א)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דיווח רבעוני לדירקטוריון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Reports → Board Report Generator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Generated board report (PDF) + distribution log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GOV-04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§3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ועדת סיכונים בדירקטוריון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Board Management → Board Profile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Board committee meeting minutes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GOV-05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§2(ב)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מינוי מנהל סיכונים ייעודי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Governance → Risk Officer Profile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Appointment letter (PDF) + reporting line documentation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GOV-06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§2(ב)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הגדרת תפקיד ואחריות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Governance → Risk Officer Profile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Role definition document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GOV-07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§2(ב)(1)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מתודולוגיה לזיהוי והערכת סיכונים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Operational Risk → Risk Register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methodology document + completed risk assessments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GOV-08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§2(ב)(1)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ביצוע סקר סיכונים שנתי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Operational Risk → Risk Register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risk assessment report with all 30 risks scored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OPS-01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§2(ב)(2)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ניהול סיכונים תפעוליים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Operational Risk → Risk Register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register with inherent/residual scores, controls, treatments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OPS-02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§2(ב)(2)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ניטור ביצועי בזמן אמת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KRI Dashboard (PRO)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KRI monitoring log, threshold breach records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OPS-03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§2(ב)(2)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תהליך אישור אשראי מבוקר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Operational Risk → Control Catalog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Dual-approval procedure document + sample approvals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OPS-04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§2(ב)(2)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הפרדת תפקידים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Operational Risk → Control Catalog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Organizational chart + access control matrix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OUT-01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§2(ג)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רישום ספקים חיצוניים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Outsourcing → Vendor Register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Vendor register (all vendors, criticality classification)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OUT-02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§2(ג)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הערכת סיכון לספקים קריטיים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Outsourcing → Vendor Assessment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Completed risk assessment per critical vendor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OUT-03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§2(ג)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אסטרטגיית יציאה לספקים קריטיים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Outsourcing → Vendor Detail (exit strategy)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Exit strategy document per critical vendor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OUT-04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§2(ג)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חוזי SLA עם ספקים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Outsourcing → Vendor Detail (contract)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Signed SLA documents with KPIs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BCP-01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§2(ד)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תוכנית המשכיות עסקית מאושרת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Continuity → BCP Document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Approved BCP document (PDF) + annual test results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BCP-02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§2(ד)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ניתוח השפעת עסקים (BIA)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Continuity → BIA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Completed BIA with RTO/RPO for all critical processes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BCP-03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§2(ד)(5)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תוכנית DR למערכות IT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Continuity → DR Plan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DR plan document + test evidence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BCP-04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§2(ה)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בדיקת BCP שנתית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Continuity → Test Schedule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test report with findings and remediation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3. Circular 2022-10-9: Cyber Risk Management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Circular 2022-10-9 — Cyber Risk Management in Non-Bank Financial Institutions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600"/>
        <w:gridCol w:w="1800"/>
        <w:gridCol w:w="3526"/>
      </w:tblGrid>
      <w:tr>
        <w:trPr>
          <w:tblHeader/>
        </w:trP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(Hebrew)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Feature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CGV-01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§3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מדיניות סייבר מאושרת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Governance → Cyber Policy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Approved cyber policy (PDF) + board approval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CGV-02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§3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מינוי אחראי סייבר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Governance → CISO Profile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CISO appointment document + role definition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CGV-03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§4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מרשם נכסי מידע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Governance → Asset Register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Complete asset register (all systems, data types, owners)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CGV-04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§4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הערכת סיכוני סייבר שנתית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Governance → Cyber Risk Assessment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cyber risk assessment report with remediation plan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CPR-01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§5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קטלוג בקרות אבטחה מיושמות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Protection → Control Catalog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Control catalog with implementation status + evidence per control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CPR-02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§5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ניהול גישה והרשאות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Protection → Access Management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Access review log + principle of least privilege documentation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CPR-03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§6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סריקות פגיעויות חודשיות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Protection → Vulnerability Log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Monthly scan reports + remediation tracking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CPR-04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§6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מבדק חדירות שנתי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Protection → Pen Test Tracker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Pen test report (external, signed) + remediation plan + retest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CIN-01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§7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נוהל תגובה לאירועים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Incidents → Response Procedure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Approved incident response procedure document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CIN-02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§7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יומן אירועי סייבר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Incidents → Incident Log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Incident log with all events, timelines, resolution status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CIN-03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§8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דיווח לרשות ניירות ערך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Incidents → ISA Report Generator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Generated ISA incident report (formatted per circular) + submission confirmation</w:t>
            </w:r>
          </w:p>
        </w:tc>
      </w:tr>
      <w:tr>
        <w:tc>
          <w:tcPr>
            <w:tcW w:type="dxa" w:w="7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CIN-04</w:t>
            </w:r>
          </w:p>
        </w:tc>
        <w:tc>
          <w:tcPr>
            <w:tcW w:type="dxa" w:w="1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§8</w:t>
            </w:r>
          </w:p>
        </w:tc>
        <w:tc>
          <w:tcPr>
            <w:tcW w:type="dxa" w:w="16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לקחים מאירועים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Incidents → Post-Mortem</w:t>
            </w:r>
          </w:p>
        </w:tc>
        <w:tc>
          <w:tcPr>
            <w:tcW w:type="dxa" w:w="3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Post-mortem document per significant incident + lessons implemented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4. Requirement ID Reference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Complete req_id catalog used across all platform entities. These IDs are the unique identifiers in the traceability tuple.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0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req_id</w:t>
            </w:r>
          </w:p>
        </w:tc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reg_id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GOV-01 to GOV-08</w:t>
            </w:r>
          </w:p>
        </w:tc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Governance</w:t>
            </w:r>
          </w:p>
        </w:tc>
        <w:tc>
          <w:tcPr>
            <w:tcW w:type="dxa" w:w="36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Policy management, Risk Officer, board oversight, risk methodology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OPS-01 to OPS-07</w:t>
            </w:r>
          </w:p>
        </w:tc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Operational Risk</w:t>
            </w:r>
          </w:p>
        </w:tc>
        <w:tc>
          <w:tcPr>
            <w:tcW w:type="dxa" w:w="36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register management, operational controls, monitoring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OUT-01 to OUT-05</w:t>
            </w:r>
          </w:p>
        </w:tc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Outsourcing</w:t>
            </w:r>
          </w:p>
        </w:tc>
        <w:tc>
          <w:tcPr>
            <w:tcW w:type="dxa" w:w="36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Vendor register, assessments, SLAs, exit strategies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BCP-01 to BCP-06</w:t>
            </w:r>
          </w:p>
        </w:tc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Continuity</w:t>
            </w:r>
          </w:p>
        </w:tc>
        <w:tc>
          <w:tcPr>
            <w:tcW w:type="dxa" w:w="36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BCP, BIA, DR planning, annual testing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FRD-01 to FRD-03</w:t>
            </w:r>
          </w:p>
        </w:tc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2024-10-2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Fraud Prevention</w:t>
            </w:r>
          </w:p>
        </w:tc>
        <w:tc>
          <w:tcPr>
            <w:tcW w:type="dxa" w:w="36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Anti-fraud controls, dual approval, monitoring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CGV-01 to CGV-06</w:t>
            </w:r>
          </w:p>
        </w:tc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2022-10-9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Governance</w:t>
            </w:r>
          </w:p>
        </w:tc>
        <w:tc>
          <w:tcPr>
            <w:tcW w:type="dxa" w:w="36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policy, CISO, asset register, risk assessment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CPR-01 to CPR-06</w:t>
            </w:r>
          </w:p>
        </w:tc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2022-10-9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Protection</w:t>
            </w:r>
          </w:p>
        </w:tc>
        <w:tc>
          <w:tcPr>
            <w:tcW w:type="dxa" w:w="36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Control catalog, access management, vulnerability management, pen testing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CIN-01 to CIN-05</w:t>
            </w:r>
          </w:p>
        </w:tc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2022-10-9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Incidents</w:t>
            </w:r>
          </w:p>
        </w:tc>
        <w:tc>
          <w:tcPr>
            <w:tcW w:type="dxa" w:w="36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Response procedure, incident log, ISA reporting, post-mortems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922A" w:sz="6"/>
              <w:left w:val="single" w:color="C8922A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Implementation Note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complete req_id catalog is embedded in the v11 JSX as RISK_BANK, and in the compliance_status database table. When adding new features or risks, always reference an existing req_id from this catalog. If a new regulatory requirement is identified, add it here first, then implement it in the system.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96A6"/>
        <w:sz w:val="18"/>
        <w:szCs w:val="18"/>
      </w:rPr>
      <w:t xml:space="preserve">Page </w:t>
    </w:r>
    <w:r>
      <w:rPr>
        <w:rFonts w:ascii="Arial" w:cs="Arial" w:eastAsia="Arial" w:hAnsi="Arial"/>
        <w:color w:val="889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6A6"/>
        <w:sz w:val="18"/>
        <w:szCs w:val="18"/>
      </w:rPr>
      <w:t xml:space="preserve">  |  RiskGuard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8EC2" w:sz="4" w:space="4"/>
      </w:pBdr>
      <w:tabs>
        <w:tab w:val="right" w:pos="9026"/>
      </w:tabs>
    </w:pPr>
    <w:r>
      <w:rPr>
        <w:rFonts w:ascii="Arial" w:cs="Arial" w:eastAsia="Arial" w:hAnsi="Arial"/>
        <w:color w:val="8896A6"/>
        <w:sz w:val="18"/>
        <w:szCs w:val="18"/>
      </w:rPr>
      <w:t xml:space="preserve">RiskGuard — Regulatory Mapping v2.0</w:t>
    </w:r>
    <w:r>
      <w:rPr>
        <w:rFonts w:ascii="Arial" w:cs="Arial" w:eastAsia="Arial" w:hAnsi="Arial"/>
        <w:color w:val="8896A6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8EC2" w:sz="4" w:space="4"/>
      </w:pBdr>
      <w:spacing w:before="340" w:after="120"/>
      <w:outlineLvl w:val="0"/>
    </w:pPr>
    <w:rPr>
      <w:rFonts w:ascii="Arial" w:cs="Arial" w:eastAsia="Arial" w:hAnsi="Arial"/>
      <w:b/>
      <w:bCs/>
      <w:color w:val="1E2D3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4A8EC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2026-02-19T10:46:20.268Z</dcterms:created>
  <dcterms:modified xsi:type="dcterms:W3CDTF">2026-02-19T10:46:20.268Z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