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3A5C"/>
          <w:sz w:val="56"/>
          <w:szCs w:val="56"/>
        </w:rPr>
        <w:t xml:space="preserve">BUSINESS PLAN</w:t>
      </w:r>
    </w:p>
    <w:p>
      <w:pPr>
        <w:spacing w:after="80"/>
        <w:jc w:val="center"/>
      </w:pPr>
      <w:r>
        <w:rPr>
          <w:color w:val="2A9D8F"/>
          <w:sz w:val="24"/>
          <w:szCs w:val="24"/>
        </w:rPr>
        <w:t xml:space="preserve">────────────────────────────────────────</w:t>
      </w:r>
    </w:p>
    <w:p>
      <w:pPr>
        <w:spacing w:after="400"/>
        <w:jc w:val="center"/>
      </w:pPr>
      <w:r>
        <w:rPr>
          <w:rFonts w:ascii="Arial" w:cs="Arial" w:eastAsia="Arial" w:hAnsi="Arial"/>
          <w:b/>
          <w:bCs/>
          <w:color w:val="264653"/>
          <w:sz w:val="40"/>
          <w:szCs w:val="40"/>
        </w:rPr>
        <w:t xml:space="preserve">EduBridge Tanzania Limited</w:t>
      </w:r>
    </w:p>
    <w:p>
      <w:pPr>
        <w:spacing w:after="120"/>
        <w:jc w:val="center"/>
      </w:pPr>
      <w:r>
        <w:rPr>
          <w:rFonts w:ascii="Arial" w:cs="Arial" w:eastAsia="Arial" w:hAnsi="Arial"/>
          <w:i/>
          <w:iCs/>
          <w:color w:val="6B7280"/>
          <w:sz w:val="24"/>
          <w:szCs w:val="24"/>
        </w:rPr>
        <w:t xml:space="preserve">Transforming Education Through Professional Development,</w:t>
      </w:r>
    </w:p>
    <w:p>
      <w:pPr>
        <w:spacing w:after="120"/>
        <w:jc w:val="center"/>
      </w:pPr>
      <w:r>
        <w:rPr>
          <w:rFonts w:ascii="Arial" w:cs="Arial" w:eastAsia="Arial" w:hAnsi="Arial"/>
          <w:i/>
          <w:iCs/>
          <w:color w:val="6B7280"/>
          <w:sz w:val="24"/>
          <w:szCs w:val="24"/>
        </w:rPr>
        <w:t xml:space="preserve">International Accreditation, and Vocational Training Excellence</w:t>
      </w:r>
    </w:p>
    <w:p>
      <w:pPr>
        <w:spacing w:after="1200"/>
      </w:pPr>
    </w:p>
    <w:p>
      <w:pPr>
        <w:spacing w:after="80"/>
        <w:jc w:val="center"/>
      </w:pPr>
      <w:r>
        <w:rPr>
          <w:rFonts w:ascii="Arial" w:cs="Arial" w:eastAsia="Arial" w:hAnsi="Arial"/>
          <w:color w:val="6B7280"/>
          <w:sz w:val="22"/>
          <w:szCs w:val="22"/>
        </w:rPr>
        <w:t xml:space="preserve">Dar es Salaam, Tanzania</w:t>
      </w:r>
    </w:p>
    <w:p>
      <w:pPr>
        <w:spacing w:after="80"/>
        <w:jc w:val="center"/>
      </w:pPr>
      <w:r>
        <w:rPr>
          <w:rFonts w:ascii="Arial" w:cs="Arial" w:eastAsia="Arial" w:hAnsi="Arial"/>
          <w:color w:val="6B7280"/>
          <w:sz w:val="22"/>
          <w:szCs w:val="22"/>
        </w:rPr>
        <w:t xml:space="preserve">February 2026</w:t>
      </w:r>
    </w:p>
    <w:p>
      <w:pPr>
        <w:spacing w:after="80"/>
        <w:jc w:val="center"/>
      </w:pPr>
      <w:r>
        <w:rPr>
          <w:rFonts w:ascii="Arial" w:cs="Arial" w:eastAsia="Arial" w:hAnsi="Arial"/>
          <w:b/>
          <w:bCs/>
          <w:color w:val="E76F51"/>
          <w:sz w:val="20"/>
          <w:szCs w:val="20"/>
        </w:rPr>
        <w:t xml:space="preserve">CONFIDENTIAL</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before="0" w:line="276"/>
        <w:jc w:val="both"/>
      </w:pPr>
      <w:r>
        <w:rPr>
          <w:rFonts w:ascii="Arial" w:cs="Arial" w:eastAsia="Arial" w:hAnsi="Arial"/>
          <w:color w:val="333333"/>
          <w:sz w:val="24"/>
          <w:szCs w:val="24"/>
        </w:rPr>
        <w:t xml:space="preserve">EduBridge Tanzania Limited is a purpose-built education training and consulting company established to close the capacity gap between where Tanzanian schools and training institutions stand today and where international standards demand they should be. The company operates at the intersection of three converging forces: an acute teacher-quality crisis, a fast-growing private-school market seeking international accreditation, and a Technical and Vocational Education and Training (TVET) sector expanding at over ten per cent annually yet struggling to produce job-ready graduates.</w:t>
      </w:r>
    </w:p>
    <w:p>
      <w:pPr>
        <w:spacing w:after="160" w:before="0" w:line="276"/>
        <w:jc w:val="both"/>
      </w:pPr>
      <w:r>
        <w:rPr>
          <w:rFonts w:ascii="Arial" w:cs="Arial" w:eastAsia="Arial" w:hAnsi="Arial"/>
          <w:color w:val="333333"/>
          <w:sz w:val="24"/>
          <w:szCs w:val="24"/>
        </w:rPr>
        <w:t xml:space="preserve">Tanzania’s Education Sector Development Plan 2025/26–2029/30 reveals a financing gap of TSH 3.62 trillion and explicitly invites Public-Private Partnerships (PPPs) to bridge it. Yet fewer than a quarter of the country’s teachers have received any form of Continuous Professional Development (CPD), while the national Pupil-Teacher Ratio sits at 55:1 and climbs to 76:1 in underserved regions. Private schools, now accounting for 11 per cent of primary and 24 per cent of secondary enrolments, are eager to differentiate through Cambridge International or Cognia (American) accreditation but lack the internal expertise to navigate the migration.</w:t>
      </w:r>
    </w:p>
    <w:p>
      <w:pPr>
        <w:spacing w:after="160" w:before="0" w:line="276"/>
        <w:jc w:val="both"/>
      </w:pPr>
      <w:r>
        <w:rPr>
          <w:rFonts w:ascii="Arial" w:cs="Arial" w:eastAsia="Arial" w:hAnsi="Arial"/>
          <w:color w:val="333333"/>
          <w:sz w:val="24"/>
          <w:szCs w:val="24"/>
        </w:rPr>
        <w:t xml:space="preserve">EduBridge addresses these pain points with a modular, scalable portfolio spanning six service lines: Teacher CPD and Up-skilling, School Administration and Leadership Development, International Accreditation Consulting, Quality Assurance Systems Implementation, TVET and Tourism Training, and Education Strategy Consulting. Revenue is diversified across government contracts, B2B private-school engagements, donor-funded programmes, and direct employer upskilling in the tourism and hospitality sector.</w:t>
      </w:r>
    </w:p>
    <w:p>
      <w:pPr>
        <w:spacing w:after="160" w:before="0" w:line="276"/>
        <w:jc w:val="both"/>
      </w:pPr>
      <w:r>
        <w:rPr>
          <w:rFonts w:ascii="Arial" w:cs="Arial" w:eastAsia="Arial" w:hAnsi="Arial"/>
          <w:color w:val="333333"/>
          <w:sz w:val="24"/>
          <w:szCs w:val="24"/>
        </w:rPr>
        <w:t xml:space="preserve">The company’s phased rollout begins in Dar es Salaam and Arusha in 2026 with pilot contracts, expands into Zanzibar and northern Tanzania in 2027, and scales nationally through an offline-first EdTech platform by 2028–2029. First-year revenue is projected conservatively at TSH 480 million, growing to TSH 2.1 billion by Year Three as government framework agreements and donor partnerships come online.</w:t>
      </w:r>
    </w:p>
    <w:p>
      <w:r>
        <w:br w:type="page"/>
      </w:r>
    </w:p>
    <w:p>
      <w:pPr>
        <w:pStyle w:val="Heading1"/>
      </w:pPr>
      <w:r>
        <w:t xml:space="preserve">2. Company Overview</w:t>
      </w:r>
    </w:p>
    <w:p>
      <w:pPr>
        <w:pStyle w:val="Heading2"/>
      </w:pPr>
      <w:r>
        <w:t xml:space="preserve">2.1 Vision</w:t>
      </w:r>
    </w:p>
    <w:p>
      <w:pPr>
        <w:spacing w:after="160" w:before="0" w:line="276"/>
        <w:jc w:val="both"/>
      </w:pPr>
      <w:r>
        <w:rPr>
          <w:rFonts w:ascii="Arial" w:cs="Arial" w:eastAsia="Arial" w:hAnsi="Arial"/>
          <w:color w:val="333333"/>
          <w:sz w:val="24"/>
          <w:szCs w:val="24"/>
        </w:rPr>
        <w:t xml:space="preserve">To become East Africa’s most trusted partner in transforming education quality, ensuring every learner and educator can access world-class training and standards.</w:t>
      </w:r>
    </w:p>
    <w:p>
      <w:pPr>
        <w:pStyle w:val="Heading2"/>
      </w:pPr>
      <w:r>
        <w:t xml:space="preserve">2.2 Mission</w:t>
      </w:r>
    </w:p>
    <w:p>
      <w:pPr>
        <w:spacing w:after="160" w:before="0" w:line="276"/>
        <w:jc w:val="both"/>
      </w:pPr>
      <w:r>
        <w:rPr>
          <w:rFonts w:ascii="Arial" w:cs="Arial" w:eastAsia="Arial" w:hAnsi="Arial"/>
          <w:color w:val="333333"/>
          <w:sz w:val="24"/>
          <w:szCs w:val="24"/>
        </w:rPr>
        <w:t xml:space="preserve">EduBridge empowers Tanzanian schools, educators, and training institutions to achieve measurable improvements in teaching quality, administrative excellence, and international accreditation through contextually relevant, technology-enhanced professional development programmes.</w:t>
      </w:r>
    </w:p>
    <w:p>
      <w:pPr>
        <w:pStyle w:val="Heading2"/>
      </w:pPr>
      <w:r>
        <w:t xml:space="preserve">2.3 Core Values</w:t>
      </w:r>
    </w:p>
    <w:p>
      <w:pPr>
        <w:pStyle w:val="ListParagraph"/>
        <w:numPr>
          <w:ilvl w:val="0"/>
          <w:numId w:val="2"/>
        </w:numPr>
        <w:spacing w:after="80" w:line="276"/>
      </w:pPr>
      <w:r>
        <w:rPr>
          <w:rFonts w:ascii="Arial" w:cs="Arial" w:eastAsia="Arial" w:hAnsi="Arial"/>
          <w:b/>
          <w:bCs/>
          <w:color w:val="333333"/>
          <w:sz w:val="24"/>
          <w:szCs w:val="24"/>
        </w:rPr>
        <w:t xml:space="preserve">Excellence:</w:t>
      </w:r>
      <w:r>
        <w:rPr>
          <w:rFonts w:ascii="Arial" w:cs="Arial" w:eastAsia="Arial" w:hAnsi="Arial"/>
          <w:color w:val="333333"/>
          <w:sz w:val="24"/>
          <w:szCs w:val="24"/>
        </w:rPr>
        <w:t xml:space="preserve"> Holding ourselves and our clients to the highest international standards while respecting local context.</w:t>
      </w:r>
    </w:p>
    <w:p>
      <w:pPr>
        <w:pStyle w:val="ListParagraph"/>
        <w:numPr>
          <w:ilvl w:val="0"/>
          <w:numId w:val="2"/>
        </w:numPr>
        <w:spacing w:after="80" w:line="276"/>
      </w:pPr>
      <w:r>
        <w:rPr>
          <w:rFonts w:ascii="Arial" w:cs="Arial" w:eastAsia="Arial" w:hAnsi="Arial"/>
          <w:b/>
          <w:bCs/>
          <w:color w:val="333333"/>
          <w:sz w:val="24"/>
          <w:szCs w:val="24"/>
        </w:rPr>
        <w:t xml:space="preserve">Impact:</w:t>
      </w:r>
      <w:r>
        <w:rPr>
          <w:rFonts w:ascii="Arial" w:cs="Arial" w:eastAsia="Arial" w:hAnsi="Arial"/>
          <w:color w:val="333333"/>
          <w:sz w:val="24"/>
          <w:szCs w:val="24"/>
        </w:rPr>
        <w:t xml:space="preserve"> Measuring success not by courses delivered but by learning outcomes improved.</w:t>
      </w:r>
    </w:p>
    <w:p>
      <w:pPr>
        <w:pStyle w:val="ListParagraph"/>
        <w:numPr>
          <w:ilvl w:val="0"/>
          <w:numId w:val="2"/>
        </w:numPr>
        <w:spacing w:after="80" w:line="276"/>
      </w:pPr>
      <w:r>
        <w:rPr>
          <w:rFonts w:ascii="Arial" w:cs="Arial" w:eastAsia="Arial" w:hAnsi="Arial"/>
          <w:b/>
          <w:bCs/>
          <w:color w:val="333333"/>
          <w:sz w:val="24"/>
          <w:szCs w:val="24"/>
        </w:rPr>
        <w:t xml:space="preserve">Inclusion:</w:t>
      </w:r>
      <w:r>
        <w:rPr>
          <w:rFonts w:ascii="Arial" w:cs="Arial" w:eastAsia="Arial" w:hAnsi="Arial"/>
          <w:color w:val="333333"/>
          <w:sz w:val="24"/>
          <w:szCs w:val="24"/>
        </w:rPr>
        <w:t xml:space="preserve"> Designing programmes that serve urban elites and rural communities alike through blended and offline-first delivery.</w:t>
      </w:r>
    </w:p>
    <w:p>
      <w:pPr>
        <w:pStyle w:val="ListParagraph"/>
        <w:numPr>
          <w:ilvl w:val="0"/>
          <w:numId w:val="2"/>
        </w:numPr>
        <w:spacing w:after="80" w:line="276"/>
      </w:pPr>
      <w:r>
        <w:rPr>
          <w:rFonts w:ascii="Arial" w:cs="Arial" w:eastAsia="Arial" w:hAnsi="Arial"/>
          <w:b/>
          <w:bCs/>
          <w:color w:val="333333"/>
          <w:sz w:val="24"/>
          <w:szCs w:val="24"/>
        </w:rPr>
        <w:t xml:space="preserve">Integrity:</w:t>
      </w:r>
      <w:r>
        <w:rPr>
          <w:rFonts w:ascii="Arial" w:cs="Arial" w:eastAsia="Arial" w:hAnsi="Arial"/>
          <w:color w:val="333333"/>
          <w:sz w:val="24"/>
          <w:szCs w:val="24"/>
        </w:rPr>
        <w:t xml:space="preserve"> Operating transparently within Tanzania’s regulatory framework and maintaining the trust of government, donors, and school communities.</w:t>
      </w:r>
    </w:p>
    <w:p>
      <w:pPr>
        <w:pStyle w:val="ListParagraph"/>
        <w:numPr>
          <w:ilvl w:val="0"/>
          <w:numId w:val="2"/>
        </w:numPr>
        <w:spacing w:after="80" w:line="276"/>
      </w:pPr>
      <w:r>
        <w:rPr>
          <w:rFonts w:ascii="Arial" w:cs="Arial" w:eastAsia="Arial" w:hAnsi="Arial"/>
          <w:b/>
          <w:bCs/>
          <w:color w:val="333333"/>
          <w:sz w:val="24"/>
          <w:szCs w:val="24"/>
        </w:rPr>
        <w:t xml:space="preserve">Innovation:</w:t>
      </w:r>
      <w:r>
        <w:rPr>
          <w:rFonts w:ascii="Arial" w:cs="Arial" w:eastAsia="Arial" w:hAnsi="Arial"/>
          <w:color w:val="333333"/>
          <w:sz w:val="24"/>
          <w:szCs w:val="24"/>
        </w:rPr>
        <w:t xml:space="preserve"> Integrating artificial intelligence and modern pedagogical research into every module we build.</w:t>
      </w:r>
    </w:p>
    <w:p>
      <w:pPr>
        <w:pStyle w:val="Heading2"/>
      </w:pPr>
      <w:r>
        <w:t xml:space="preserve">2.4 Legal Structure and Registration</w:t>
      </w:r>
    </w:p>
    <w:p>
      <w:pPr>
        <w:spacing w:after="160" w:before="0" w:line="276"/>
        <w:jc w:val="both"/>
      </w:pPr>
      <w:r>
        <w:rPr>
          <w:rFonts w:ascii="Arial" w:cs="Arial" w:eastAsia="Arial" w:hAnsi="Arial"/>
          <w:color w:val="333333"/>
          <w:sz w:val="24"/>
          <w:szCs w:val="24"/>
        </w:rPr>
        <w:t xml:space="preserve">EduBridge Tanzania Limited will be incorporated as a private limited company under the Companies Act (2002) and registered with the Business Registration and Licensing Agency (BRELA). The company will obtain a Tax Identification Number from the Tanzania Revenue Authority and pursue registration with the National Council for Technical and Vocational Education and Training (NACTVET) for its vocational training offerings. A separate legal entity will be established in Zanzibar under the Ministry of Education and Vocational Training (MoEVT) and the Vocational Training Authority (VTA) to comply with the semi-autonomous territory’s distinct regulatory framework.</w:t>
      </w:r>
    </w:p>
    <w:p>
      <w:pPr>
        <w:pStyle w:val="Heading2"/>
      </w:pPr>
      <w:r>
        <w:t xml:space="preserve">2.5 Founding Team</w:t>
      </w:r>
    </w:p>
    <w:p>
      <w:pPr>
        <w:spacing w:after="160" w:before="0" w:line="276"/>
        <w:jc w:val="both"/>
      </w:pPr>
      <w:r>
        <w:rPr>
          <w:rFonts w:ascii="Arial" w:cs="Arial" w:eastAsia="Arial" w:hAnsi="Arial"/>
          <w:color w:val="333333"/>
          <w:sz w:val="24"/>
          <w:szCs w:val="24"/>
        </w:rPr>
        <w:t xml:space="preserve">The founding team brings together deep expertise in education policy, international curriculum standards, technology-enabled learning, and business development across East and Southern Africa. Core competencies include experience with National Malaria Control Programmes, composite indicator development, geospatial analytics, and scalable digital solutions for complex socioeconomic challenges, providing a robust analytical foundation for data-driven education interventions.</w:t>
      </w:r>
    </w:p>
    <w:p>
      <w:r>
        <w:br w:type="page"/>
      </w:r>
    </w:p>
    <w:p>
      <w:pPr>
        <w:pStyle w:val="Heading1"/>
      </w:pPr>
      <w:r>
        <w:t xml:space="preserve">3. Market Analysis</w:t>
      </w:r>
    </w:p>
    <w:p>
      <w:pPr>
        <w:pStyle w:val="Heading2"/>
      </w:pPr>
      <w:r>
        <w:t xml:space="preserve">3.1 The Tanzanian Education Landscape</w:t>
      </w:r>
    </w:p>
    <w:p>
      <w:pPr>
        <w:spacing w:after="160" w:before="0" w:line="276"/>
        <w:jc w:val="both"/>
      </w:pPr>
      <w:r>
        <w:rPr>
          <w:rFonts w:ascii="Arial" w:cs="Arial" w:eastAsia="Arial" w:hAnsi="Arial"/>
          <w:color w:val="333333"/>
          <w:sz w:val="24"/>
          <w:szCs w:val="24"/>
        </w:rPr>
        <w:t xml:space="preserve">Tanzania’s education sector is characterised by rapid expansion, structural underfunding, and widening quality gaps. Over 11.3 million pupils are enrolled at the primary level alone, with gross primary enrolment around 93 per cent but net secondary enrolment significantly lower. The public system serves the vast majority but is stretched thin: the national Pupil-Teacher Ratio of 55:1 masks severe regional disparities, with the Pupil-to-Qualified-Teacher Ratio reaching 76:1 in underserved areas. Government expenditure on education has fluctuated, and the ESDP 2025–2030 identifies a financing gap of TSH 3.62 trillion, creating a structural necessity for private-sector participation.</w:t>
      </w:r>
    </w:p>
    <w:p>
      <w:pPr>
        <w:pStyle w:val="Heading2"/>
      </w:pPr>
      <w:r>
        <w:t xml:space="preserve">3.2 Teacher Capacity Crisis</w:t>
      </w:r>
    </w:p>
    <w:p>
      <w:pPr>
        <w:spacing w:after="160" w:before="0" w:line="276"/>
        <w:jc w:val="both"/>
      </w:pPr>
      <w:r>
        <w:rPr>
          <w:rFonts w:ascii="Arial" w:cs="Arial" w:eastAsia="Arial" w:hAnsi="Arial"/>
          <w:color w:val="333333"/>
          <w:sz w:val="24"/>
          <w:szCs w:val="24"/>
        </w:rPr>
        <w:t xml:space="preserve">The deficit in teacher training is the single largest drag on education quality. A 2020 audit by the Controller and Auditor General found that only 18 per cent of primary and 19 per cent of secondary teachers received any in-service training between 2015/16 and 2018/19. The government’s target under the ESDP is to raise CPD uptake from 23 per cent to 50 per cent, a goal that cannot be met without significant private-sector delivery capacity. Teachers in the private sector are particularly underserved: while government programmes occasionally reach public-school teachers through donor-funded projects, private-school educators often lack access to structured, nationally recognised CPD pathways.</w:t>
      </w:r>
    </w:p>
    <w:p>
      <w:pPr>
        <w:pStyle w:val="Heading2"/>
      </w:pPr>
      <w:r>
        <w:t xml:space="preserve">3.3 Private School Growth and International Curriculum Demand</w:t>
      </w:r>
    </w:p>
    <w:p>
      <w:pPr>
        <w:spacing w:after="160" w:before="0" w:line="276"/>
        <w:jc w:val="both"/>
      </w:pPr>
      <w:r>
        <w:rPr>
          <w:rFonts w:ascii="Arial" w:cs="Arial" w:eastAsia="Arial" w:hAnsi="Arial"/>
          <w:color w:val="333333"/>
          <w:sz w:val="24"/>
          <w:szCs w:val="24"/>
        </w:rPr>
        <w:t xml:space="preserve">Private institutions accounted for 11 per cent of primary and 24 per cent of secondary schools as of 2022. Dar es Salaam alone hosts approximately 22 per cent of all private primary schools in the country, with Arusha, Mwanza, Kilimanjaro, and Pwani collectively holding another quarter. Parents in urban centres increasingly demand international curricula—Cambridge IGCSE, A-Levels, IB, and American systems—as pathways to overseas university admission and global career mobility. Schools such as IST, Braeburn, HOPAC, Feza, and Aga Khan already offer international tracks, but dozens more aspire to transition. The gap between aspiration and readiness is where EduBridge creates value: providing the structured consulting, teacher retraining, and quality assurance infrastructure needed to achieve and maintain international accreditation.</w:t>
      </w:r>
    </w:p>
    <w:p>
      <w:pPr>
        <w:pStyle w:val="Heading2"/>
      </w:pPr>
      <w:r>
        <w:t xml:space="preserve">3.4 TVET and Tourism Sector Skills Gap</w:t>
      </w:r>
    </w:p>
    <w:p>
      <w:pPr>
        <w:spacing w:after="160" w:before="0" w:line="276"/>
        <w:jc w:val="both"/>
      </w:pPr>
      <w:r>
        <w:rPr>
          <w:rFonts w:ascii="Arial" w:cs="Arial" w:eastAsia="Arial" w:hAnsi="Arial"/>
          <w:color w:val="333333"/>
          <w:sz w:val="24"/>
          <w:szCs w:val="24"/>
        </w:rPr>
        <w:t xml:space="preserve">The TVET sector has grown rapidly, with 1,483 institutions under MoEST comprising 530 Technical Colleges, 898 Vocational Colleges, and 55 Folk Development Colleges. Annual enrolment growth exceeds 10 per cent. Yet access remains severely constrained: approximately 30,000 students compete for only 6,000 spots in Vocational Training Centers, and 140,000 for 73,000 spots in Technical Colleges, yielding a gross enrolment ratio of just 4.2 per cent. The tourism and hospitality sector, a pillar of Tanzania’s economy with growth exceeding expectations in 2024, faces documented skill gaps in soft skills, management, and service delivery. Training institution outputs do not match employer requirements, creating a lucrative gap for competency-based, industry-aligned short courses.</w:t>
      </w:r>
    </w:p>
    <w:p>
      <w:pPr>
        <w:pStyle w:val="Heading2"/>
      </w:pPr>
      <w:r>
        <w:t xml:space="preserve">3.5 Competitive Landscape</w:t>
      </w:r>
    </w:p>
    <w:p>
      <w:pPr>
        <w:spacing w:after="160" w:before="0" w:line="276"/>
        <w:jc w:val="both"/>
      </w:pPr>
      <w:r>
        <w:rPr>
          <w:rFonts w:ascii="Arial" w:cs="Arial" w:eastAsia="Arial" w:hAnsi="Arial"/>
          <w:color w:val="333333"/>
          <w:sz w:val="24"/>
          <w:szCs w:val="24"/>
        </w:rPr>
        <w:t xml:space="preserve">The education training market in Tanzania is fragmented, with no dominant private player offering the full spectrum from CPD through accreditation consulting to TVET curriculum design. Key actors include international bodies like Cambridge International and Cognia (who provide frameworks but not in-country implementation support), donor-funded projects such as the World Bank’s ESPJ and Shule Bora programmes (which are time-bound and sector-specific), and smaller consultancies that lack scale. EduBridge’s competitive advantage lies in combining local regulatory expertise with international accreditation knowledge, blended delivery infrastructure, and an analytics-driven approach to measuring impact.</w:t>
      </w:r>
    </w:p>
    <w:p>
      <w:r>
        <w:br w:type="page"/>
      </w:r>
    </w:p>
    <w:p>
      <w:pPr>
        <w:pStyle w:val="Heading1"/>
      </w:pPr>
      <w:r>
        <w:t xml:space="preserve">4. Product and Service Portfolio</w:t>
      </w:r>
    </w:p>
    <w:p>
      <w:pPr>
        <w:spacing w:after="160" w:before="0" w:line="276"/>
        <w:jc w:val="both"/>
      </w:pPr>
      <w:r>
        <w:rPr>
          <w:rFonts w:ascii="Arial" w:cs="Arial" w:eastAsia="Arial" w:hAnsi="Arial"/>
          <w:color w:val="333333"/>
          <w:sz w:val="24"/>
          <w:szCs w:val="24"/>
        </w:rPr>
        <w:t xml:space="preserve">EduBridge’s modular portfolio is designed to serve multiple customer segments simultaneously, mitigating revenue concentration risk and creating cross-selling opportunities.</w:t>
      </w:r>
    </w:p>
    <w:p>
      <w:pPr>
        <w:pStyle w:val="Heading2"/>
      </w:pPr>
      <w:r>
        <w:t xml:space="preserve">4.1 Teacher CPD and Up-skilling</w:t>
      </w:r>
    </w:p>
    <w:p>
      <w:pPr>
        <w:spacing w:after="160" w:before="0" w:line="276"/>
        <w:jc w:val="both"/>
      </w:pPr>
      <w:r>
        <w:rPr>
          <w:rFonts w:ascii="Arial" w:cs="Arial" w:eastAsia="Arial" w:hAnsi="Arial"/>
          <w:color w:val="333333"/>
          <w:sz w:val="24"/>
          <w:szCs w:val="24"/>
        </w:rPr>
        <w:t xml:space="preserve">Comprehensive Continuous Professional Development modules aligned with Tanzania’s National Framework for CPD, covering Competence-Based Curriculum (CBC) pedagogy, digital literacy, 3Rs (Reading, Writing, Arithmetic), classroom management, and subject-specific methodologies. Delivery uses a blended model combining face-to-face workshops with offline-first digital tools to overcome connectivity constraints in rural areas. All modules are designed to be recognised by MoEST and contribute to teacher promotion portfolios.</w:t>
      </w:r>
    </w:p>
    <w:p>
      <w:pPr>
        <w:pStyle w:val="Heading2"/>
      </w:pPr>
      <w:r>
        <w:t xml:space="preserve">4.2 School Administration and Leadership Development</w:t>
      </w:r>
    </w:p>
    <w:p>
      <w:pPr>
        <w:spacing w:after="160" w:before="0" w:line="276"/>
        <w:jc w:val="both"/>
      </w:pPr>
      <w:r>
        <w:rPr>
          <w:rFonts w:ascii="Arial" w:cs="Arial" w:eastAsia="Arial" w:hAnsi="Arial"/>
          <w:color w:val="333333"/>
          <w:sz w:val="24"/>
          <w:szCs w:val="24"/>
        </w:rPr>
        <w:t xml:space="preserve">Structured programmes for head teachers, deputy heads, and school administrators covering strategic planning, financial management, human resource practices, data-driven decision-making, student welfare systems, and stakeholder engagement. These programmes address the critical gap in school-level management that undermines even well-designed curricula. Modules include the use of School Quality Assurance Self-Evaluation (SQAS) tools and Open Performance Review and Assessment System (OPRAS) implementation.</w:t>
      </w:r>
    </w:p>
    <w:p>
      <w:pPr>
        <w:pStyle w:val="Heading2"/>
      </w:pPr>
      <w:r>
        <w:t xml:space="preserve">4.3 International Accreditation Consulting</w:t>
      </w:r>
    </w:p>
    <w:p>
      <w:pPr>
        <w:spacing w:after="160" w:before="0" w:line="276"/>
        <w:jc w:val="both"/>
      </w:pPr>
      <w:r>
        <w:rPr>
          <w:rFonts w:ascii="Arial" w:cs="Arial" w:eastAsia="Arial" w:hAnsi="Arial"/>
          <w:color w:val="333333"/>
          <w:sz w:val="24"/>
          <w:szCs w:val="24"/>
        </w:rPr>
        <w:t xml:space="preserve">End-to-end consulting for schools seeking to transition to Cambridge International, Cognia (American), or International Baccalaureate frameworks. Services include readiness audits, gap analyses, teacher credentialing (Cambridge Professional Development Qualifications), curriculum mapping, documentation preparation, mock inspections, and ongoing compliance support. This premium service is priced in USD to mitigate forex exposure, given that accreditation fees themselves are denominated in foreign currency (for example, Cognia annual membership is USD 3,000 for schools outside the US, with additional Engagement Review fees).</w:t>
      </w:r>
    </w:p>
    <w:p>
      <w:pPr>
        <w:pStyle w:val="Heading2"/>
      </w:pPr>
      <w:r>
        <w:t xml:space="preserve">4.4 Quality Assurance Systems Implementation</w:t>
      </w:r>
    </w:p>
    <w:p>
      <w:pPr>
        <w:spacing w:after="160" w:before="0" w:line="276"/>
        <w:jc w:val="both"/>
      </w:pPr>
      <w:r>
        <w:rPr>
          <w:rFonts w:ascii="Arial" w:cs="Arial" w:eastAsia="Arial" w:hAnsi="Arial"/>
          <w:color w:val="333333"/>
          <w:sz w:val="24"/>
          <w:szCs w:val="24"/>
        </w:rPr>
        <w:t xml:space="preserve">Establishing internal Quality Control and Quality Assurance frameworks within schools and TVET institutions, including Quality Management Plan development, QC/QA committee formation, and preparation for external NACTVET accreditation renewals and SQAS evaluations. This service addresses the NACTVET requirement that all institutions maintain an active Quality Management Plan.</w:t>
      </w:r>
    </w:p>
    <w:p>
      <w:pPr>
        <w:pStyle w:val="Heading2"/>
      </w:pPr>
      <w:r>
        <w:t xml:space="preserve">4.5 TVET and Tourism Training</w:t>
      </w:r>
    </w:p>
    <w:p>
      <w:pPr>
        <w:spacing w:after="160" w:before="0" w:line="276"/>
        <w:jc w:val="both"/>
      </w:pPr>
      <w:r>
        <w:rPr>
          <w:rFonts w:ascii="Arial" w:cs="Arial" w:eastAsia="Arial" w:hAnsi="Arial"/>
          <w:color w:val="333333"/>
          <w:sz w:val="24"/>
          <w:szCs w:val="24"/>
        </w:rPr>
        <w:t xml:space="preserve">Industry-aligned Competence-Based Education and Training (CBET) programmes mapped to National Vocational Awards (NVA) standards. Initial focus on tourism, hospitality, and ICT sectors—the three areas identified by the National Skills Development Strategy II as priority sectors with the most acute skill gaps. Programmes include both instructor training for TVET centres and direct upskilling for tourism employers through short, competency-based courses designed to deliver immediate productivity gains.</w:t>
      </w:r>
    </w:p>
    <w:p>
      <w:pPr>
        <w:pStyle w:val="Heading2"/>
      </w:pPr>
      <w:r>
        <w:t xml:space="preserve">4.6 Education Strategy Consulting</w:t>
      </w:r>
    </w:p>
    <w:p>
      <w:pPr>
        <w:spacing w:after="160" w:before="0" w:line="276"/>
        <w:jc w:val="both"/>
      </w:pPr>
      <w:r>
        <w:rPr>
          <w:rFonts w:ascii="Arial" w:cs="Arial" w:eastAsia="Arial" w:hAnsi="Arial"/>
          <w:color w:val="333333"/>
          <w:sz w:val="24"/>
          <w:szCs w:val="24"/>
        </w:rPr>
        <w:t xml:space="preserve">Advisory services for government agencies, donor organisations, and private education groups on education policy implementation, curriculum reform, data systems integration, and monitoring and evaluation framework design. This includes support for integrating with the Education Sector Management Information System (ESMIS) and TVET-IMS platforms, ensuring data governance compliance and supporting annual census data collection cycles.</w:t>
      </w:r>
    </w:p>
    <w:p>
      <w:pPr>
        <w:pStyle w:val="Heading2"/>
      </w:pPr>
      <w:r>
        <w:t xml:space="preserve">4.7 AI Integration in Education</w:t>
      </w:r>
    </w:p>
    <w:p>
      <w:pPr>
        <w:spacing w:after="160" w:before="0" w:line="276"/>
        <w:jc w:val="both"/>
      </w:pPr>
      <w:r>
        <w:rPr>
          <w:rFonts w:ascii="Arial" w:cs="Arial" w:eastAsia="Arial" w:hAnsi="Arial"/>
          <w:color w:val="333333"/>
          <w:sz w:val="24"/>
          <w:szCs w:val="24"/>
        </w:rPr>
        <w:t xml:space="preserve">EduBridge will pioneer the integration of artificial intelligence tools into Tanzanian education through teacher training on AI-assisted lesson planning, adaptive learning platform deployment, automated assessment and feedback systems, and data analytics for early-warning identification of at-risk students. AI integration will be introduced progressively, starting with low-bandwidth tools suitable for Tanzania’s connectivity landscape.</w:t>
      </w:r>
    </w:p>
    <w:p>
      <w:pPr>
        <w:pStyle w:val="Heading2"/>
      </w:pPr>
      <w:r>
        <w:t xml:space="preserve">4.8 Team Building for Education</w:t>
      </w:r>
    </w:p>
    <w:p>
      <w:pPr>
        <w:spacing w:after="160" w:before="0" w:line="276"/>
        <w:jc w:val="both"/>
      </w:pPr>
      <w:r>
        <w:rPr>
          <w:rFonts w:ascii="Arial" w:cs="Arial" w:eastAsia="Arial" w:hAnsi="Arial"/>
          <w:color w:val="333333"/>
          <w:sz w:val="24"/>
          <w:szCs w:val="24"/>
        </w:rPr>
        <w:t xml:space="preserve">Customised team-building programmes for school staff, designed to strengthen collaboration, communication, and shared purpose among teachers and administrators. These programmes address the often-overlooked interpersonal dynamics that determine whether institutional reforms succeed or fail at the school level.</w:t>
      </w:r>
    </w:p>
    <w:p>
      <w:r>
        <w:br w:type="page"/>
      </w:r>
    </w:p>
    <w:p>
      <w:pPr>
        <w:pStyle w:val="Heading1"/>
      </w:pPr>
      <w:r>
        <w:t xml:space="preserve">5. Target Market Segments</w:t>
      </w:r>
    </w:p>
    <w:p>
      <w:pPr>
        <w:spacing w:after="160" w:before="0" w:line="276"/>
        <w:jc w:val="both"/>
      </w:pPr>
      <w:r>
        <w:rPr>
          <w:rFonts w:ascii="Arial" w:cs="Arial" w:eastAsia="Arial" w:hAnsi="Arial"/>
          <w:color w:val="333333"/>
          <w:sz w:val="24"/>
          <w:szCs w:val="24"/>
        </w:rPr>
        <w:t xml:space="preserve">EduBridge serves four distinct customer segments, each with different buying dynamics and entry products: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42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Characteristics</w:t>
            </w:r>
          </w:p>
        </w:tc>
        <w:tc>
          <w:tcPr>
            <w:tcW w:type="dxa" w:w="31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Entry Product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Public Schools (PO-RALG)</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High volume, low budget per school. Procurement centralised or donor-funded. Focus on equity and foundational literacy.</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Large-scale CPD contracts via PPPs or donor projects (World Bank, GPE).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Private Schools</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 of secondary market. High willingness to pay for differentiation. Seeking Cambridge or Cognia status.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Accreditation readiness audits, teacher PDQs, QA system setup.</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TVET Centres</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1,483+ institutions regulated by NACTVET. Need industry-aligned curricula and instructor capacity.</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NVA-aligned tourism/hospitality curriculum design and instructor training.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Tourism Employers</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Face acute skill gaps in soft skills and management. Willing to pay for immediate productivity gains.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Short competency-based upskilling courses for existing staff.</w:t>
            </w:r>
          </w:p>
        </w:tc>
      </w:tr>
    </w:tbl>
    <w:p>
      <w:pPr>
        <w:spacing w:after="120"/>
      </w:pPr>
    </w:p>
    <w:p>
      <w:pPr>
        <w:pStyle w:val="Heading2"/>
      </w:pPr>
      <w:r>
        <w:t xml:space="preserve">5.1 Geographic Priorities</w:t>
      </w:r>
    </w:p>
    <w:p>
      <w:pPr>
        <w:spacing w:after="160" w:before="0" w:line="276"/>
        <w:jc w:val="both"/>
      </w:pPr>
      <w:r>
        <w:rPr>
          <w:rFonts w:ascii="Arial" w:cs="Arial" w:eastAsia="Arial" w:hAnsi="Arial"/>
          <w:color w:val="333333"/>
          <w:sz w:val="24"/>
          <w:szCs w:val="24"/>
        </w:rPr>
        <w:t xml:space="preserve">Dar es Salaam is the natural launch market, hosting the highest concentration of private schools and the country’s largest pool of employers. Arusha follows as the tourism capital with a significant expatriate community and a cluster of international schools. Zanzibar represents a strategic expansion opportunity given its semi-autonomous status, distinct regulatory framework, and burgeoning tourism economy. Mwanza and Kilimanjaro round out the medium-term expansion plan, contributing an additional quarter of the country’s private-school market.</w:t>
      </w:r>
    </w:p>
    <w:p>
      <w:r>
        <w:br w:type="page"/>
      </w:r>
    </w:p>
    <w:p>
      <w:pPr>
        <w:pStyle w:val="Heading1"/>
      </w:pPr>
      <w:r>
        <w:t xml:space="preserve">6. Regulatory and Accreditation Pathways</w:t>
      </w:r>
    </w:p>
    <w:p>
      <w:pPr>
        <w:pStyle w:val="Heading2"/>
      </w:pPr>
      <w:r>
        <w:t xml:space="preserve">6.1 Mainland Tanzania</w:t>
      </w:r>
    </w:p>
    <w:p>
      <w:pPr>
        <w:spacing w:after="160" w:before="0" w:line="276"/>
        <w:jc w:val="both"/>
      </w:pPr>
      <w:r>
        <w:rPr>
          <w:rFonts w:ascii="Arial" w:cs="Arial" w:eastAsia="Arial" w:hAnsi="Arial"/>
          <w:color w:val="333333"/>
          <w:sz w:val="24"/>
          <w:szCs w:val="24"/>
        </w:rPr>
        <w:t xml:space="preserve">Operating on the Mainland requires sequential compliance with multiple regulatory bodies. BRELA registration and TIN issuance are prerequisites. NACTVET governs all vocational and technical training, requiring institutions to obtain Provisional and then Full Registration. MoEST and PO-RALG oversee general education, and any company delivering CPD must align with the National Framework for Continuous Professional Development. School Quality Control is managed by offices in all 26 regions.</w:t>
      </w:r>
    </w:p>
    <w:p>
      <w:pPr>
        <w:pStyle w:val="Heading2"/>
      </w:pPr>
      <w:r>
        <w:t xml:space="preserve">6.2 Zanzibar</w:t>
      </w:r>
    </w:p>
    <w:p>
      <w:pPr>
        <w:spacing w:after="160" w:before="0" w:line="276"/>
        <w:jc w:val="both"/>
      </w:pPr>
      <w:r>
        <w:rPr>
          <w:rFonts w:ascii="Arial" w:cs="Arial" w:eastAsia="Arial" w:hAnsi="Arial"/>
          <w:color w:val="333333"/>
          <w:sz w:val="24"/>
          <w:szCs w:val="24"/>
        </w:rPr>
        <w:t xml:space="preserve">Zanzibar’s semi-autonomous status necessitates a separate legal entity and compliance pathway. The Ministry of Education and Vocational Training (MoEVT) oversees general education, while the Vocational Training Authority (VTA) regulates TVET under the Vocational Training Act (2006). The VTA Board includes private-sector representatives and coordinates training standards independently. Labour laws differ from the Mainland, and all curriculum and certification must be VTA-approved.</w:t>
      </w:r>
    </w:p>
    <w:p>
      <w:pPr>
        <w:pStyle w:val="Heading2"/>
      </w:pPr>
      <w:r>
        <w:t xml:space="preserve">6.3 International Curriculum Pathways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rPr>
          <w:tblHeader/>
        </w:trPr>
        <w:tc>
          <w:tcPr>
            <w:tcW w:type="dxa" w:w="16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Pathway</w:t>
            </w:r>
          </w:p>
        </w:tc>
        <w:tc>
          <w:tcPr>
            <w:tcW w:type="dxa" w:w="26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Approval Process</w:t>
            </w:r>
          </w:p>
        </w:tc>
        <w:tc>
          <w:tcPr>
            <w:tcW w:type="dxa" w:w="26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Teacher Credentialing</w:t>
            </w:r>
          </w:p>
        </w:tc>
        <w:tc>
          <w:tcPr>
            <w:tcW w:type="dxa" w:w="25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Implications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NECTA (National)</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Integrated into standard MoEST registration.</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Teachers registered with focus on CBC.</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Lower cost; aligned with national capitation grants.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Cambridge International</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Application process with approval visit by Cambridge representatives.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Teachers require Cambridge PDQs.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Application fee, annual programme fees, learner registration fees.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Cognia (US System)</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Continuous improvement model; less rigid upfront gate.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Access to eleot observation tool for teacher assessment.</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USD 3,000 annual membership plus Engagement Review fees.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IB (International Baccalaureate)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Multi-stage candidacy and authorisation process.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IB-specific training and workshops required.</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Candidacy fees, annual fees, per-student exam fees.</w:t>
            </w:r>
          </w:p>
        </w:tc>
      </w:tr>
    </w:tbl>
    <w:p>
      <w:pPr>
        <w:spacing w:after="80"/>
      </w:pPr>
    </w:p>
    <w:p>
      <w:pPr>
        <w:spacing w:after="160" w:before="0" w:line="276"/>
        <w:jc w:val="both"/>
      </w:pPr>
      <w:r>
        <w:rPr>
          <w:rFonts w:ascii="Arial" w:cs="Arial" w:eastAsia="Arial" w:hAnsi="Arial"/>
          <w:color w:val="333333"/>
          <w:sz w:val="24"/>
          <w:szCs w:val="24"/>
        </w:rPr>
        <w:t xml:space="preserve">EduBridge’s strategic insight: Cognia’s continuous improvement framework can be marketed as a quality differentiator even before full accreditation is achieved, making it attractive for schools that want to signal quality quickly. Cambridge, by contrast, requires a stricter upfront approval visit but carries stronger brand recognition in East Africa.</w:t>
      </w:r>
    </w:p>
    <w:p>
      <w:r>
        <w:br w:type="page"/>
      </w:r>
    </w:p>
    <w:p>
      <w:pPr>
        <w:pStyle w:val="Heading1"/>
      </w:pPr>
      <w:r>
        <w:t xml:space="preserve">7. Go-to-Market and Partnerships Strategy</w:t>
      </w:r>
    </w:p>
    <w:p>
      <w:pPr>
        <w:pStyle w:val="Heading2"/>
      </w:pPr>
      <w:r>
        <w:t xml:space="preserve">7.1 Government Partnerships</w:t>
      </w:r>
    </w:p>
    <w:p>
      <w:pPr>
        <w:pStyle w:val="ListParagraph"/>
        <w:numPr>
          <w:ilvl w:val="0"/>
          <w:numId w:val="2"/>
        </w:numPr>
        <w:spacing w:after="80" w:line="276"/>
      </w:pPr>
      <w:r>
        <w:rPr>
          <w:rFonts w:ascii="Arial" w:cs="Arial" w:eastAsia="Arial" w:hAnsi="Arial"/>
          <w:b/>
          <w:bCs/>
          <w:color w:val="333333"/>
          <w:sz w:val="24"/>
          <w:szCs w:val="24"/>
        </w:rPr>
        <w:t xml:space="preserve">MoEST and PO-RALG:</w:t>
      </w:r>
      <w:r>
        <w:rPr>
          <w:rFonts w:ascii="Arial" w:cs="Arial" w:eastAsia="Arial" w:hAnsi="Arial"/>
          <w:color w:val="333333"/>
          <w:sz w:val="24"/>
          <w:szCs w:val="24"/>
        </w:rPr>
        <w:t xml:space="preserve"> Essential for public-school access and policy alignment. EduBridge will position as a PPP delivery partner for large-scale CPD programmes.</w:t>
      </w:r>
    </w:p>
    <w:p>
      <w:pPr>
        <w:pStyle w:val="ListParagraph"/>
        <w:numPr>
          <w:ilvl w:val="0"/>
          <w:numId w:val="2"/>
        </w:numPr>
        <w:spacing w:after="80" w:line="276"/>
      </w:pPr>
      <w:r>
        <w:rPr>
          <w:rFonts w:ascii="Arial" w:cs="Arial" w:eastAsia="Arial" w:hAnsi="Arial"/>
          <w:b/>
          <w:bCs/>
          <w:color w:val="333333"/>
          <w:sz w:val="24"/>
          <w:szCs w:val="24"/>
        </w:rPr>
        <w:t xml:space="preserve">NACTVET:</w:t>
      </w:r>
      <w:r>
        <w:rPr>
          <w:rFonts w:ascii="Arial" w:cs="Arial" w:eastAsia="Arial" w:hAnsi="Arial"/>
          <w:color w:val="333333"/>
          <w:sz w:val="24"/>
          <w:szCs w:val="24"/>
        </w:rPr>
        <w:t xml:space="preserve"> The gatekeeper for all TVET offerings. Partnership is non-negotiable for accreditation and curriculum validation.</w:t>
      </w:r>
    </w:p>
    <w:p>
      <w:pPr>
        <w:pStyle w:val="ListParagraph"/>
        <w:numPr>
          <w:ilvl w:val="0"/>
          <w:numId w:val="2"/>
        </w:numPr>
        <w:spacing w:after="80" w:line="276"/>
      </w:pPr>
      <w:r>
        <w:rPr>
          <w:rFonts w:ascii="Arial" w:cs="Arial" w:eastAsia="Arial" w:hAnsi="Arial"/>
          <w:b/>
          <w:bCs/>
          <w:color w:val="333333"/>
          <w:sz w:val="24"/>
          <w:szCs w:val="24"/>
        </w:rPr>
        <w:t xml:space="preserve">TCU (Tanzania Commission for Universities):</w:t>
      </w:r>
      <w:r>
        <w:rPr>
          <w:rFonts w:ascii="Arial" w:cs="Arial" w:eastAsia="Arial" w:hAnsi="Arial"/>
          <w:color w:val="333333"/>
          <w:sz w:val="24"/>
          <w:szCs w:val="24"/>
        </w:rPr>
        <w:t xml:space="preserve"> Relevant for higher education consulting and potential micro-credential partnerships.</w:t>
      </w:r>
    </w:p>
    <w:p>
      <w:pPr>
        <w:pStyle w:val="ListParagraph"/>
        <w:numPr>
          <w:ilvl w:val="0"/>
          <w:numId w:val="2"/>
        </w:numPr>
        <w:spacing w:after="80" w:line="276"/>
      </w:pPr>
      <w:r>
        <w:rPr>
          <w:rFonts w:ascii="Arial" w:cs="Arial" w:eastAsia="Arial" w:hAnsi="Arial"/>
          <w:b/>
          <w:bCs/>
          <w:color w:val="333333"/>
          <w:sz w:val="24"/>
          <w:szCs w:val="24"/>
        </w:rPr>
        <w:t xml:space="preserve">MoEVT and VTA (Zanzibar):</w:t>
      </w:r>
      <w:r>
        <w:rPr>
          <w:rFonts w:ascii="Arial" w:cs="Arial" w:eastAsia="Arial" w:hAnsi="Arial"/>
          <w:color w:val="333333"/>
          <w:sz w:val="24"/>
          <w:szCs w:val="24"/>
        </w:rPr>
        <w:t xml:space="preserve"> Required for all operations in Zanzibar.</w:t>
      </w:r>
    </w:p>
    <w:p>
      <w:pPr>
        <w:pStyle w:val="Heading2"/>
      </w:pPr>
      <w:r>
        <w:t xml:space="preserve">7.2 International and Donor Partners</w:t>
      </w:r>
    </w:p>
    <w:p>
      <w:pPr>
        <w:pStyle w:val="ListParagraph"/>
        <w:numPr>
          <w:ilvl w:val="0"/>
          <w:numId w:val="2"/>
        </w:numPr>
        <w:spacing w:after="80" w:line="276"/>
      </w:pPr>
      <w:r>
        <w:rPr>
          <w:rFonts w:ascii="Arial" w:cs="Arial" w:eastAsia="Arial" w:hAnsi="Arial"/>
          <w:b/>
          <w:bCs/>
          <w:color w:val="333333"/>
          <w:sz w:val="24"/>
          <w:szCs w:val="24"/>
        </w:rPr>
        <w:t xml:space="preserve">World Bank:</w:t>
      </w:r>
      <w:r>
        <w:rPr>
          <w:rFonts w:ascii="Arial" w:cs="Arial" w:eastAsia="Arial" w:hAnsi="Arial"/>
          <w:color w:val="333333"/>
          <w:sz w:val="24"/>
          <w:szCs w:val="24"/>
        </w:rPr>
        <w:t xml:space="preserve"> Major funder of education initiatives including ESPJ (skills for jobs) and Shule Bora (basic education quality). EduBridge will target sub-contracting opportunities.</w:t>
      </w:r>
    </w:p>
    <w:p>
      <w:pPr>
        <w:pStyle w:val="ListParagraph"/>
        <w:numPr>
          <w:ilvl w:val="0"/>
          <w:numId w:val="2"/>
        </w:numPr>
        <w:spacing w:after="80" w:line="276"/>
      </w:pPr>
      <w:r>
        <w:rPr>
          <w:rFonts w:ascii="Arial" w:cs="Arial" w:eastAsia="Arial" w:hAnsi="Arial"/>
          <w:b/>
          <w:bCs/>
          <w:color w:val="333333"/>
          <w:sz w:val="24"/>
          <w:szCs w:val="24"/>
        </w:rPr>
        <w:t xml:space="preserve">Cambridge International:</w:t>
      </w:r>
      <w:r>
        <w:rPr>
          <w:rFonts w:ascii="Arial" w:cs="Arial" w:eastAsia="Arial" w:hAnsi="Arial"/>
          <w:color w:val="333333"/>
          <w:sz w:val="24"/>
          <w:szCs w:val="24"/>
        </w:rPr>
        <w:t xml:space="preserve"> Direct partnership for schools seeking Cambridge benchmarking and teacher PDQ delivery.</w:t>
      </w:r>
    </w:p>
    <w:p>
      <w:pPr>
        <w:pStyle w:val="ListParagraph"/>
        <w:numPr>
          <w:ilvl w:val="0"/>
          <w:numId w:val="2"/>
        </w:numPr>
        <w:spacing w:after="80" w:line="276"/>
      </w:pPr>
      <w:r>
        <w:rPr>
          <w:rFonts w:ascii="Arial" w:cs="Arial" w:eastAsia="Arial" w:hAnsi="Arial"/>
          <w:b/>
          <w:bCs/>
          <w:color w:val="333333"/>
          <w:sz w:val="24"/>
          <w:szCs w:val="24"/>
        </w:rPr>
        <w:t xml:space="preserve">Global Partnership for Education (GPE):</w:t>
      </w:r>
      <w:r>
        <w:rPr>
          <w:rFonts w:ascii="Arial" w:cs="Arial" w:eastAsia="Arial" w:hAnsi="Arial"/>
          <w:color w:val="333333"/>
          <w:sz w:val="24"/>
          <w:szCs w:val="24"/>
        </w:rPr>
        <w:t xml:space="preserve"> Funding vehicle for large-scale teacher training in low-income contexts.</w:t>
      </w:r>
    </w:p>
    <w:p>
      <w:pPr>
        <w:pStyle w:val="ListParagraph"/>
        <w:numPr>
          <w:ilvl w:val="0"/>
          <w:numId w:val="2"/>
        </w:numPr>
        <w:spacing w:after="80" w:line="276"/>
      </w:pPr>
      <w:r>
        <w:rPr>
          <w:rFonts w:ascii="Arial" w:cs="Arial" w:eastAsia="Arial" w:hAnsi="Arial"/>
          <w:b/>
          <w:bCs/>
          <w:color w:val="333333"/>
          <w:sz w:val="24"/>
          <w:szCs w:val="24"/>
        </w:rPr>
        <w:t xml:space="preserve">USAID, DFID, and bilateral donors:</w:t>
      </w:r>
      <w:r>
        <w:rPr>
          <w:rFonts w:ascii="Arial" w:cs="Arial" w:eastAsia="Arial" w:hAnsi="Arial"/>
          <w:color w:val="333333"/>
          <w:sz w:val="24"/>
          <w:szCs w:val="24"/>
        </w:rPr>
        <w:t xml:space="preserve"> Potential funders for specific thematic programmes (digital literacy, TVET reform, gender equity in education).</w:t>
      </w:r>
    </w:p>
    <w:p>
      <w:pPr>
        <w:pStyle w:val="Heading2"/>
      </w:pPr>
      <w:r>
        <w:t xml:space="preserve">7.3 Sales and Marketing Channels</w:t>
      </w:r>
    </w:p>
    <w:p>
      <w:pPr>
        <w:pStyle w:val="ListParagraph"/>
        <w:numPr>
          <w:ilvl w:val="0"/>
          <w:numId w:val="2"/>
        </w:numPr>
        <w:spacing w:after="80" w:line="276"/>
      </w:pPr>
      <w:r>
        <w:rPr>
          <w:rFonts w:ascii="Arial" w:cs="Arial" w:eastAsia="Arial" w:hAnsi="Arial"/>
          <w:color w:val="333333"/>
          <w:sz w:val="24"/>
          <w:szCs w:val="24"/>
        </w:rPr>
        <w:t xml:space="preserve">Direct outreach to private-school owners and boards through industry conferences and the Association of Private Schools.</w:t>
      </w:r>
    </w:p>
    <w:p>
      <w:pPr>
        <w:pStyle w:val="ListParagraph"/>
        <w:numPr>
          <w:ilvl w:val="0"/>
          <w:numId w:val="2"/>
        </w:numPr>
        <w:spacing w:after="80" w:line="276"/>
      </w:pPr>
      <w:r>
        <w:rPr>
          <w:rFonts w:ascii="Arial" w:cs="Arial" w:eastAsia="Arial" w:hAnsi="Arial"/>
          <w:color w:val="333333"/>
          <w:sz w:val="24"/>
          <w:szCs w:val="24"/>
        </w:rPr>
        <w:t xml:space="preserve">Government tender participation and proactive PPP proposals aligned with ESDP priority areas.</w:t>
      </w:r>
    </w:p>
    <w:p>
      <w:pPr>
        <w:pStyle w:val="ListParagraph"/>
        <w:numPr>
          <w:ilvl w:val="0"/>
          <w:numId w:val="2"/>
        </w:numPr>
        <w:spacing w:after="80" w:line="276"/>
      </w:pPr>
      <w:r>
        <w:rPr>
          <w:rFonts w:ascii="Arial" w:cs="Arial" w:eastAsia="Arial" w:hAnsi="Arial"/>
          <w:color w:val="333333"/>
          <w:sz w:val="24"/>
          <w:szCs w:val="24"/>
        </w:rPr>
        <w:t xml:space="preserve">Strategic content marketing through a Swahili/English bilingual platform showcasing case studies, research briefs, and free diagnostic tools.</w:t>
      </w:r>
    </w:p>
    <w:p>
      <w:pPr>
        <w:pStyle w:val="ListParagraph"/>
        <w:numPr>
          <w:ilvl w:val="0"/>
          <w:numId w:val="2"/>
        </w:numPr>
        <w:spacing w:after="80" w:line="276"/>
      </w:pPr>
      <w:r>
        <w:rPr>
          <w:rFonts w:ascii="Arial" w:cs="Arial" w:eastAsia="Arial" w:hAnsi="Arial"/>
          <w:color w:val="333333"/>
          <w:sz w:val="24"/>
          <w:szCs w:val="24"/>
        </w:rPr>
        <w:t xml:space="preserve">Partnerships with regional school associations for bulk CPD contracts.</w:t>
      </w:r>
    </w:p>
    <w:p>
      <w:pPr>
        <w:pStyle w:val="ListParagraph"/>
        <w:numPr>
          <w:ilvl w:val="0"/>
          <w:numId w:val="2"/>
        </w:numPr>
        <w:spacing w:after="80" w:line="276"/>
      </w:pPr>
      <w:r>
        <w:rPr>
          <w:rFonts w:ascii="Arial" w:cs="Arial" w:eastAsia="Arial" w:hAnsi="Arial"/>
          <w:color w:val="333333"/>
          <w:sz w:val="24"/>
          <w:szCs w:val="24"/>
        </w:rPr>
        <w:t xml:space="preserve">Referral programmes incentivising schools that have completed accreditation to recommend EduBridge to peers.</w:t>
      </w:r>
    </w:p>
    <w:p>
      <w:r>
        <w:br w:type="page"/>
      </w:r>
    </w:p>
    <w:p>
      <w:pPr>
        <w:pStyle w:val="Heading1"/>
      </w:pPr>
      <w:r>
        <w:t xml:space="preserve">8. Operations and Delivery Model</w:t>
      </w:r>
    </w:p>
    <w:p>
      <w:pPr>
        <w:pStyle w:val="Heading2"/>
      </w:pPr>
      <w:r>
        <w:t xml:space="preserve">8.1 Delivery Modalities</w:t>
      </w:r>
    </w:p>
    <w:p>
      <w:pPr>
        <w:spacing w:after="160" w:before="0" w:line="276"/>
        <w:jc w:val="both"/>
      </w:pPr>
      <w:r>
        <w:rPr>
          <w:rFonts w:ascii="Arial" w:cs="Arial" w:eastAsia="Arial" w:hAnsi="Arial"/>
          <w:color w:val="333333"/>
          <w:sz w:val="24"/>
          <w:szCs w:val="24"/>
        </w:rPr>
        <w:t xml:space="preserve">EduBridge employs a three-tier delivery model to maximise reach while maintaining quality:</w:t>
      </w:r>
    </w:p>
    <w:p>
      <w:pPr>
        <w:pStyle w:val="ListParagraph"/>
        <w:numPr>
          <w:ilvl w:val="0"/>
          <w:numId w:val="2"/>
        </w:numPr>
        <w:spacing w:after="80" w:line="276"/>
      </w:pPr>
      <w:r>
        <w:rPr>
          <w:rFonts w:ascii="Arial" w:cs="Arial" w:eastAsia="Arial" w:hAnsi="Arial"/>
          <w:b/>
          <w:bCs/>
          <w:color w:val="333333"/>
          <w:sz w:val="24"/>
          <w:szCs w:val="24"/>
        </w:rPr>
        <w:t xml:space="preserve">Face-to-Face Intensive:</w:t>
      </w:r>
      <w:r>
        <w:rPr>
          <w:rFonts w:ascii="Arial" w:cs="Arial" w:eastAsia="Arial" w:hAnsi="Arial"/>
          <w:color w:val="333333"/>
          <w:sz w:val="24"/>
          <w:szCs w:val="24"/>
        </w:rPr>
        <w:t xml:space="preserve"> Multi-day workshops at school sites or regional centres for hands-on training, demonstration lessons, and accreditation preparation. This remains the primary mode for leadership development and accreditation consulting.</w:t>
      </w:r>
    </w:p>
    <w:p>
      <w:pPr>
        <w:pStyle w:val="ListParagraph"/>
        <w:numPr>
          <w:ilvl w:val="0"/>
          <w:numId w:val="2"/>
        </w:numPr>
        <w:spacing w:after="80" w:line="276"/>
      </w:pPr>
      <w:r>
        <w:rPr>
          <w:rFonts w:ascii="Arial" w:cs="Arial" w:eastAsia="Arial" w:hAnsi="Arial"/>
          <w:b/>
          <w:bCs/>
          <w:color w:val="333333"/>
          <w:sz w:val="24"/>
          <w:szCs w:val="24"/>
        </w:rPr>
        <w:t xml:space="preserve">Blended Learning:</w:t>
      </w:r>
      <w:r>
        <w:rPr>
          <w:rFonts w:ascii="Arial" w:cs="Arial" w:eastAsia="Arial" w:hAnsi="Arial"/>
          <w:color w:val="333333"/>
          <w:sz w:val="24"/>
          <w:szCs w:val="24"/>
        </w:rPr>
        <w:t xml:space="preserve"> Structured online modules combined with periodic in-person coaching sessions. Uses a Learning Management System (LMS) with offline download capability for areas with intermittent connectivity.</w:t>
      </w:r>
    </w:p>
    <w:p>
      <w:pPr>
        <w:pStyle w:val="ListParagraph"/>
        <w:numPr>
          <w:ilvl w:val="0"/>
          <w:numId w:val="2"/>
        </w:numPr>
        <w:spacing w:after="80" w:line="276"/>
      </w:pPr>
      <w:r>
        <w:rPr>
          <w:rFonts w:ascii="Arial" w:cs="Arial" w:eastAsia="Arial" w:hAnsi="Arial"/>
          <w:b/>
          <w:bCs/>
          <w:color w:val="333333"/>
          <w:sz w:val="24"/>
          <w:szCs w:val="24"/>
        </w:rPr>
        <w:t xml:space="preserve">Offline-First Digital:</w:t>
      </w:r>
      <w:r>
        <w:rPr>
          <w:rFonts w:ascii="Arial" w:cs="Arial" w:eastAsia="Arial" w:hAnsi="Arial"/>
          <w:color w:val="333333"/>
          <w:sz w:val="24"/>
          <w:szCs w:val="24"/>
        </w:rPr>
        <w:t xml:space="preserve"> Self-paced modules deployed via platforms like Kolibri that synchronise when connectivity is available. Designed for rural CPD delivery at scale.</w:t>
      </w:r>
    </w:p>
    <w:p>
      <w:pPr>
        <w:pStyle w:val="Heading2"/>
      </w:pPr>
      <w:r>
        <w:t xml:space="preserve">8.2 Quality Management</w:t>
      </w:r>
    </w:p>
    <w:p>
      <w:pPr>
        <w:spacing w:after="160" w:before="0" w:line="276"/>
        <w:jc w:val="both"/>
      </w:pPr>
      <w:r>
        <w:rPr>
          <w:rFonts w:ascii="Arial" w:cs="Arial" w:eastAsia="Arial" w:hAnsi="Arial"/>
          <w:color w:val="333333"/>
          <w:sz w:val="24"/>
          <w:szCs w:val="24"/>
        </w:rPr>
        <w:t xml:space="preserve">All programmes undergo a rigorous development cycle: needs assessment, curriculum design by subject-matter experts, peer review, pilot delivery with feedback collection, revision, and full rollout. Post-delivery impact is measured through pre/post assessments, classroom observation tools (including Cognia’s eleot framework adapted for local context), and longitudinal tracking of student outcomes where feasible.</w:t>
      </w:r>
    </w:p>
    <w:p>
      <w:pPr>
        <w:pStyle w:val="Heading2"/>
      </w:pPr>
      <w:r>
        <w:t xml:space="preserve">8.3 Technology Infrastructure</w:t>
      </w:r>
    </w:p>
    <w:p>
      <w:pPr>
        <w:spacing w:after="160" w:before="0" w:line="276"/>
        <w:jc w:val="both"/>
      </w:pPr>
      <w:r>
        <w:rPr>
          <w:rFonts w:ascii="Arial" w:cs="Arial" w:eastAsia="Arial" w:hAnsi="Arial"/>
          <w:color w:val="333333"/>
          <w:sz w:val="24"/>
          <w:szCs w:val="24"/>
        </w:rPr>
        <w:t xml:space="preserve">EduBridge will deploy a purpose-built Education Data Platform that feeds into both ESMIS (for government reporting) and internal analytics dashboards. The platform tracks teacher training completion, competency assessments, school improvement trajectories, and accreditation milestones. Data governance will comply with national privacy laws and support the annual census data collection cycles required by MoEST and NACTVET.</w:t>
      </w:r>
    </w:p>
    <w:p>
      <w:pPr>
        <w:pStyle w:val="Heading2"/>
      </w:pPr>
      <w:r>
        <w:t xml:space="preserve">8.4 Team Structure</w:t>
      </w:r>
    </w:p>
    <w:p>
      <w:pPr>
        <w:spacing w:after="160" w:before="0" w:line="276"/>
        <w:jc w:val="both"/>
      </w:pPr>
      <w:r>
        <w:rPr>
          <w:rFonts w:ascii="Arial" w:cs="Arial" w:eastAsia="Arial" w:hAnsi="Arial"/>
          <w:color w:val="333333"/>
          <w:sz w:val="24"/>
          <w:szCs w:val="24"/>
        </w:rPr>
        <w:t xml:space="preserve">The initial team comprises a Managing Director, Head of Training Programmes, Head of Accreditation Services, TVET Programme Lead, Education Technology Specialist, Finance and Compliance Manager, and a team of freelance trainers drawn from experienced educators across Tanzania. The team will scale to approximately 25 full-time staff by Year Three, supplemented by a network of 40–60 certified associate trainers across target regions.</w:t>
      </w:r>
    </w:p>
    <w:p>
      <w:r>
        <w:br w:type="page"/>
      </w:r>
    </w:p>
    <w:p>
      <w:pPr>
        <w:pStyle w:val="Heading1"/>
      </w:pPr>
      <w:r>
        <w:t xml:space="preserve">9. Financial Plan and Projections</w:t>
      </w:r>
    </w:p>
    <w:p>
      <w:pPr>
        <w:pStyle w:val="Heading2"/>
      </w:pPr>
      <w:r>
        <w:t xml:space="preserve">9.1 Revenue Model</w:t>
      </w:r>
    </w:p>
    <w:p>
      <w:pPr>
        <w:spacing w:after="160" w:before="0" w:line="276"/>
        <w:jc w:val="both"/>
      </w:pPr>
      <w:r>
        <w:rPr>
          <w:rFonts w:ascii="Arial" w:cs="Arial" w:eastAsia="Arial" w:hAnsi="Arial"/>
          <w:color w:val="333333"/>
          <w:sz w:val="24"/>
          <w:szCs w:val="24"/>
        </w:rPr>
        <w:t xml:space="preserve">Revenue is generated through four primary channels, diversified to reduce dependency on any single source:</w:t>
      </w:r>
    </w:p>
    <w:p>
      <w:pPr>
        <w:pStyle w:val="ListParagraph"/>
        <w:numPr>
          <w:ilvl w:val="0"/>
          <w:numId w:val="2"/>
        </w:numPr>
        <w:spacing w:after="80" w:line="276"/>
      </w:pPr>
      <w:r>
        <w:rPr>
          <w:rFonts w:ascii="Arial" w:cs="Arial" w:eastAsia="Arial" w:hAnsi="Arial"/>
          <w:b/>
          <w:bCs/>
          <w:color w:val="333333"/>
          <w:sz w:val="24"/>
          <w:szCs w:val="24"/>
        </w:rPr>
        <w:t xml:space="preserve">Government Contracts (PPPs and Tenders):</w:t>
      </w:r>
      <w:r>
        <w:rPr>
          <w:rFonts w:ascii="Arial" w:cs="Arial" w:eastAsia="Arial" w:hAnsi="Arial"/>
          <w:color w:val="333333"/>
          <w:sz w:val="24"/>
          <w:szCs w:val="24"/>
        </w:rPr>
        <w:t xml:space="preserve"> Large-scale CPD delivery funded by government budgets or channelled through donor programmes. Typically structured as per-teacher or per-school fees with milestone-based payments.</w:t>
      </w:r>
    </w:p>
    <w:p>
      <w:pPr>
        <w:pStyle w:val="ListParagraph"/>
        <w:numPr>
          <w:ilvl w:val="0"/>
          <w:numId w:val="2"/>
        </w:numPr>
        <w:spacing w:after="80" w:line="276"/>
      </w:pPr>
      <w:r>
        <w:rPr>
          <w:rFonts w:ascii="Arial" w:cs="Arial" w:eastAsia="Arial" w:hAnsi="Arial"/>
          <w:b/>
          <w:bCs/>
          <w:color w:val="333333"/>
          <w:sz w:val="24"/>
          <w:szCs w:val="24"/>
        </w:rPr>
        <w:t xml:space="preserve">B2B Private School Contracts:</w:t>
      </w:r>
      <w:r>
        <w:rPr>
          <w:rFonts w:ascii="Arial" w:cs="Arial" w:eastAsia="Arial" w:hAnsi="Arial"/>
          <w:color w:val="333333"/>
          <w:sz w:val="24"/>
          <w:szCs w:val="24"/>
        </w:rPr>
        <w:t xml:space="preserve"> Premium accreditation consulting, QA system implementation, and bespoke training packages. Priced at a premium and often denominated in USD for international accreditation components.</w:t>
      </w:r>
    </w:p>
    <w:p>
      <w:pPr>
        <w:pStyle w:val="ListParagraph"/>
        <w:numPr>
          <w:ilvl w:val="0"/>
          <w:numId w:val="2"/>
        </w:numPr>
        <w:spacing w:after="80" w:line="276"/>
      </w:pPr>
      <w:r>
        <w:rPr>
          <w:rFonts w:ascii="Arial" w:cs="Arial" w:eastAsia="Arial" w:hAnsi="Arial"/>
          <w:b/>
          <w:bCs/>
          <w:color w:val="333333"/>
          <w:sz w:val="24"/>
          <w:szCs w:val="24"/>
        </w:rPr>
        <w:t xml:space="preserve">Donor-Funded Programmes:</w:t>
      </w:r>
      <w:r>
        <w:rPr>
          <w:rFonts w:ascii="Arial" w:cs="Arial" w:eastAsia="Arial" w:hAnsi="Arial"/>
          <w:color w:val="333333"/>
          <w:sz w:val="24"/>
          <w:szCs w:val="24"/>
        </w:rPr>
        <w:t xml:space="preserve"> Sub-contracts under World Bank, GPE, and bilateral donor education programmes.</w:t>
      </w:r>
    </w:p>
    <w:p>
      <w:pPr>
        <w:pStyle w:val="ListParagraph"/>
        <w:numPr>
          <w:ilvl w:val="0"/>
          <w:numId w:val="2"/>
        </w:numPr>
        <w:spacing w:after="80" w:line="276"/>
      </w:pPr>
      <w:r>
        <w:rPr>
          <w:rFonts w:ascii="Arial" w:cs="Arial" w:eastAsia="Arial" w:hAnsi="Arial"/>
          <w:b/>
          <w:bCs/>
          <w:color w:val="333333"/>
          <w:sz w:val="24"/>
          <w:szCs w:val="24"/>
        </w:rPr>
        <w:t xml:space="preserve">Direct Employer Upskilling:</w:t>
      </w:r>
      <w:r>
        <w:rPr>
          <w:rFonts w:ascii="Arial" w:cs="Arial" w:eastAsia="Arial" w:hAnsi="Arial"/>
          <w:color w:val="333333"/>
          <w:sz w:val="24"/>
          <w:szCs w:val="24"/>
        </w:rPr>
        <w:t xml:space="preserve"> Short courses sold directly to tourism and hospitality employers on a per-participant basis.</w:t>
      </w:r>
    </w:p>
    <w:p>
      <w:pPr>
        <w:pStyle w:val="Heading2"/>
      </w:pPr>
      <w:r>
        <w:t xml:space="preserve">9.2 Three-Year Revenue Projections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Stream</w:t>
            </w:r>
          </w:p>
        </w:tc>
        <w:tc>
          <w:tcPr>
            <w:tcW w:type="dxa" w:w="212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1 (TSH M)</w:t>
            </w:r>
          </w:p>
        </w:tc>
        <w:tc>
          <w:tcPr>
            <w:tcW w:type="dxa" w:w="212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2 (TSH M)</w:t>
            </w:r>
          </w:p>
        </w:tc>
        <w:tc>
          <w:tcPr>
            <w:tcW w:type="dxa" w:w="212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3 (TSH M)</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Teacher CPD (Public)</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80</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350</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650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Accreditation Consulting (Private)</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380</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550</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TVET / Tourism Training</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80</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220</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420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Education Strategy Consulting</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280</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AI &amp; EdTech Services</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80</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160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 Building &amp; Custom</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Total Revenue</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480</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1,240</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2,140</w:t>
            </w:r>
          </w:p>
        </w:tc>
      </w:tr>
    </w:tbl>
    <w:p>
      <w:pPr>
        <w:spacing w:after="80"/>
      </w:pPr>
    </w:p>
    <w:p>
      <w:pPr>
        <w:spacing w:after="160" w:before="0" w:line="276"/>
        <w:jc w:val="both"/>
      </w:pPr>
      <w:r>
        <w:rPr>
          <w:rFonts w:ascii="Arial" w:cs="Arial" w:eastAsia="Arial" w:hAnsi="Arial"/>
          <w:color w:val="333333"/>
          <w:sz w:val="24"/>
          <w:szCs w:val="24"/>
        </w:rPr>
        <w:t xml:space="preserve">Note: Projections assume successful NACTVET registration by end of Year 1, at least one government framework agreement secured by Year 2, and Zanzibar operations active by Year 2. All figures are conservative baseline estimates.</w:t>
      </w:r>
    </w:p>
    <w:p>
      <w:pPr>
        <w:pStyle w:val="Heading2"/>
      </w:pPr>
      <w:r>
        <w:t xml:space="preserve">9.3 Cost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Category</w:t>
            </w:r>
          </w:p>
        </w:tc>
        <w:tc>
          <w:tcPr>
            <w:tcW w:type="dxa" w:w="212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1 (TSH M)</w:t>
            </w:r>
          </w:p>
        </w:tc>
        <w:tc>
          <w:tcPr>
            <w:tcW w:type="dxa" w:w="212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2 (TSH M)</w:t>
            </w:r>
          </w:p>
        </w:tc>
        <w:tc>
          <w:tcPr>
            <w:tcW w:type="dxa" w:w="212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3 (TSH M)</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Staff Salaries and Benefits</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180</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320</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480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Trainer Fees (Associates)</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160</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300</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Office and Facilities</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36</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48</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72</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Technology (LMS, Data Platform)</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Marketing and Business Development</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50</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80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Travel and Logistics</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Regulatory and Legal</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15</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Contingency (10%)</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39</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71</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113</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Total Costs</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429</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784</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1,240</w:t>
            </w:r>
          </w:p>
        </w:tc>
      </w:tr>
    </w:tbl>
    <w:p>
      <w:pPr>
        <w:spacing w:after="80"/>
      </w:pPr>
    </w:p>
    <w:p>
      <w:pPr>
        <w:pStyle w:val="Heading2"/>
      </w:pPr>
      <w:r>
        <w:t xml:space="preserve">9.4 Profitability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12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1</w:t>
            </w:r>
          </w:p>
        </w:tc>
        <w:tc>
          <w:tcPr>
            <w:tcW w:type="dxa" w:w="212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2</w:t>
            </w:r>
          </w:p>
        </w:tc>
        <w:tc>
          <w:tcPr>
            <w:tcW w:type="dxa" w:w="212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3</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Revenue (TSH M)</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480</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1,240</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2,140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Costs (TSH M)</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429</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784</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1,240</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Net Profit (TSH M)</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51</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456</w:t>
            </w:r>
          </w:p>
        </w:tc>
        <w:tc>
          <w:tcPr>
            <w:tcW w:type="dxa" w:w="2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900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 Margin</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10.6%</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36.8%</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42.1%</w:t>
            </w:r>
          </w:p>
        </w:tc>
      </w:tr>
    </w:tbl>
    <w:p>
      <w:pPr>
        <w:spacing w:after="80"/>
      </w:pPr>
    </w:p>
    <w:p>
      <w:pPr>
        <w:pStyle w:val="Heading2"/>
      </w:pPr>
      <w:r>
        <w:t xml:space="preserve">9.5 Startup Capital Requirements</w:t>
      </w:r>
    </w:p>
    <w:p>
      <w:pPr>
        <w:spacing w:after="160" w:before="0" w:line="276"/>
        <w:jc w:val="both"/>
      </w:pPr>
      <w:r>
        <w:rPr>
          <w:rFonts w:ascii="Arial" w:cs="Arial" w:eastAsia="Arial" w:hAnsi="Arial"/>
          <w:color w:val="333333"/>
          <w:sz w:val="24"/>
          <w:szCs w:val="24"/>
        </w:rPr>
        <w:t xml:space="preserve">Initial capitalisation of TSH 350 million (approximately USD 140,000) is required to cover pre-revenue setup, BRELA and NACTVET registration, technology platform development, office establishment, initial marketing, and six months of operating runway. Founders will contribute TSH 150 million in equity, with the remaining TSH 200 million sought through a combination of impact investment, a concessional loan facility, and early-stage grant funding from education-sector donors.</w:t>
      </w:r>
    </w:p>
    <w:p>
      <w:r>
        <w:br w:type="page"/>
      </w:r>
    </w:p>
    <w:p>
      <w:pPr>
        <w:pStyle w:val="Heading1"/>
      </w:pPr>
      <w:r>
        <w:t xml:space="preserve">10. Funding and Contracting Strategy</w:t>
      </w:r>
    </w:p>
    <w:p>
      <w:pPr>
        <w:spacing w:after="160" w:before="0" w:line="276"/>
        <w:jc w:val="both"/>
      </w:pPr>
      <w:r>
        <w:rPr>
          <w:rFonts w:ascii="Arial" w:cs="Arial" w:eastAsia="Arial" w:hAnsi="Arial"/>
          <w:color w:val="333333"/>
          <w:sz w:val="24"/>
          <w:szCs w:val="24"/>
        </w:rPr>
        <w:t xml:space="preserve">The ESDP 2025/26–2029/30 creates a structural opening for private providers. The government has developed a specific framework (Strategy 8.1.6) to implement PPP arrangements with the private sector. EduBridge’s funding strategy is designed around three tiers:</w:t>
      </w:r>
    </w:p>
    <w:p>
      <w:pPr>
        <w:pStyle w:val="ListParagraph"/>
        <w:numPr>
          <w:ilvl w:val="0"/>
          <w:numId w:val="2"/>
        </w:numPr>
        <w:spacing w:after="80" w:line="276"/>
      </w:pPr>
      <w:r>
        <w:rPr>
          <w:rFonts w:ascii="Arial" w:cs="Arial" w:eastAsia="Arial" w:hAnsi="Arial"/>
          <w:b/>
          <w:bCs/>
          <w:color w:val="333333"/>
          <w:sz w:val="24"/>
          <w:szCs w:val="24"/>
        </w:rPr>
        <w:t xml:space="preserve">Tier 1 – Immediate Revenue:</w:t>
      </w:r>
      <w:r>
        <w:rPr>
          <w:rFonts w:ascii="Arial" w:cs="Arial" w:eastAsia="Arial" w:hAnsi="Arial"/>
          <w:color w:val="333333"/>
          <w:sz w:val="24"/>
          <w:szCs w:val="24"/>
        </w:rPr>
        <w:t xml:space="preserve"> Fee-for-service contracts with private schools for accreditation consulting and QA implementation. These generate revenue from Day 1 and require no government approvals beyond standard business registration.</w:t>
      </w:r>
    </w:p>
    <w:p>
      <w:pPr>
        <w:pStyle w:val="ListParagraph"/>
        <w:numPr>
          <w:ilvl w:val="0"/>
          <w:numId w:val="2"/>
        </w:numPr>
        <w:spacing w:after="80" w:line="276"/>
      </w:pPr>
      <w:r>
        <w:rPr>
          <w:rFonts w:ascii="Arial" w:cs="Arial" w:eastAsia="Arial" w:hAnsi="Arial"/>
          <w:b/>
          <w:bCs/>
          <w:color w:val="333333"/>
          <w:sz w:val="24"/>
          <w:szCs w:val="24"/>
        </w:rPr>
        <w:t xml:space="preserve">Tier 2 – Medium-Term Growth:</w:t>
      </w:r>
      <w:r>
        <w:rPr>
          <w:rFonts w:ascii="Arial" w:cs="Arial" w:eastAsia="Arial" w:hAnsi="Arial"/>
          <w:color w:val="333333"/>
          <w:sz w:val="24"/>
          <w:szCs w:val="24"/>
        </w:rPr>
        <w:t xml:space="preserve"> PPP contracts with PO-RALG and MoEST for public-school CPD delivery, funded through government budgets and donor windows. These require NACTVET registration and typically have 6–12 month procurement cycles.</w:t>
      </w:r>
    </w:p>
    <w:p>
      <w:pPr>
        <w:pStyle w:val="ListParagraph"/>
        <w:numPr>
          <w:ilvl w:val="0"/>
          <w:numId w:val="2"/>
        </w:numPr>
        <w:spacing w:after="80" w:line="276"/>
      </w:pPr>
      <w:r>
        <w:rPr>
          <w:rFonts w:ascii="Arial" w:cs="Arial" w:eastAsia="Arial" w:hAnsi="Arial"/>
          <w:b/>
          <w:bCs/>
          <w:color w:val="333333"/>
          <w:sz w:val="24"/>
          <w:szCs w:val="24"/>
        </w:rPr>
        <w:t xml:space="preserve">Tier 3 – Scale:</w:t>
      </w:r>
      <w:r>
        <w:rPr>
          <w:rFonts w:ascii="Arial" w:cs="Arial" w:eastAsia="Arial" w:hAnsi="Arial"/>
          <w:color w:val="333333"/>
          <w:sz w:val="24"/>
          <w:szCs w:val="24"/>
        </w:rPr>
        <w:t xml:space="preserve"> Sub-contracting under large donor programmes (World Bank ESPJ-II, GPE, bilateral funding) for national-scale teacher training and TVET reform. These represent the highest-value contracts but require established track records and typically 12–18 months to materialise.</w:t>
      </w:r>
    </w:p>
    <w:p>
      <w:pPr>
        <w:spacing w:after="160" w:before="0" w:line="276"/>
        <w:jc w:val="both"/>
      </w:pPr>
      <w:r>
        <w:rPr>
          <w:rFonts w:ascii="Arial" w:cs="Arial" w:eastAsia="Arial" w:hAnsi="Arial"/>
          <w:color w:val="333333"/>
          <w:sz w:val="24"/>
          <w:szCs w:val="24"/>
        </w:rPr>
        <w:t xml:space="preserve">EduBridge will also pursue grant funding from education innovation funds for its AI integration and EdTech components, positioning these as research-and-development initiatives with clear public-good outcomes.</w:t>
      </w:r>
    </w:p>
    <w:p>
      <w:r>
        <w:br w:type="page"/>
      </w:r>
    </w:p>
    <w:p>
      <w:pPr>
        <w:pStyle w:val="Heading1"/>
      </w:pPr>
      <w:r>
        <w:t xml:space="preserve">11. Implementation Roadmap 2026–2029</w:t>
      </w:r>
    </w:p>
    <w:p>
      <w:pPr>
        <w:pStyle w:val="Heading2"/>
      </w:pPr>
      <w:r>
        <w:t xml:space="preserve">Phase 1: Foundation and Compliance (2026)</w:t>
      </w:r>
    </w:p>
    <w:p>
      <w:pPr>
        <w:pStyle w:val="ListParagraph"/>
        <w:numPr>
          <w:ilvl w:val="0"/>
          <w:numId w:val="2"/>
        </w:numPr>
        <w:spacing w:after="80" w:line="276"/>
      </w:pPr>
      <w:r>
        <w:rPr>
          <w:rFonts w:ascii="Arial" w:cs="Arial" w:eastAsia="Arial" w:hAnsi="Arial"/>
          <w:color w:val="333333"/>
          <w:sz w:val="24"/>
          <w:szCs w:val="24"/>
        </w:rPr>
        <w:t xml:space="preserve">Secure BRELA registration, TIN, and begin NACTVET registration process (target: Provisional status by Q3 2026).</w:t>
      </w:r>
    </w:p>
    <w:p>
      <w:pPr>
        <w:pStyle w:val="ListParagraph"/>
        <w:numPr>
          <w:ilvl w:val="0"/>
          <w:numId w:val="2"/>
        </w:numPr>
        <w:spacing w:after="80" w:line="276"/>
      </w:pPr>
      <w:r>
        <w:rPr>
          <w:rFonts w:ascii="Arial" w:cs="Arial" w:eastAsia="Arial" w:hAnsi="Arial"/>
          <w:color w:val="333333"/>
          <w:sz w:val="24"/>
          <w:szCs w:val="24"/>
        </w:rPr>
        <w:t xml:space="preserve">Finalise CPD module suite aligned with the National Framework for Continuous Professional Development.</w:t>
      </w:r>
    </w:p>
    <w:p>
      <w:pPr>
        <w:pStyle w:val="ListParagraph"/>
        <w:numPr>
          <w:ilvl w:val="0"/>
          <w:numId w:val="2"/>
        </w:numPr>
        <w:spacing w:after="80" w:line="276"/>
      </w:pPr>
      <w:r>
        <w:rPr>
          <w:rFonts w:ascii="Arial" w:cs="Arial" w:eastAsia="Arial" w:hAnsi="Arial"/>
          <w:color w:val="333333"/>
          <w:sz w:val="24"/>
          <w:szCs w:val="24"/>
        </w:rPr>
        <w:t xml:space="preserve">Sign pilot contracts with 3–5 private schools in Dar es Salaam for QA system setup and accreditation readiness audits.</w:t>
      </w:r>
    </w:p>
    <w:p>
      <w:pPr>
        <w:pStyle w:val="ListParagraph"/>
        <w:numPr>
          <w:ilvl w:val="0"/>
          <w:numId w:val="2"/>
        </w:numPr>
        <w:spacing w:after="80" w:line="276"/>
      </w:pPr>
      <w:r>
        <w:rPr>
          <w:rFonts w:ascii="Arial" w:cs="Arial" w:eastAsia="Arial" w:hAnsi="Arial"/>
          <w:color w:val="333333"/>
          <w:sz w:val="24"/>
          <w:szCs w:val="24"/>
        </w:rPr>
        <w:t xml:space="preserve">Establish office in Dar es Salaam and recruit core team (6–8 staff).</w:t>
      </w:r>
    </w:p>
    <w:p>
      <w:pPr>
        <w:pStyle w:val="ListParagraph"/>
        <w:numPr>
          <w:ilvl w:val="0"/>
          <w:numId w:val="2"/>
        </w:numPr>
        <w:spacing w:after="80" w:line="276"/>
      </w:pPr>
      <w:r>
        <w:rPr>
          <w:rFonts w:ascii="Arial" w:cs="Arial" w:eastAsia="Arial" w:hAnsi="Arial"/>
          <w:color w:val="333333"/>
          <w:sz w:val="24"/>
          <w:szCs w:val="24"/>
        </w:rPr>
        <w:t xml:space="preserve">Develop marketing collateral, website, and initial case studies from pilot engagements.</w:t>
      </w:r>
    </w:p>
    <w:p>
      <w:pPr>
        <w:pStyle w:val="ListParagraph"/>
        <w:numPr>
          <w:ilvl w:val="0"/>
          <w:numId w:val="2"/>
        </w:numPr>
        <w:spacing w:after="80" w:line="276"/>
      </w:pPr>
      <w:r>
        <w:rPr>
          <w:rFonts w:ascii="Arial" w:cs="Arial" w:eastAsia="Arial" w:hAnsi="Arial"/>
          <w:color w:val="333333"/>
          <w:sz w:val="24"/>
          <w:szCs w:val="24"/>
        </w:rPr>
        <w:t xml:space="preserve">Launch first TVET instructor training programme targeting tourism/hospitality sector in Arusha.</w:t>
      </w:r>
    </w:p>
    <w:p>
      <w:pPr>
        <w:pStyle w:val="Heading2"/>
      </w:pPr>
      <w:r>
        <w:t xml:space="preserve">Phase 2: Expansion and Accreditation (2027)</w:t>
      </w:r>
    </w:p>
    <w:p>
      <w:pPr>
        <w:pStyle w:val="ListParagraph"/>
        <w:numPr>
          <w:ilvl w:val="0"/>
          <w:numId w:val="2"/>
        </w:numPr>
        <w:spacing w:after="80" w:line="276"/>
      </w:pPr>
      <w:r>
        <w:rPr>
          <w:rFonts w:ascii="Arial" w:cs="Arial" w:eastAsia="Arial" w:hAnsi="Arial"/>
          <w:color w:val="333333"/>
          <w:sz w:val="24"/>
          <w:szCs w:val="24"/>
        </w:rPr>
        <w:t xml:space="preserve">Achieve Full Registration with NACTVET.</w:t>
      </w:r>
    </w:p>
    <w:p>
      <w:pPr>
        <w:pStyle w:val="ListParagraph"/>
        <w:numPr>
          <w:ilvl w:val="0"/>
          <w:numId w:val="2"/>
        </w:numPr>
        <w:spacing w:after="80" w:line="276"/>
      </w:pPr>
      <w:r>
        <w:rPr>
          <w:rFonts w:ascii="Arial" w:cs="Arial" w:eastAsia="Arial" w:hAnsi="Arial"/>
          <w:color w:val="333333"/>
          <w:sz w:val="24"/>
          <w:szCs w:val="24"/>
        </w:rPr>
        <w:t xml:space="preserve">Establish Zanzibar legal entity under MoEVT/VTA framework.</w:t>
      </w:r>
    </w:p>
    <w:p>
      <w:pPr>
        <w:pStyle w:val="ListParagraph"/>
        <w:numPr>
          <w:ilvl w:val="0"/>
          <w:numId w:val="2"/>
        </w:numPr>
        <w:spacing w:after="80" w:line="276"/>
      </w:pPr>
      <w:r>
        <w:rPr>
          <w:rFonts w:ascii="Arial" w:cs="Arial" w:eastAsia="Arial" w:hAnsi="Arial"/>
          <w:color w:val="333333"/>
          <w:sz w:val="24"/>
          <w:szCs w:val="24"/>
        </w:rPr>
        <w:t xml:space="preserve">Launch NVA-aligned Tourism and Hospitality training programmes.</w:t>
      </w:r>
    </w:p>
    <w:p>
      <w:pPr>
        <w:pStyle w:val="ListParagraph"/>
        <w:numPr>
          <w:ilvl w:val="0"/>
          <w:numId w:val="2"/>
        </w:numPr>
        <w:spacing w:after="80" w:line="276"/>
      </w:pPr>
      <w:r>
        <w:rPr>
          <w:rFonts w:ascii="Arial" w:cs="Arial" w:eastAsia="Arial" w:hAnsi="Arial"/>
          <w:color w:val="333333"/>
          <w:sz w:val="24"/>
          <w:szCs w:val="24"/>
        </w:rPr>
        <w:t xml:space="preserve">Target tourism employers in Arusha and Zanzibar for upskilling contracts.</w:t>
      </w:r>
    </w:p>
    <w:p>
      <w:pPr>
        <w:pStyle w:val="ListParagraph"/>
        <w:numPr>
          <w:ilvl w:val="0"/>
          <w:numId w:val="2"/>
        </w:numPr>
        <w:spacing w:after="80" w:line="276"/>
      </w:pPr>
      <w:r>
        <w:rPr>
          <w:rFonts w:ascii="Arial" w:cs="Arial" w:eastAsia="Arial" w:hAnsi="Arial"/>
          <w:color w:val="333333"/>
          <w:sz w:val="24"/>
          <w:szCs w:val="24"/>
        </w:rPr>
        <w:t xml:space="preserve">Submit first PPP proposal to PO-RALG for regional CPD delivery.</w:t>
      </w:r>
    </w:p>
    <w:p>
      <w:pPr>
        <w:pStyle w:val="ListParagraph"/>
        <w:numPr>
          <w:ilvl w:val="0"/>
          <w:numId w:val="2"/>
        </w:numPr>
        <w:spacing w:after="80" w:line="276"/>
      </w:pPr>
      <w:r>
        <w:rPr>
          <w:rFonts w:ascii="Arial" w:cs="Arial" w:eastAsia="Arial" w:hAnsi="Arial"/>
          <w:color w:val="333333"/>
          <w:sz w:val="24"/>
          <w:szCs w:val="24"/>
        </w:rPr>
        <w:t xml:space="preserve">Begin Cambridge PDQ delivery in partnership with Cambridge International.</w:t>
      </w:r>
    </w:p>
    <w:p>
      <w:pPr>
        <w:pStyle w:val="ListParagraph"/>
        <w:numPr>
          <w:ilvl w:val="0"/>
          <w:numId w:val="2"/>
        </w:numPr>
        <w:spacing w:after="80" w:line="276"/>
      </w:pPr>
      <w:r>
        <w:rPr>
          <w:rFonts w:ascii="Arial" w:cs="Arial" w:eastAsia="Arial" w:hAnsi="Arial"/>
          <w:color w:val="333333"/>
          <w:sz w:val="24"/>
          <w:szCs w:val="24"/>
        </w:rPr>
        <w:t xml:space="preserve">Scale team to 15–18 full-time staff plus 20+ associate trainers.</w:t>
      </w:r>
    </w:p>
    <w:p>
      <w:pPr>
        <w:pStyle w:val="Heading2"/>
      </w:pPr>
      <w:r>
        <w:t xml:space="preserve">Phase 3: Scale and Digital (2028–2029)</w:t>
      </w:r>
    </w:p>
    <w:p>
      <w:pPr>
        <w:pStyle w:val="ListParagraph"/>
        <w:numPr>
          <w:ilvl w:val="0"/>
          <w:numId w:val="2"/>
        </w:numPr>
        <w:spacing w:after="80" w:line="276"/>
      </w:pPr>
      <w:r>
        <w:rPr>
          <w:rFonts w:ascii="Arial" w:cs="Arial" w:eastAsia="Arial" w:hAnsi="Arial"/>
          <w:color w:val="333333"/>
          <w:sz w:val="24"/>
          <w:szCs w:val="24"/>
        </w:rPr>
        <w:t xml:space="preserve">Deploy offline-first EdTech platform for remote CPD delivery at national scale.</w:t>
      </w:r>
    </w:p>
    <w:p>
      <w:pPr>
        <w:pStyle w:val="ListParagraph"/>
        <w:numPr>
          <w:ilvl w:val="0"/>
          <w:numId w:val="2"/>
        </w:numPr>
        <w:spacing w:after="80" w:line="276"/>
      </w:pPr>
      <w:r>
        <w:rPr>
          <w:rFonts w:ascii="Arial" w:cs="Arial" w:eastAsia="Arial" w:hAnsi="Arial"/>
          <w:color w:val="333333"/>
          <w:sz w:val="24"/>
          <w:szCs w:val="24"/>
        </w:rPr>
        <w:t xml:space="preserve">Secure framework agreement with PO-RALG for public-school teacher training, leveraged by donor funding.</w:t>
      </w:r>
    </w:p>
    <w:p>
      <w:pPr>
        <w:pStyle w:val="ListParagraph"/>
        <w:numPr>
          <w:ilvl w:val="0"/>
          <w:numId w:val="2"/>
        </w:numPr>
        <w:spacing w:after="80" w:line="276"/>
      </w:pPr>
      <w:r>
        <w:rPr>
          <w:rFonts w:ascii="Arial" w:cs="Arial" w:eastAsia="Arial" w:hAnsi="Arial"/>
          <w:color w:val="333333"/>
          <w:sz w:val="24"/>
          <w:szCs w:val="24"/>
        </w:rPr>
        <w:t xml:space="preserve">Launch AI-integrated training modules for adaptive learning and assessment.</w:t>
      </w:r>
    </w:p>
    <w:p>
      <w:pPr>
        <w:pStyle w:val="ListParagraph"/>
        <w:numPr>
          <w:ilvl w:val="0"/>
          <w:numId w:val="2"/>
        </w:numPr>
        <w:spacing w:after="80" w:line="276"/>
      </w:pPr>
      <w:r>
        <w:rPr>
          <w:rFonts w:ascii="Arial" w:cs="Arial" w:eastAsia="Arial" w:hAnsi="Arial"/>
          <w:color w:val="333333"/>
          <w:sz w:val="24"/>
          <w:szCs w:val="24"/>
        </w:rPr>
        <w:t xml:space="preserve">Expand TVET offerings into ICT, agriculture, and construction sectors per NSDS-II priorities.</w:t>
      </w:r>
    </w:p>
    <w:p>
      <w:pPr>
        <w:pStyle w:val="ListParagraph"/>
        <w:numPr>
          <w:ilvl w:val="0"/>
          <w:numId w:val="2"/>
        </w:numPr>
        <w:spacing w:after="80" w:line="276"/>
      </w:pPr>
      <w:r>
        <w:rPr>
          <w:rFonts w:ascii="Arial" w:cs="Arial" w:eastAsia="Arial" w:hAnsi="Arial"/>
          <w:color w:val="333333"/>
          <w:sz w:val="24"/>
          <w:szCs w:val="24"/>
        </w:rPr>
        <w:t xml:space="preserve">Establish regional training hubs in Mwanza, Dodoma, and Mbeya.</w:t>
      </w:r>
    </w:p>
    <w:p>
      <w:pPr>
        <w:pStyle w:val="ListParagraph"/>
        <w:numPr>
          <w:ilvl w:val="0"/>
          <w:numId w:val="2"/>
        </w:numPr>
        <w:spacing w:after="80" w:line="276"/>
      </w:pPr>
      <w:r>
        <w:rPr>
          <w:rFonts w:ascii="Arial" w:cs="Arial" w:eastAsia="Arial" w:hAnsi="Arial"/>
          <w:color w:val="333333"/>
          <w:sz w:val="24"/>
          <w:szCs w:val="24"/>
        </w:rPr>
        <w:t xml:space="preserve">Target break-even on cumulative basis and begin generating significant operating surplus.</w:t>
      </w:r>
    </w:p>
    <w:p>
      <w:pPr>
        <w:pStyle w:val="ListParagraph"/>
        <w:numPr>
          <w:ilvl w:val="0"/>
          <w:numId w:val="2"/>
        </w:numPr>
        <w:spacing w:after="80" w:line="276"/>
      </w:pPr>
      <w:r>
        <w:rPr>
          <w:rFonts w:ascii="Arial" w:cs="Arial" w:eastAsia="Arial" w:hAnsi="Arial"/>
          <w:color w:val="333333"/>
          <w:sz w:val="24"/>
          <w:szCs w:val="24"/>
        </w:rPr>
        <w:t xml:space="preserve">Explore franchise model for scaling to neighbouring countries (Kenya, Uganda, Rwanda).</w:t>
      </w:r>
    </w:p>
    <w:p>
      <w:r>
        <w:br w:type="page"/>
      </w:r>
    </w:p>
    <w:p>
      <w:pPr>
        <w:pStyle w:val="Heading1"/>
      </w:pPr>
      <w:r>
        <w:t xml:space="preserve">12. Risk Register and Mitigation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960"/>
        <w:gridCol w:w="960"/>
        <w:gridCol w:w="4040"/>
      </w:tblGrid>
      <w:tr>
        <w:trPr>
          <w:tblHeader/>
        </w:trPr>
        <w:tc>
          <w:tcPr>
            <w:tcW w:type="dxa" w:w="12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Category</w:t>
            </w:r>
          </w:p>
        </w:tc>
        <w:tc>
          <w:tcPr>
            <w:tcW w:type="dxa" w:w="22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9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9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04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 Strategy</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Financial (Forex)</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Revenue in TSH vs. costs in USD/EUR for accreditation fees, expat salaries, and international partnerships.</w:t>
            </w:r>
          </w:p>
        </w:tc>
        <w:tc>
          <w:tcPr>
            <w:tcW w:type="dxa" w:w="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0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Price international accreditation services in USD. Maintain forex reserves. Hedge where possible.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Regulatory Delay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Delays in NACTVET/MoEST approvals; distinct Zanzibar compliance requirements.</w:t>
            </w:r>
          </w:p>
        </w:tc>
        <w:tc>
          <w:tcPr>
            <w:tcW w:type="dxa" w:w="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Engage local legal counsel early. Phase rollout (Mainland first). Begin with services not requiring NACTVET.</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Political/Policy</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Changes in government education policy or leadership priorities.</w:t>
            </w:r>
          </w:p>
        </w:tc>
        <w:tc>
          <w:tcPr>
            <w:tcW w:type="dxa" w:w="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0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Maintain relationships across political spectrum. Align with national plans. Diversify revenue sources.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Operational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Poor internet connectivity hindering EdTech adoption, especially in rural areas.</w:t>
            </w:r>
          </w:p>
        </w:tc>
        <w:tc>
          <w:tcPr>
            <w:tcW w:type="dxa" w:w="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 offline-first platforms (Kolibri) with periodic sync. Maintain face-to-face delivery capacity.</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Funding Concentration</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Over-reliance on government contracts amidst TSH 3.62T financing gap.</w:t>
            </w:r>
          </w:p>
        </w:tc>
        <w:tc>
          <w:tcPr>
            <w:tcW w:type="dxa" w:w="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0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Diversify with B2B private-school revenue and donor-backed projects. Maintain minimum 30% private revenue.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Talent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Difficulty recruiting qualified trainers with both pedagogical and accreditation expertise.</w:t>
            </w:r>
          </w:p>
        </w:tc>
        <w:tc>
          <w:tcPr>
            <w:tcW w:type="dxa" w:w="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 internal train-the-trainer programme. Create competitive compensation packages. Build associate network.</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Competition</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Entry of international EdTech companies or scaling of existing local providers.</w:t>
            </w:r>
          </w:p>
        </w:tc>
        <w:tc>
          <w:tcPr>
            <w:tcW w:type="dxa" w:w="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0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33333"/>
                <w:sz w:val="20"/>
                <w:szCs w:val="20"/>
              </w:rPr>
              <w:t xml:space="preserve">Focus on local regulatory expertise and relationships. Build switching costs through long-term partnerships.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Reputation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Poor outcomes at pilot schools undermining credibility.</w:t>
            </w:r>
          </w:p>
        </w:tc>
        <w:tc>
          <w:tcPr>
            <w:tcW w:type="dxa" w:w="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Rigorous quality management. Select pilot schools carefully. Measure and publish outcomes transparently.</w:t>
            </w:r>
          </w:p>
        </w:tc>
      </w:tr>
    </w:tbl>
    <w:p>
      <w:r>
        <w:br w:type="page"/>
      </w:r>
    </w:p>
    <w:p>
      <w:pPr>
        <w:pStyle w:val="Heading1"/>
      </w:pPr>
      <w:r>
        <w:t xml:space="preserve">13. Data Governance and EdTech Compliance</w:t>
      </w:r>
    </w:p>
    <w:p>
      <w:pPr>
        <w:spacing w:after="160" w:before="0" w:line="276"/>
        <w:jc w:val="both"/>
      </w:pPr>
      <w:r>
        <w:rPr>
          <w:rFonts w:ascii="Arial" w:cs="Arial" w:eastAsia="Arial" w:hAnsi="Arial"/>
          <w:color w:val="333333"/>
          <w:sz w:val="24"/>
          <w:szCs w:val="24"/>
        </w:rPr>
        <w:t xml:space="preserve">Any digital system deployed by EduBridge must align with national data reporting requirements. Systems will feed into the Education Sector Management Information System (ESMIS) for general education data and the TVET-IMS for vocational training data. Data handling will comply with national privacy laws and support the annual census data collection cycles required by both MoEST and NACTVET.</w:t>
      </w:r>
    </w:p>
    <w:p>
      <w:pPr>
        <w:spacing w:after="160" w:before="0" w:line="276"/>
        <w:jc w:val="both"/>
      </w:pPr>
      <w:r>
        <w:rPr>
          <w:rFonts w:ascii="Arial" w:cs="Arial" w:eastAsia="Arial" w:hAnsi="Arial"/>
          <w:color w:val="333333"/>
          <w:sz w:val="24"/>
          <w:szCs w:val="24"/>
        </w:rPr>
        <w:t xml:space="preserve">EduBridge’s data architecture will be designed with privacy-by-default principles, ensuring that student and teacher data is encrypted at rest and in transit, access is role-based, and data retention policies comply with regulatory requirements. The company will appoint a Data Protection Officer and develop a comprehensive Data Governance Policy before any digital platform is deployed.</w:t>
      </w:r>
    </w:p>
    <w:p>
      <w:r>
        <w:br w:type="page"/>
      </w:r>
    </w:p>
    <w:p>
      <w:pPr>
        <w:pStyle w:val="Heading1"/>
      </w:pPr>
      <w:r>
        <w:t xml:space="preserve">14. Impact Measurement Framework</w:t>
      </w:r>
    </w:p>
    <w:p>
      <w:pPr>
        <w:spacing w:after="160" w:before="0" w:line="276"/>
        <w:jc w:val="both"/>
      </w:pPr>
      <w:r>
        <w:rPr>
          <w:rFonts w:ascii="Arial" w:cs="Arial" w:eastAsia="Arial" w:hAnsi="Arial"/>
          <w:color w:val="333333"/>
          <w:sz w:val="24"/>
          <w:szCs w:val="24"/>
        </w:rPr>
        <w:t xml:space="preserve">EduBridge is committed to demonstrating measurable impact across four dimensions:</w:t>
      </w:r>
    </w:p>
    <w:p>
      <w:pPr>
        <w:pStyle w:val="ListParagraph"/>
        <w:numPr>
          <w:ilvl w:val="0"/>
          <w:numId w:val="2"/>
        </w:numPr>
        <w:spacing w:after="80" w:line="276"/>
      </w:pPr>
      <w:r>
        <w:rPr>
          <w:rFonts w:ascii="Arial" w:cs="Arial" w:eastAsia="Arial" w:hAnsi="Arial"/>
          <w:b/>
          <w:bCs/>
          <w:color w:val="333333"/>
          <w:sz w:val="24"/>
          <w:szCs w:val="24"/>
        </w:rPr>
        <w:t xml:space="preserve">Teacher Competency:</w:t>
      </w:r>
      <w:r>
        <w:rPr>
          <w:rFonts w:ascii="Arial" w:cs="Arial" w:eastAsia="Arial" w:hAnsi="Arial"/>
          <w:color w:val="333333"/>
          <w:sz w:val="24"/>
          <w:szCs w:val="24"/>
        </w:rPr>
        <w:t xml:space="preserve"> Pre- and post-training assessments measuring pedagogical knowledge, classroom practice, and content mastery. Target: 70% of participants achieve at least one competency level improvement.</w:t>
      </w:r>
    </w:p>
    <w:p>
      <w:pPr>
        <w:pStyle w:val="ListParagraph"/>
        <w:numPr>
          <w:ilvl w:val="0"/>
          <w:numId w:val="2"/>
        </w:numPr>
        <w:spacing w:after="80" w:line="276"/>
      </w:pPr>
      <w:r>
        <w:rPr>
          <w:rFonts w:ascii="Arial" w:cs="Arial" w:eastAsia="Arial" w:hAnsi="Arial"/>
          <w:b/>
          <w:bCs/>
          <w:color w:val="333333"/>
          <w:sz w:val="24"/>
          <w:szCs w:val="24"/>
        </w:rPr>
        <w:t xml:space="preserve">School Quality:</w:t>
      </w:r>
      <w:r>
        <w:rPr>
          <w:rFonts w:ascii="Arial" w:cs="Arial" w:eastAsia="Arial" w:hAnsi="Arial"/>
          <w:color w:val="333333"/>
          <w:sz w:val="24"/>
          <w:szCs w:val="24"/>
        </w:rPr>
        <w:t xml:space="preserve"> SQAS scores and accreditation milestones for client schools. Target: 80% of accreditation consulting clients achieve their target milestone within the contracted timeframe.</w:t>
      </w:r>
    </w:p>
    <w:p>
      <w:pPr>
        <w:pStyle w:val="ListParagraph"/>
        <w:numPr>
          <w:ilvl w:val="0"/>
          <w:numId w:val="2"/>
        </w:numPr>
        <w:spacing w:after="80" w:line="276"/>
      </w:pPr>
      <w:r>
        <w:rPr>
          <w:rFonts w:ascii="Arial" w:cs="Arial" w:eastAsia="Arial" w:hAnsi="Arial"/>
          <w:b/>
          <w:bCs/>
          <w:color w:val="333333"/>
          <w:sz w:val="24"/>
          <w:szCs w:val="24"/>
        </w:rPr>
        <w:t xml:space="preserve">Student Outcomes:</w:t>
      </w:r>
      <w:r>
        <w:rPr>
          <w:rFonts w:ascii="Arial" w:cs="Arial" w:eastAsia="Arial" w:hAnsi="Arial"/>
          <w:color w:val="333333"/>
          <w:sz w:val="24"/>
          <w:szCs w:val="24"/>
        </w:rPr>
        <w:t xml:space="preserve"> Where feasible, longitudinal tracking of student performance (NECTA pass rates, Cambridge exam scores) in client schools versus control schools. Target: statistically significant improvement within 24 months.</w:t>
      </w:r>
    </w:p>
    <w:p>
      <w:pPr>
        <w:pStyle w:val="ListParagraph"/>
        <w:numPr>
          <w:ilvl w:val="0"/>
          <w:numId w:val="2"/>
        </w:numPr>
        <w:spacing w:after="80" w:line="276"/>
      </w:pPr>
      <w:r>
        <w:rPr>
          <w:rFonts w:ascii="Arial" w:cs="Arial" w:eastAsia="Arial" w:hAnsi="Arial"/>
          <w:b/>
          <w:bCs/>
          <w:color w:val="333333"/>
          <w:sz w:val="24"/>
          <w:szCs w:val="24"/>
        </w:rPr>
        <w:t xml:space="preserve">System Strengthening:</w:t>
      </w:r>
      <w:r>
        <w:rPr>
          <w:rFonts w:ascii="Arial" w:cs="Arial" w:eastAsia="Arial" w:hAnsi="Arial"/>
          <w:color w:val="333333"/>
          <w:sz w:val="24"/>
          <w:szCs w:val="24"/>
        </w:rPr>
        <w:t xml:space="preserve"> Contribution to national CPD uptake targets, TVET enrolment capacity, and quality assurance compliance rates. Reported annually to government and donor stakeholders.</w:t>
      </w:r>
    </w:p>
    <w:p>
      <w:r>
        <w:br w:type="page"/>
      </w:r>
    </w:p>
    <w:p>
      <w:pPr>
        <w:pStyle w:val="Heading1"/>
      </w:pPr>
      <w:r>
        <w:t xml:space="preserve">15. Sustainability and Growth Strategy</w:t>
      </w:r>
    </w:p>
    <w:p>
      <w:pPr>
        <w:spacing w:after="160" w:before="0" w:line="276"/>
        <w:jc w:val="both"/>
      </w:pPr>
      <w:r>
        <w:rPr>
          <w:rFonts w:ascii="Arial" w:cs="Arial" w:eastAsia="Arial" w:hAnsi="Arial"/>
          <w:color w:val="333333"/>
          <w:sz w:val="24"/>
          <w:szCs w:val="24"/>
        </w:rPr>
        <w:t xml:space="preserve">EduBridge’s long-term sustainability rests on three pillars:</w:t>
      </w:r>
    </w:p>
    <w:p>
      <w:pPr>
        <w:pStyle w:val="ListParagraph"/>
        <w:numPr>
          <w:ilvl w:val="0"/>
          <w:numId w:val="2"/>
        </w:numPr>
        <w:spacing w:after="80" w:line="276"/>
      </w:pPr>
      <w:r>
        <w:rPr>
          <w:rFonts w:ascii="Arial" w:cs="Arial" w:eastAsia="Arial" w:hAnsi="Arial"/>
          <w:b/>
          <w:bCs/>
          <w:color w:val="333333"/>
          <w:sz w:val="24"/>
          <w:szCs w:val="24"/>
        </w:rPr>
        <w:t xml:space="preserve">Recurring Revenue:</w:t>
      </w:r>
      <w:r>
        <w:rPr>
          <w:rFonts w:ascii="Arial" w:cs="Arial" w:eastAsia="Arial" w:hAnsi="Arial"/>
          <w:color w:val="333333"/>
          <w:sz w:val="24"/>
          <w:szCs w:val="24"/>
        </w:rPr>
        <w:t xml:space="preserve"> Accreditation is not a one-time event. Schools require ongoing compliance support, annual reviews, and periodic reaccreditation. CPD is similarly continuous. These create predictable, recurring revenue streams.</w:t>
      </w:r>
    </w:p>
    <w:p>
      <w:pPr>
        <w:pStyle w:val="ListParagraph"/>
        <w:numPr>
          <w:ilvl w:val="0"/>
          <w:numId w:val="2"/>
        </w:numPr>
        <w:spacing w:after="80" w:line="276"/>
      </w:pPr>
      <w:r>
        <w:rPr>
          <w:rFonts w:ascii="Arial" w:cs="Arial" w:eastAsia="Arial" w:hAnsi="Arial"/>
          <w:b/>
          <w:bCs/>
          <w:color w:val="333333"/>
          <w:sz w:val="24"/>
          <w:szCs w:val="24"/>
        </w:rPr>
        <w:t xml:space="preserve">Platform Economics:</w:t>
      </w:r>
      <w:r>
        <w:rPr>
          <w:rFonts w:ascii="Arial" w:cs="Arial" w:eastAsia="Arial" w:hAnsi="Arial"/>
          <w:color w:val="333333"/>
          <w:sz w:val="24"/>
          <w:szCs w:val="24"/>
        </w:rPr>
        <w:t xml:space="preserve"> As the EdTech platform matures, marginal delivery costs decline while reach increases. A single offline-capable module can serve thousands of teachers across multiple regions without proportional increases in trainer costs.</w:t>
      </w:r>
    </w:p>
    <w:p>
      <w:pPr>
        <w:pStyle w:val="ListParagraph"/>
        <w:numPr>
          <w:ilvl w:val="0"/>
          <w:numId w:val="2"/>
        </w:numPr>
        <w:spacing w:after="80" w:line="276"/>
      </w:pPr>
      <w:r>
        <w:rPr>
          <w:rFonts w:ascii="Arial" w:cs="Arial" w:eastAsia="Arial" w:hAnsi="Arial"/>
          <w:b/>
          <w:bCs/>
          <w:color w:val="333333"/>
          <w:sz w:val="24"/>
          <w:szCs w:val="24"/>
        </w:rPr>
        <w:t xml:space="preserve">Geographic Expansion:</w:t>
      </w:r>
      <w:r>
        <w:rPr>
          <w:rFonts w:ascii="Arial" w:cs="Arial" w:eastAsia="Arial" w:hAnsi="Arial"/>
          <w:color w:val="333333"/>
          <w:sz w:val="24"/>
          <w:szCs w:val="24"/>
        </w:rPr>
        <w:t xml:space="preserve"> The East African Community presents a natural expansion corridor. Kenya, Uganda, and Rwanda face similar education quality challenges and share regulatory frameworks that EduBridge’s model can adapt to with relatively low marginal investment.</w:t>
      </w:r>
    </w:p>
    <w:p>
      <w:pPr>
        <w:spacing w:after="160" w:before="0" w:line="276"/>
        <w:jc w:val="both"/>
      </w:pPr>
      <w:r>
        <w:rPr>
          <w:rFonts w:ascii="Arial" w:cs="Arial" w:eastAsia="Arial" w:hAnsi="Arial"/>
          <w:color w:val="333333"/>
          <w:sz w:val="24"/>
          <w:szCs w:val="24"/>
        </w:rPr>
        <w:t xml:space="preserve">Exit options for investors include strategic acquisition by a regional education group, merger with an international education consultancy seeking East African market entry, or management buyout funded by accumulated operating surpluses.</w:t>
      </w:r>
    </w:p>
    <w:p>
      <w:r>
        <w:br w:type="page"/>
      </w:r>
    </w:p>
    <w:p>
      <w:pPr>
        <w:pStyle w:val="Heading1"/>
      </w:pPr>
      <w:r>
        <w:t xml:space="preserve">16. Conclusion</w:t>
      </w:r>
    </w:p>
    <w:p>
      <w:pPr>
        <w:spacing w:after="160" w:before="0" w:line="276"/>
        <w:jc w:val="both"/>
      </w:pPr>
      <w:r>
        <w:rPr>
          <w:rFonts w:ascii="Arial" w:cs="Arial" w:eastAsia="Arial" w:hAnsi="Arial"/>
          <w:color w:val="333333"/>
          <w:sz w:val="24"/>
          <w:szCs w:val="24"/>
        </w:rPr>
        <w:t xml:space="preserve">Tanzania stands at a pivotal moment in its education development journey. The government has articulated ambitious goals in the ESDP 2025–2030 but faces a TSH 3.62 trillion gap between aspiration and resources. Teachers remain undertrained, private schools aspire to international standards they cannot yet reach, and a booming TVET sector produces graduates who do not meet employer needs. These are not abstract policy challenges—they represent a concrete, growing, and underserved market.</w:t>
      </w:r>
    </w:p>
    <w:p>
      <w:pPr>
        <w:spacing w:after="160" w:before="0" w:line="276"/>
        <w:jc w:val="both"/>
      </w:pPr>
      <w:r>
        <w:rPr>
          <w:rFonts w:ascii="Arial" w:cs="Arial" w:eastAsia="Arial" w:hAnsi="Arial"/>
          <w:color w:val="333333"/>
          <w:sz w:val="24"/>
          <w:szCs w:val="24"/>
        </w:rPr>
        <w:t xml:space="preserve">EduBridge Tanzania Limited is purpose-built to fill this gap. With a modular service portfolio spanning CPD, accreditation consulting, QA systems, TVET training, AI integration, and education strategy, the company serves every major customer segment in the education ecosystem. Its phased approach minimises risk while building the credibility and regulatory footholds needed to scale. And its analytics-driven impact measurement framework ensures that every programme delivered can demonstrate results to government, donors, and school communities alike.</w:t>
      </w:r>
    </w:p>
    <w:p>
      <w:pPr>
        <w:spacing w:after="160" w:before="0" w:line="276"/>
        <w:jc w:val="both"/>
      </w:pPr>
      <w:r>
        <w:rPr>
          <w:rFonts w:ascii="Arial" w:cs="Arial" w:eastAsia="Arial" w:hAnsi="Arial"/>
          <w:color w:val="333333"/>
          <w:sz w:val="24"/>
          <w:szCs w:val="24"/>
        </w:rPr>
        <w:t xml:space="preserve">The opportunity is significant, the timing is right, and the team has the expertise to execute. EduBridge invites partners, investors, and stakeholders who share our belief that transforming education quality is both a moral imperative and a viable business proposition.</w:t>
      </w:r>
    </w:p>
    <w:p>
      <w:pPr>
        <w:spacing w:after="400"/>
      </w:pPr>
    </w:p>
    <w:p>
      <w:pPr>
        <w:jc w:val="center"/>
      </w:pPr>
      <w:r>
        <w:rPr>
          <w:rFonts w:ascii="Arial" w:cs="Arial" w:eastAsia="Arial" w:hAnsi="Arial"/>
          <w:color w:val="6B7280"/>
          <w:sz w:val="20"/>
          <w:szCs w:val="20"/>
        </w:rPr>
        <w:t xml:space="preserve">─── End of Business Plan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tabs>
        <w:tab w:val="right" w:pos="9026"/>
      </w:tabs>
    </w:pPr>
    <w:r>
      <w:rPr>
        <w:rFonts w:ascii="Arial" w:cs="Arial" w:eastAsia="Arial" w:hAnsi="Arial"/>
        <w:color w:val="6B7280"/>
        <w:sz w:val="16"/>
        <w:szCs w:val="16"/>
      </w:rPr>
      <w:t xml:space="preserve">Confidential</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tabs>
        <w:tab w:val="right" w:pos="9026"/>
      </w:tabs>
    </w:pPr>
    <w:r>
      <w:rPr>
        <w:rFonts w:ascii="Arial" w:cs="Arial" w:eastAsia="Arial" w:hAnsi="Arial"/>
        <w:i/>
        <w:iCs/>
        <w:color w:val="6B7280"/>
        <w:sz w:val="18"/>
        <w:szCs w:val="18"/>
      </w:rPr>
      <w:t xml:space="preserve">EduBridge Tanzania Limited</w:t>
    </w:r>
    <w:r>
      <w:rPr>
        <w:rFonts w:ascii="Arial" w:cs="Arial" w:eastAsia="Arial" w:hAnsi="Arial"/>
        <w:i/>
        <w:iCs/>
        <w:color w:val="6B7280"/>
        <w:sz w:val="18"/>
        <w:szCs w:val="18"/>
      </w:rPr>
      <w:t xml:space="preserve">	Business Plan 2026–2029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A9D8F" w:sz="3" w:space="4"/>
      </w:pBd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6465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A9D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2026-02-13T21:56:38.336Z</dcterms:created>
  <dcterms:modified xsi:type="dcterms:W3CDTF">2026-02-13T21:56:38.336Z</dcterms:modified>
</cp:coreProperties>
</file>

<file path=docProps/custom.xml><?xml version="1.0" encoding="utf-8"?>
<Properties xmlns="http://schemas.openxmlformats.org/officeDocument/2006/custom-properties" xmlns:vt="http://schemas.openxmlformats.org/officeDocument/2006/docPropsVTypes"/>
</file>