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2"/>
          <w:szCs w:val="52"/>
        </w:rPr>
        <w:t xml:space="preserve">SADC IMPACT RISK STUDIO</w:t>
      </w:r>
    </w:p>
    <w:p>
      <w:pPr>
        <w:spacing w:after="100"/>
        <w:jc w:val="center"/>
      </w:pPr>
      <w:r>
        <w:rPr>
          <w:rFonts w:ascii="Arial" w:cs="Arial" w:eastAsia="Arial" w:hAnsi="Arial"/>
          <w:b/>
          <w:bCs/>
          <w:color w:val="2E86C1"/>
          <w:sz w:val="44"/>
          <w:szCs w:val="44"/>
        </w:rPr>
        <w:t xml:space="preserve">(SIRS)</w:t>
      </w:r>
    </w:p>
    <w:p>
      <w:pPr>
        <w:spacing w:after="80"/>
      </w:pPr>
    </w:p>
    <w:p>
      <w:pPr>
        <w:spacing w:after="400"/>
        <w:jc w:val="center"/>
      </w:pPr>
      <w:r>
        <w:rPr>
          <w:rFonts w:ascii="Arial" w:cs="Arial" w:eastAsia="Arial" w:hAnsi="Arial"/>
          <w:i/>
          <w:iCs/>
          <w:color w:val="5D6D7E"/>
          <w:sz w:val="28"/>
          <w:szCs w:val="28"/>
        </w:rPr>
        <w:t xml:space="preserve">A Regional Risk Intelligence and Decision-Support Layer</w:t>
      </w:r>
    </w:p>
    <w:p>
      <w:pPr>
        <w:spacing w:after="80"/>
      </w:pPr>
    </w:p>
    <w:p>
      <w:pPr>
        <w:spacing w:after="100"/>
        <w:jc w:val="center"/>
      </w:pPr>
      <w:r>
        <w:rPr>
          <w:rFonts w:ascii="Arial" w:cs="Arial" w:eastAsia="Arial" w:hAnsi="Arial"/>
          <w:color w:val="5D6D7E"/>
          <w:sz w:val="24"/>
          <w:szCs w:val="24"/>
        </w:rPr>
        <w:t xml:space="preserve">Comprehensive Product Concept and Implementation Blueprint</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5D6D7E"/>
          <w:sz w:val="22"/>
          <w:szCs w:val="22"/>
        </w:rPr>
        <w:t xml:space="preserve">Prepared for the SADC DRR Community of Practice</w:t>
      </w:r>
    </w:p>
    <w:p>
      <w:pPr>
        <w:spacing w:after="80"/>
        <w:jc w:val="center"/>
      </w:pPr>
      <w:r>
        <w:rPr>
          <w:rFonts w:ascii="Arial" w:cs="Arial" w:eastAsia="Arial" w:hAnsi="Arial"/>
          <w:color w:val="5D6D7E"/>
          <w:sz w:val="22"/>
          <w:szCs w:val="22"/>
        </w:rPr>
        <w:t xml:space="preserve">Version 1.0 — February 2026</w:t>
      </w:r>
    </w:p>
    <w:p>
      <w:pPr>
        <w:spacing w:after="80"/>
        <w:jc w:val="center"/>
      </w:pPr>
      <w:r>
        <w:rPr>
          <w:rFonts w:ascii="Arial" w:cs="Arial" w:eastAsia="Arial" w:hAnsi="Arial"/>
          <w:b/>
          <w:bCs/>
          <w:color w:val="C0392B"/>
          <w:sz w:val="22"/>
          <w:szCs w:val="22"/>
        </w:rPr>
        <w:t xml:space="preserve">CONCEPT NOTE — FOR DISCUSSION</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Product Vision and Narrative</w:t>
      </w:r>
    </w:p>
    <w:p>
      <w:pPr>
        <w:spacing w:after="180" w:line="300"/>
      </w:pPr>
      <w:r>
        <w:rPr>
          <w:rFonts w:ascii="Arial" w:cs="Arial" w:eastAsia="Arial" w:hAnsi="Arial"/>
          <w:b/>
          <w:bCs/>
          <w:sz w:val="22"/>
          <w:szCs w:val="22"/>
        </w:rPr>
        <w:t xml:space="preserve">The SADC Impact Risk Studio (SIRS)</w:t>
      </w:r>
      <w:r>
        <w:rPr>
          <w:rFonts w:ascii="Arial" w:cs="Arial" w:eastAsia="Arial" w:hAnsi="Arial"/>
          <w:sz w:val="22"/>
          <w:szCs w:val="22"/>
        </w:rPr>
        <w:t xml:space="preserve"> is a regional risk intelligence and decision-support layer that transforms how the Southern African Development Community and its partners prepare for, anticipate, and respond to climate and weather-driven disasters. Built on top of the INFORM Subnational Risk Model for the SADC region, SIRS fuses hazard forecasts, exposure data, vulnerability indices, and sectoral information into a single, shared operational picture that is continuously updated before, during, and after events. Rather than creating yet another stand-alone platform, SIRS functions as a connective tissue layer—an integration engine that plugs into existing SADC systems (including the SADC Humanitarian and Emergency Operations Centre in Nacala), partner workflows, and national disaster management architectures. Its purpose is to turn the rich but currently fragmented landscape of risk data into timely, actionable intelligence that decision-makers can act on within hours, not weeks.</w:t>
      </w:r>
    </w:p>
    <w:p>
      <w:pPr>
        <w:spacing w:after="180" w:line="300"/>
      </w:pPr>
      <w:r>
        <w:rPr>
          <w:rFonts w:ascii="Arial" w:cs="Arial" w:eastAsia="Arial" w:hAnsi="Arial"/>
          <w:sz w:val="22"/>
          <w:szCs w:val="22"/>
        </w:rPr>
        <w:t xml:space="preserve">The problem SIRS addresses is acute and well-understood across the SADC community. </w:t>
      </w:r>
      <w:r>
        <w:rPr>
          <w:rFonts w:ascii="Arial" w:cs="Arial" w:eastAsia="Arial" w:hAnsi="Arial"/>
          <w:sz w:val="22"/>
          <w:szCs w:val="22"/>
        </w:rPr>
        <w:t xml:space="preserve">Today, the INFORM risk model produces valuable subnational risk scores, but these sit in static reports rather than flowing into operational decision-making. SHOC in Nacala has growing monitoring capacity, but lacks a structured analytical layer that converts incoming hazard signals into impact projections and sector-specific action recommendations. When Cyclone Gezani struck, or when major flooding events cascaded across multiple Member States, responders faced the same recurring gaps: no single platform that could rapidly combine forecast data with local vulnerability to produce district-level impact estimates; no consistent trigger framework that multiple partners could reference when deciding whether to activate anticipatory action protocols; and no feedback loop that incorporated post-event ground-truth data back into risk models for the next event. Each partner—UNDP, WFP, IFRC, GIZ/RIA, CIMA Foundation, MapAction—brought excellent capabilities, but these operated in parallel rather than in concert, leading to duplicated assessments, delayed coordination, and inconsistent messaging to governments.</w:t>
      </w:r>
    </w:p>
    <w:p>
      <w:pPr>
        <w:spacing w:after="180" w:line="300"/>
      </w:pPr>
      <w:r>
        <w:rPr>
          <w:rFonts w:ascii="Arial" w:cs="Arial" w:eastAsia="Arial" w:hAnsi="Arial"/>
          <w:b/>
          <w:bCs/>
          <w:sz w:val="22"/>
          <w:szCs w:val="22"/>
        </w:rPr>
        <w:t xml:space="preserve">SIRS resolves this by providing a shared analytical backbone.</w:t>
      </w:r>
      <w:r>
        <w:rPr>
          <w:rFonts w:ascii="Arial" w:cs="Arial" w:eastAsia="Arial" w:hAnsi="Arial"/>
          <w:sz w:val="22"/>
          <w:szCs w:val="22"/>
        </w:rPr>
        <w:t xml:space="preserve"> It strengthens collaborative risk analysis by allowing every partner to contribute data and models while seeing the same composite risk picture. It strengthens early warning by connecting meteorological and hydrological forecasts directly to subnational impact projections—translating a cyclone track into estimated affected population and infrastructure exposure within hours. It strengthens regional preparedness by enabling pre-agreed early action triggers that partners and governments can configure against a common risk framework. And it does all of this as a complement to, not a competitor of, existing investments: INFORM provides the foundational risk model that SIRS operationalises; SHOC provides the institutional home and duty-officer workflow that SIRS feeds into; national systems provide the ground-level data and decision authority that SIRS respects and amplifies. SIRS is designed so that every partner finds their work made more effective, not more complicated, by its presence.</w:t>
      </w:r>
    </w:p>
    <w:p>
      <w:pPr>
        <w:pStyle w:val="Heading1"/>
        <w:spacing w:before="360" w:after="200"/>
      </w:pPr>
      <w:r>
        <w:rPr>
          <w:rFonts w:ascii="Arial" w:cs="Arial" w:eastAsia="Arial" w:hAnsi="Arial"/>
          <w:b/>
          <w:bCs/>
          <w:color w:val="1B4F72"/>
          <w:sz w:val="32"/>
          <w:szCs w:val="32"/>
        </w:rPr>
        <w:t xml:space="preserve">2. User Types and Key Use Cases</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2.1 SADC DRR Unit Analysts and SHOC Duty Officers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Maintain regional situational awareness; produce timely risk advisories and situation reports; coordinate regional response activations; advise the SADC Secretariat and Council of Ministers on emerging threats.</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Manual collation of data from multiple sources; lack of automated impact projections; difficulty producing consistent, auditable risk products under time pressure; limited feedback from field operations to update risk assessments.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48-hour pre-landfall cyclone scenario: Duty officer receives tropical cyclone advisory, loads forecast track into SIRS, and within minutes generates district-level population exposure estimates and facility-at-risk maps for a SADC advisory to affected Member States.</w:t>
      </w:r>
    </w:p>
    <w:p>
      <w:pPr>
        <w:pStyle w:val="ListParagraph"/>
        <w:numPr>
          <w:ilvl w:val="0"/>
          <w:numId w:val="2"/>
        </w:numPr>
        <w:spacing w:after="80" w:line="276"/>
      </w:pPr>
      <w:r>
        <w:rPr>
          <w:rFonts w:ascii="Arial" w:cs="Arial" w:eastAsia="Arial" w:hAnsi="Arial"/>
          <w:sz w:val="22"/>
          <w:szCs w:val="22"/>
        </w:rPr>
        <w:t xml:space="preserve">Regional flood monitoring dashboard: During a multi-country flood event affecting the Zambezi basin, analysts use SIRS to track cumulative rainfall against flood thresholds, visualise subnational risk scores in real time, and produce daily regional situation reports with consistent data.</w:t>
      </w:r>
    </w:p>
    <w:p>
      <w:pPr>
        <w:pStyle w:val="ListParagraph"/>
        <w:numPr>
          <w:ilvl w:val="0"/>
          <w:numId w:val="2"/>
        </w:numPr>
        <w:spacing w:after="80" w:line="276"/>
      </w:pPr>
      <w:r>
        <w:rPr>
          <w:rFonts w:ascii="Arial" w:cs="Arial" w:eastAsia="Arial" w:hAnsi="Arial"/>
          <w:sz w:val="22"/>
          <w:szCs w:val="22"/>
        </w:rPr>
        <w:t xml:space="preserve">Post-season risk review: After the cyclone season, DRR Unit analysts use SIRS to compare predicted versus observed impacts, identify model performance gaps, and recommend updates to INFORM vulnerability and coping capacity parameters.</w:t>
      </w:r>
    </w:p>
    <w:p>
      <w:pPr>
        <w:pStyle w:val="ListParagraph"/>
        <w:numPr>
          <w:ilvl w:val="0"/>
          <w:numId w:val="2"/>
        </w:numPr>
        <w:spacing w:after="80" w:line="276"/>
      </w:pPr>
      <w:r>
        <w:rPr>
          <w:rFonts w:ascii="Arial" w:cs="Arial" w:eastAsia="Arial" w:hAnsi="Arial"/>
          <w:sz w:val="22"/>
          <w:szCs w:val="22"/>
        </w:rPr>
        <w:t xml:space="preserve">Trigger verification for regional standby mechanisms: SHOC duty officers check whether SIRS composite risk scores have crossed pre-agreed thresholds for activating SADC standby arrangements, providing an auditable trigger trail.</w:t>
      </w:r>
    </w:p>
    <w:p>
      <w:pPr>
        <w:pStyle w:val="ListParagraph"/>
        <w:numPr>
          <w:ilvl w:val="0"/>
          <w:numId w:val="2"/>
        </w:numPr>
        <w:spacing w:after="80" w:line="276"/>
      </w:pPr>
      <w:r>
        <w:rPr>
          <w:rFonts w:ascii="Arial" w:cs="Arial" w:eastAsia="Arial" w:hAnsi="Arial"/>
          <w:sz w:val="22"/>
          <w:szCs w:val="22"/>
        </w:rPr>
        <w:t xml:space="preserve">Cross-border risk corridor analysis: Analysts model cascading flood impacts along shared river basins (e.g., Limpopo, Save) to advise joint preparedness measures between neighbouring Member States.</w:t>
      </w:r>
    </w:p>
    <w:p>
      <w:pPr>
        <w:pStyle w:val="Heading2"/>
        <w:spacing w:before="280" w:after="160"/>
      </w:pPr>
      <w:r>
        <w:rPr>
          <w:rFonts w:ascii="Arial" w:cs="Arial" w:eastAsia="Arial" w:hAnsi="Arial"/>
          <w:b/>
          <w:bCs/>
          <w:color w:val="2E86C1"/>
          <w:sz w:val="26"/>
          <w:szCs w:val="26"/>
        </w:rPr>
        <w:t xml:space="preserve">2.2 National Disaster Management Agencies (NDMAs)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Receive early warning intelligence tailored to national and subnational geographies; inform resource allocation decisions; support requests for international assistance with evidence-based impact estimates.</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Dependence on ad-hoc data sharing from international partners; limited analytical capacity to convert forecast data into local impact projections; difficulty aligning national preparedness actions with regional coordination timelines.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District-level pre-positioning guidance: NDMA in Mozambique uses SIRS to identify the 10 most at-risk districts 72 hours before projected heavy rainfall, informing pre-positioning of emergency supplies.</w:t>
      </w:r>
    </w:p>
    <w:p>
      <w:pPr>
        <w:pStyle w:val="ListParagraph"/>
        <w:numPr>
          <w:ilvl w:val="0"/>
          <w:numId w:val="2"/>
        </w:numPr>
        <w:spacing w:after="80" w:line="276"/>
      </w:pPr>
      <w:r>
        <w:rPr>
          <w:rFonts w:ascii="Arial" w:cs="Arial" w:eastAsia="Arial" w:hAnsi="Arial"/>
          <w:sz w:val="22"/>
          <w:szCs w:val="22"/>
        </w:rPr>
        <w:t xml:space="preserve">Evacuation planning support: NDMA in Malawi generates flood inundation risk surfaces for the Lower Shire valley, overlaying population density and access road data to plan evacuation routes.</w:t>
      </w:r>
    </w:p>
    <w:p>
      <w:pPr>
        <w:pStyle w:val="ListParagraph"/>
        <w:numPr>
          <w:ilvl w:val="0"/>
          <w:numId w:val="2"/>
        </w:numPr>
        <w:spacing w:after="80" w:line="276"/>
      </w:pPr>
      <w:r>
        <w:rPr>
          <w:rFonts w:ascii="Arial" w:cs="Arial" w:eastAsia="Arial" w:hAnsi="Arial"/>
          <w:sz w:val="22"/>
          <w:szCs w:val="22"/>
        </w:rPr>
        <w:t xml:space="preserve">Flash appeal evidence package: When requesting international assistance, NDMA exports SIRS impact estimates and risk maps as standardised products to support government declarations and flash appeals.</w:t>
      </w:r>
    </w:p>
    <w:p>
      <w:pPr>
        <w:pStyle w:val="ListParagraph"/>
        <w:numPr>
          <w:ilvl w:val="0"/>
          <w:numId w:val="2"/>
        </w:numPr>
        <w:spacing w:after="80" w:line="276"/>
      </w:pPr>
      <w:r>
        <w:rPr>
          <w:rFonts w:ascii="Arial" w:cs="Arial" w:eastAsia="Arial" w:hAnsi="Arial"/>
          <w:sz w:val="22"/>
          <w:szCs w:val="22"/>
        </w:rPr>
        <w:t xml:space="preserve">Seasonal preparedness planning: During pre-season planning, NDMAs review SIRS historical risk profiles and seasonal forecasts to allocate contingency budgets across provinces.</w:t>
      </w:r>
    </w:p>
    <w:p>
      <w:pPr>
        <w:pStyle w:val="Heading2"/>
        <w:spacing w:before="280" w:after="160"/>
      </w:pPr>
      <w:r>
        <w:rPr>
          <w:rFonts w:ascii="Arial" w:cs="Arial" w:eastAsia="Arial" w:hAnsi="Arial"/>
          <w:b/>
          <w:bCs/>
          <w:color w:val="2E86C1"/>
          <w:sz w:val="26"/>
          <w:szCs w:val="26"/>
        </w:rPr>
        <w:t xml:space="preserve">2.3 Sector Ministries (Health, WASH, Agriculture, Infrastructure, Social Protection)</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Understand how hazards will affect sector-specific infrastructure and service delivery; plan continuity measures; target social protection responses.</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Risk information is typically presented as generic population exposure figures without sector-specific analysis; ministries lack tools to overlay hazard data on their facility registers; disconnection between DRR processes and routine sector planning.</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Health facility flood exposure assessment: Ministry of Health uses the Health/WASH sector lens to identify clinics and hospitals in projected flood zones, estimate patient populations that may lose access to care, and pre-position medical supplies.</w:t>
      </w:r>
    </w:p>
    <w:p>
      <w:pPr>
        <w:pStyle w:val="ListParagraph"/>
        <w:numPr>
          <w:ilvl w:val="0"/>
          <w:numId w:val="2"/>
        </w:numPr>
        <w:spacing w:after="80" w:line="276"/>
      </w:pPr>
      <w:r>
        <w:rPr>
          <w:rFonts w:ascii="Arial" w:cs="Arial" w:eastAsia="Arial" w:hAnsi="Arial"/>
          <w:sz w:val="22"/>
          <w:szCs w:val="22"/>
        </w:rPr>
        <w:t xml:space="preserve">Water supply vulnerability mapping: WASH directorate analyses exposure of water treatment plants and borehole networks to cyclone wind damage and flood contamination risk.</w:t>
      </w:r>
    </w:p>
    <w:p>
      <w:pPr>
        <w:pStyle w:val="ListParagraph"/>
        <w:numPr>
          <w:ilvl w:val="0"/>
          <w:numId w:val="2"/>
        </w:numPr>
        <w:spacing w:after="80" w:line="276"/>
      </w:pPr>
      <w:r>
        <w:rPr>
          <w:rFonts w:ascii="Arial" w:cs="Arial" w:eastAsia="Arial" w:hAnsi="Arial"/>
          <w:sz w:val="22"/>
          <w:szCs w:val="22"/>
        </w:rPr>
        <w:t xml:space="preserve">Agricultural loss estimation: Ministry of Agriculture overlays crop calendar and growing area data with flood projections to estimate potential crop losses at district level for food security early warning.</w:t>
      </w:r>
    </w:p>
    <w:p>
      <w:pPr>
        <w:pStyle w:val="ListParagraph"/>
        <w:numPr>
          <w:ilvl w:val="0"/>
          <w:numId w:val="2"/>
        </w:numPr>
        <w:spacing w:after="80" w:line="276"/>
      </w:pPr>
      <w:r>
        <w:rPr>
          <w:rFonts w:ascii="Arial" w:cs="Arial" w:eastAsia="Arial" w:hAnsi="Arial"/>
          <w:sz w:val="22"/>
          <w:szCs w:val="22"/>
        </w:rPr>
        <w:t xml:space="preserve">Social protection targeting: Ministry of Social Protection uses SIRS impact estimates to identify eligible households in highest-risk areas for anticipatory cash transfers before a forecasted event.</w:t>
      </w:r>
    </w:p>
    <w:p>
      <w:pPr>
        <w:pStyle w:val="Heading2"/>
        <w:spacing w:before="280" w:after="160"/>
      </w:pPr>
      <w:r>
        <w:rPr>
          <w:rFonts w:ascii="Arial" w:cs="Arial" w:eastAsia="Arial" w:hAnsi="Arial"/>
          <w:b/>
          <w:bCs/>
          <w:color w:val="2E86C1"/>
          <w:sz w:val="26"/>
          <w:szCs w:val="26"/>
        </w:rPr>
        <w:t xml:space="preserve">2.4 UN Agencies (UNDP, WFP) Programme Teams and Anticipatory Action Units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Activate anticipatory action protocols based on evidence; coordinate across the humanitarian system; align UN programming with government priorities and risk assessments.</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Anticipatory action triggers are often based on single-hazard thresholds without integrated risk context; difficulty comparing risk across multiple countries in a portfolio; time-intensive process of assembling impact evidence for activation decisions.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WFP anticipatory action activation: WFP anticipatory action team monitors SIRS composite risk scores for southern Malawi; when scores cross their pre-configured trigger threshold 5 days before projected flooding, the system generates an activation recommendation with supporting impact data for internal approval.</w:t>
      </w:r>
    </w:p>
    <w:p>
      <w:pPr>
        <w:pStyle w:val="ListParagraph"/>
        <w:numPr>
          <w:ilvl w:val="0"/>
          <w:numId w:val="2"/>
        </w:numPr>
        <w:spacing w:after="80" w:line="276"/>
      </w:pPr>
      <w:r>
        <w:rPr>
          <w:rFonts w:ascii="Arial" w:cs="Arial" w:eastAsia="Arial" w:hAnsi="Arial"/>
          <w:sz w:val="22"/>
          <w:szCs w:val="22"/>
        </w:rPr>
        <w:t xml:space="preserve">UNDP early recovery planning: Following Cyclone Gezani, UNDP uses SIRS damage assessment integration to identify the most affected districts for early recovery programme targeting, cross-referencing with pre-event vulnerability data.</w:t>
      </w:r>
    </w:p>
    <w:p>
      <w:pPr>
        <w:pStyle w:val="ListParagraph"/>
        <w:numPr>
          <w:ilvl w:val="0"/>
          <w:numId w:val="2"/>
        </w:numPr>
        <w:spacing w:after="80" w:line="276"/>
      </w:pPr>
      <w:r>
        <w:rPr>
          <w:rFonts w:ascii="Arial" w:cs="Arial" w:eastAsia="Arial" w:hAnsi="Arial"/>
          <w:sz w:val="22"/>
          <w:szCs w:val="22"/>
        </w:rPr>
        <w:t xml:space="preserve">Multi-country portfolio risk monitoring: Regional UN offices use SIRS to maintain a rolling dashboard of risk levels across all SADC Member States, enabling proactive reallocation of surge capacity.</w:t>
      </w:r>
    </w:p>
    <w:p>
      <w:pPr>
        <w:pStyle w:val="ListParagraph"/>
        <w:numPr>
          <w:ilvl w:val="0"/>
          <w:numId w:val="2"/>
        </w:numPr>
        <w:spacing w:after="80" w:line="276"/>
      </w:pPr>
      <w:r>
        <w:rPr>
          <w:rFonts w:ascii="Arial" w:cs="Arial" w:eastAsia="Arial" w:hAnsi="Arial"/>
          <w:sz w:val="22"/>
          <w:szCs w:val="22"/>
        </w:rPr>
        <w:t xml:space="preserve">Joint needs assessment coordination: UN OCHA and partner agencies use the SIRS collaboration workspace to agree on a common operational dataset for joint rapid needs assessments.</w:t>
      </w:r>
    </w:p>
    <w:p>
      <w:pPr>
        <w:pStyle w:val="Heading2"/>
        <w:spacing w:before="280" w:after="160"/>
      </w:pPr>
      <w:r>
        <w:rPr>
          <w:rFonts w:ascii="Arial" w:cs="Arial" w:eastAsia="Arial" w:hAnsi="Arial"/>
          <w:b/>
          <w:bCs/>
          <w:color w:val="2E86C1"/>
          <w:sz w:val="26"/>
          <w:szCs w:val="26"/>
        </w:rPr>
        <w:t xml:space="preserve">2.5 IFRC and National Societies Surge and Operations Teams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Deploy volunteers and resources before and during events; conduct rapid damage and needs assessments; inform emergency appeals; build community-level resilience.</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Limited access to subnational risk data that matches their operational geography; assessments conducted with paper or basic digital tools that do not feed back into risk models; difficulty integrating community-level observations into regional analysis.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Pre-cyclone volunteer deployment: IFRC Mozambique delegation uses SIRS to identify the 20 most at-risk communities along projected cyclone path and deploys National Society volunteers for early warning dissemination 48 hours before landfall.</w:t>
      </w:r>
    </w:p>
    <w:p>
      <w:pPr>
        <w:pStyle w:val="ListParagraph"/>
        <w:numPr>
          <w:ilvl w:val="0"/>
          <w:numId w:val="2"/>
        </w:numPr>
        <w:spacing w:after="80" w:line="276"/>
      </w:pPr>
      <w:r>
        <w:rPr>
          <w:rFonts w:ascii="Arial" w:cs="Arial" w:eastAsia="Arial" w:hAnsi="Arial"/>
          <w:sz w:val="22"/>
          <w:szCs w:val="22"/>
        </w:rPr>
        <w:t xml:space="preserve">Kobo-enabled rapid assessment: National Society assessment teams use SIRS-integrated Kobo forms to conduct damage assessments; data flows back into SIRS to update real-time impact estimates and refine vulnerability parameters.</w:t>
      </w:r>
    </w:p>
    <w:p>
      <w:pPr>
        <w:pStyle w:val="ListParagraph"/>
        <w:numPr>
          <w:ilvl w:val="0"/>
          <w:numId w:val="2"/>
        </w:numPr>
        <w:spacing w:after="80" w:line="276"/>
      </w:pPr>
      <w:r>
        <w:rPr>
          <w:rFonts w:ascii="Arial" w:cs="Arial" w:eastAsia="Arial" w:hAnsi="Arial"/>
          <w:sz w:val="22"/>
          <w:szCs w:val="22"/>
        </w:rPr>
        <w:t xml:space="preserve">Emergency appeal evidence: IFRC uses SIRS impact scenarios and observed data to produce evidence packages supporting DREF and Emergency Appeal requests within 24 hours of an event.</w:t>
      </w:r>
    </w:p>
    <w:p>
      <w:pPr>
        <w:pStyle w:val="ListParagraph"/>
        <w:numPr>
          <w:ilvl w:val="0"/>
          <w:numId w:val="2"/>
        </w:numPr>
        <w:spacing w:after="80" w:line="276"/>
      </w:pPr>
      <w:r>
        <w:rPr>
          <w:rFonts w:ascii="Arial" w:cs="Arial" w:eastAsia="Arial" w:hAnsi="Arial"/>
          <w:sz w:val="22"/>
          <w:szCs w:val="22"/>
        </w:rPr>
        <w:t xml:space="preserve">Community resilience baseline: During non-emergency periods, National Societies use the feedback loop to update community-level coping capacity indicators, improving INFORM scores for future events.</w:t>
      </w:r>
    </w:p>
    <w:p>
      <w:pPr>
        <w:pStyle w:val="Heading2"/>
        <w:spacing w:before="280" w:after="160"/>
      </w:pPr>
      <w:r>
        <w:rPr>
          <w:rFonts w:ascii="Arial" w:cs="Arial" w:eastAsia="Arial" w:hAnsi="Arial"/>
          <w:b/>
          <w:bCs/>
          <w:color w:val="2E86C1"/>
          <w:sz w:val="26"/>
          <w:szCs w:val="26"/>
        </w:rPr>
        <w:t xml:space="preserve">2.6 MapAction, CIMA Foundation, and AUC Technical Specialists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Provide specialist geospatial analysis, hazard modelling, and cartographic products to support operational decision-making; contribute analytical capabilities to the regional system.</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Ad-hoc engagement with limited continuity between deployments; duplication of baseline data preparation; difficulty sustaining analytical products after deployment ends.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MapAction rapid mapping integration: During a flood emergency, MapAction deploys to SHOC and produces operational maps using SIRS as the common data and cartographic baseline, ensuring consistency with other products.</w:t>
      </w:r>
    </w:p>
    <w:p>
      <w:pPr>
        <w:pStyle w:val="ListParagraph"/>
        <w:numPr>
          <w:ilvl w:val="0"/>
          <w:numId w:val="2"/>
        </w:numPr>
        <w:spacing w:after="80" w:line="276"/>
      </w:pPr>
      <w:r>
        <w:rPr>
          <w:rFonts w:ascii="Arial" w:cs="Arial" w:eastAsia="Arial" w:hAnsi="Arial"/>
          <w:sz w:val="22"/>
          <w:szCs w:val="22"/>
        </w:rPr>
        <w:t xml:space="preserve">CIMA Foundation flood modelling: CIMA integrates hydrological model outputs into the SIRS scenario builder, providing calibrated flood inundation layers for specific river basins across SADC.</w:t>
      </w:r>
    </w:p>
    <w:p>
      <w:pPr>
        <w:pStyle w:val="ListParagraph"/>
        <w:numPr>
          <w:ilvl w:val="0"/>
          <w:numId w:val="2"/>
        </w:numPr>
        <w:spacing w:after="80" w:line="276"/>
      </w:pPr>
      <w:r>
        <w:rPr>
          <w:rFonts w:ascii="Arial" w:cs="Arial" w:eastAsia="Arial" w:hAnsi="Arial"/>
          <w:sz w:val="22"/>
          <w:szCs w:val="22"/>
        </w:rPr>
        <w:t xml:space="preserve">AUC continental risk alignment: AUC uses SIRS data feeds to maintain consistency between SADC regional risk assessments and continental risk monitoring under the Africa Multi-Hazard Early Warning and Early Action System.</w:t>
      </w:r>
    </w:p>
    <w:p>
      <w:pPr>
        <w:pStyle w:val="Heading2"/>
        <w:spacing w:before="280" w:after="160"/>
      </w:pPr>
      <w:r>
        <w:rPr>
          <w:rFonts w:ascii="Arial" w:cs="Arial" w:eastAsia="Arial" w:hAnsi="Arial"/>
          <w:b/>
          <w:bCs/>
          <w:color w:val="2E86C1"/>
          <w:sz w:val="26"/>
          <w:szCs w:val="26"/>
        </w:rPr>
        <w:t xml:space="preserve">2.7 Google and Technology Partners</w:t>
      </w:r>
    </w:p>
    <w:p>
      <w:pPr>
        <w:spacing w:after="160" w:line="276"/>
        <w:jc w:val="left"/>
      </w:pPr>
      <w:r>
        <w:rPr>
          <w:rFonts w:ascii="Arial" w:cs="Arial" w:eastAsia="Arial" w:hAnsi="Arial"/>
          <w:b/>
          <w:bCs/>
          <w:sz w:val="22"/>
          <w:szCs w:val="22"/>
        </w:rPr>
        <w:t xml:space="preserve">Goals: </w:t>
      </w:r>
      <w:r>
        <w:rPr>
          <w:rFonts w:ascii="Arial" w:cs="Arial" w:eastAsia="Arial" w:hAnsi="Arial"/>
          <w:sz w:val="22"/>
          <w:szCs w:val="22"/>
        </w:rPr>
        <w:t xml:space="preserve">Contribute cloud infrastructure, earth observation data, AI/ML capabilities, and tooling to support disaster risk reduction in the SADC region.</w:t>
      </w:r>
    </w:p>
    <w:p>
      <w:pPr>
        <w:spacing w:after="160" w:line="276"/>
        <w:jc w:val="left"/>
      </w:pPr>
      <w:r>
        <w:rPr>
          <w:rFonts w:ascii="Arial" w:cs="Arial" w:eastAsia="Arial" w:hAnsi="Arial"/>
          <w:b/>
          <w:bCs/>
          <w:sz w:val="22"/>
          <w:szCs w:val="22"/>
        </w:rPr>
        <w:t xml:space="preserve">Pain points: </w:t>
      </w:r>
      <w:r>
        <w:rPr>
          <w:rFonts w:ascii="Arial" w:cs="Arial" w:eastAsia="Arial" w:hAnsi="Arial"/>
          <w:sz w:val="22"/>
          <w:szCs w:val="22"/>
        </w:rPr>
        <w:t xml:space="preserve">Difficulty identifying sustained institutional partners for deploying technology in operational DRR contexts; one-off projects that do not scale.</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Google Earth Engine integration: SIRS accesses near-real-time satellite imagery and derived products (flood extent, vegetation health) through Google Earth Engine APIs to validate and enhance impact assessments.</w:t>
      </w:r>
    </w:p>
    <w:p>
      <w:pPr>
        <w:pStyle w:val="ListParagraph"/>
        <w:numPr>
          <w:ilvl w:val="0"/>
          <w:numId w:val="2"/>
        </w:numPr>
        <w:spacing w:after="80" w:line="276"/>
      </w:pPr>
      <w:r>
        <w:rPr>
          <w:rFonts w:ascii="Arial" w:cs="Arial" w:eastAsia="Arial" w:hAnsi="Arial"/>
          <w:sz w:val="22"/>
          <w:szCs w:val="22"/>
        </w:rPr>
        <w:t xml:space="preserve">Cloud compute for scenario modelling: Google Cloud provides scalable compute resources for running ensemble cyclone and flood scenarios during peak events.</w:t>
      </w:r>
    </w:p>
    <w:p>
      <w:pPr>
        <w:pStyle w:val="ListParagraph"/>
        <w:numPr>
          <w:ilvl w:val="0"/>
          <w:numId w:val="2"/>
        </w:numPr>
        <w:spacing w:after="80" w:line="276"/>
      </w:pPr>
      <w:r>
        <w:rPr>
          <w:rFonts w:ascii="Arial" w:cs="Arial" w:eastAsia="Arial" w:hAnsi="Arial"/>
          <w:sz w:val="22"/>
          <w:szCs w:val="22"/>
        </w:rPr>
        <w:t xml:space="preserve">AI-assisted damage assessment: Google AI tools process satellite and drone imagery post-event to produce building damage classifications that feed into SIRS impact verification workflows.</w:t>
      </w:r>
    </w:p>
    <w:p>
      <w:pPr>
        <w:pStyle w:val="Heading1"/>
        <w:spacing w:before="360" w:after="200"/>
      </w:pPr>
      <w:r>
        <w:rPr>
          <w:rFonts w:ascii="Arial" w:cs="Arial" w:eastAsia="Arial" w:hAnsi="Arial"/>
          <w:b/>
          <w:bCs/>
          <w:color w:val="1B4F72"/>
          <w:sz w:val="32"/>
          <w:szCs w:val="32"/>
        </w:rPr>
        <w:t xml:space="preserve">3. Core Product Modules and Features</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3.1 Risk Integration Engine</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The Risk Integration Engine is the analytical core of SIRS. It ingests and harmonises multiple data streams—INFORM subnational risk indices, real-time hazard feeds (tropical cyclone tracks and intensity forecasts, quantitative precipitation forecasts, river level monitoring, flood extent estimates), exposure layers (population distribution, critical infrastructure registries), and vulnerability and coping capacity indicators—into composite operational risk scores at subnational administrative levels (typically district, city, or ward). These scores are produced over rolling time horizons from 1 to 14 days, enabling both immediate situational awareness and medium-term preparedness planning.</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Configurable risk calculation framework that allows users to adjust the relative weighting of hazard severity, exposure magnitude, vulnerability, and coping capacity to reflect different decision contexts (e.g., a health-focused weighting versus a logistics-focused weighting).</w:t>
      </w:r>
    </w:p>
    <w:p>
      <w:pPr>
        <w:pStyle w:val="ListParagraph"/>
        <w:numPr>
          <w:ilvl w:val="0"/>
          <w:numId w:val="2"/>
        </w:numPr>
        <w:spacing w:after="80" w:line="276"/>
      </w:pPr>
      <w:r>
        <w:rPr>
          <w:rFonts w:ascii="Arial" w:cs="Arial" w:eastAsia="Arial" w:hAnsi="Arial"/>
          <w:sz w:val="22"/>
          <w:szCs w:val="22"/>
        </w:rPr>
        <w:t xml:space="preserve">Multi-hazard capability supporting concurrent events (e.g., a cyclone followed by inland flooding) with additive and cascading risk logic.</w:t>
      </w:r>
    </w:p>
    <w:p>
      <w:pPr>
        <w:pStyle w:val="ListParagraph"/>
        <w:numPr>
          <w:ilvl w:val="0"/>
          <w:numId w:val="2"/>
        </w:numPr>
        <w:spacing w:after="80" w:line="276"/>
      </w:pPr>
      <w:r>
        <w:rPr>
          <w:rFonts w:ascii="Arial" w:cs="Arial" w:eastAsia="Arial" w:hAnsi="Arial"/>
          <w:sz w:val="22"/>
          <w:szCs w:val="22"/>
        </w:rPr>
        <w:t xml:space="preserve">Full versioning and audit trails: every risk score includes metadata on input data sources, model version, weighting configuration, and calculation timestamp, enabling post-event review and accountability.</w:t>
      </w:r>
    </w:p>
    <w:p>
      <w:pPr>
        <w:pStyle w:val="ListParagraph"/>
        <w:numPr>
          <w:ilvl w:val="0"/>
          <w:numId w:val="2"/>
        </w:numPr>
        <w:spacing w:after="80" w:line="276"/>
      </w:pPr>
      <w:r>
        <w:rPr>
          <w:rFonts w:ascii="Arial" w:cs="Arial" w:eastAsia="Arial" w:hAnsi="Arial"/>
          <w:sz w:val="22"/>
          <w:szCs w:val="22"/>
        </w:rPr>
        <w:t xml:space="preserve">Automated ingestion pipelines for key data feeds with configurable refresh intervals (e.g., cyclone track updates every 6 hours, rainfall data every 3 hours, population data annually).</w:t>
      </w:r>
    </w:p>
    <w:p>
      <w:pPr>
        <w:pStyle w:val="ListParagraph"/>
        <w:numPr>
          <w:ilvl w:val="0"/>
          <w:numId w:val="2"/>
        </w:numPr>
        <w:spacing w:after="80" w:line="276"/>
      </w:pPr>
      <w:r>
        <w:rPr>
          <w:rFonts w:ascii="Arial" w:cs="Arial" w:eastAsia="Arial" w:hAnsi="Arial"/>
          <w:sz w:val="22"/>
          <w:szCs w:val="22"/>
        </w:rPr>
        <w:t xml:space="preserve">Baseline risk layer derived from the most recent INFORM Subnational Risk Index for SADC, updated annually and enriched with higher-frequency dynamic indicators.</w:t>
      </w:r>
    </w:p>
    <w:p>
      <w:pPr>
        <w:spacing w:after="160" w:line="276"/>
        <w:jc w:val="left"/>
      </w:pPr>
      <w:r>
        <w:rPr>
          <w:rFonts w:ascii="Arial" w:cs="Arial" w:eastAsia="Arial" w:hAnsi="Arial"/>
          <w:b/>
          <w:bCs/>
          <w:sz w:val="22"/>
          <w:szCs w:val="22"/>
        </w:rPr>
        <w:t xml:space="preserve">Data dependencies: </w:t>
      </w:r>
      <w:r>
        <w:rPr>
          <w:rFonts w:ascii="Arial" w:cs="Arial" w:eastAsia="Arial" w:hAnsi="Arial"/>
          <w:sz w:val="22"/>
          <w:szCs w:val="22"/>
        </w:rPr>
        <w:t xml:space="preserve">INFORM Subnational Risk Index (annual); meteorological and hydrological forecast feeds from Regional Specialised Meteorological Centres and national services; population data from national statistics offices and WorldPop/GRID3; infrastructure registers from sector ministries; satellite-derived flood extent from Copernicus EMS or Google Earth Engine.</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CIMA Foundation provides calibrated hazard model outputs (particularly for riverine flooding and cyclone wind fields) that feed into the engine. The SADC DRR Unit and SHOC consume the composite risk scores for regional advisories and monitoring. INFORM methodology owners provide the foundational risk model and guidance on index calculation.</w:t>
      </w:r>
    </w:p>
    <w:p>
      <w:pPr>
        <w:pStyle w:val="Heading2"/>
        <w:spacing w:before="280" w:after="160"/>
      </w:pPr>
      <w:r>
        <w:rPr>
          <w:rFonts w:ascii="Arial" w:cs="Arial" w:eastAsia="Arial" w:hAnsi="Arial"/>
          <w:b/>
          <w:bCs/>
          <w:color w:val="2E86C1"/>
          <w:sz w:val="26"/>
          <w:szCs w:val="26"/>
        </w:rPr>
        <w:t xml:space="preserve">3.2 Impact Scenario Builder</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The Impact Scenario Builder enables users to create, run, and compare hypothetical or forecast-based impact scenarios. It translates hazard parameters into human and infrastructure impacts by combining hazard intensity surfaces with exposure and vulnerability data.</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Scenario creation wizard: users define hazard parameters (cyclone track and intensity, rainfall totals and duration, river discharge, storm surge height, dam release volumes, urban drainage capacity) either manually or by importing forecast data.</w:t>
      </w:r>
    </w:p>
    <w:p>
      <w:pPr>
        <w:pStyle w:val="ListParagraph"/>
        <w:numPr>
          <w:ilvl w:val="0"/>
          <w:numId w:val="2"/>
        </w:numPr>
        <w:spacing w:after="80" w:line="276"/>
      </w:pPr>
      <w:r>
        <w:rPr>
          <w:rFonts w:ascii="Arial" w:cs="Arial" w:eastAsia="Arial" w:hAnsi="Arial"/>
          <w:sz w:val="22"/>
          <w:szCs w:val="22"/>
        </w:rPr>
        <w:t xml:space="preserve">Impact outputs include: estimated population affected (by severity band), facilities at risk (health, WASH, education, transport infrastructure), estimated service disruption (e.g., health facilities rendered non-functional, water systems contaminated), and logistics accessibility analysis.</w:t>
      </w:r>
    </w:p>
    <w:p>
      <w:pPr>
        <w:pStyle w:val="ListParagraph"/>
        <w:numPr>
          <w:ilvl w:val="0"/>
          <w:numId w:val="2"/>
        </w:numPr>
        <w:spacing w:after="80" w:line="276"/>
      </w:pPr>
      <w:r>
        <w:rPr>
          <w:rFonts w:ascii="Arial" w:cs="Arial" w:eastAsia="Arial" w:hAnsi="Arial"/>
          <w:sz w:val="22"/>
          <w:szCs w:val="22"/>
        </w:rPr>
        <w:t xml:space="preserve">Scenario comparison: users can run multiple scenarios side-by-side (e.g., cyclone making landfall 50km north versus 50km south) to understand sensitivity and plan for uncertainty.</w:t>
      </w:r>
    </w:p>
    <w:p>
      <w:pPr>
        <w:pStyle w:val="ListParagraph"/>
        <w:numPr>
          <w:ilvl w:val="0"/>
          <w:numId w:val="2"/>
        </w:numPr>
        <w:spacing w:after="80" w:line="276"/>
      </w:pPr>
      <w:r>
        <w:rPr>
          <w:rFonts w:ascii="Arial" w:cs="Arial" w:eastAsia="Arial" w:hAnsi="Arial"/>
          <w:sz w:val="22"/>
          <w:szCs w:val="22"/>
        </w:rPr>
        <w:t xml:space="preserve">Map and report generation: automated production of thematic maps, summary dashboards, and narrative reports exportable to PDF and PowerPoint.</w:t>
      </w:r>
    </w:p>
    <w:p>
      <w:pPr>
        <w:pStyle w:val="ListParagraph"/>
        <w:numPr>
          <w:ilvl w:val="0"/>
          <w:numId w:val="2"/>
        </w:numPr>
        <w:spacing w:after="80" w:line="276"/>
      </w:pPr>
      <w:r>
        <w:rPr>
          <w:rFonts w:ascii="Arial" w:cs="Arial" w:eastAsia="Arial" w:hAnsi="Arial"/>
          <w:sz w:val="22"/>
          <w:szCs w:val="22"/>
        </w:rPr>
        <w:t xml:space="preserve">Historical event library: a curated catalogue of past events (with observed impacts) that users can re-run against current exposure and vulnerability data to test preparedness.</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sz w:val="22"/>
          <w:szCs w:val="22"/>
        </w:rPr>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sz w:val="22"/>
          <w:szCs w:val="22"/>
        </w:rPr>
      </w:r>
    </w:p>
    <w:p>
      <w:pPr>
        <w:spacing w:after="160" w:line="276"/>
        <w:jc w:val="left"/>
      </w:pPr>
      <w:r>
        <w:rPr>
          <w:rFonts w:ascii="Arial" w:cs="Arial" w:eastAsia="Arial" w:hAnsi="Arial"/>
          <w:b/>
          <w:bCs/>
          <w:sz w:val="22"/>
          <w:szCs w:val="22"/>
        </w:rPr>
        <w:t xml:space="preserve">Data dependencies: </w:t>
      </w:r>
      <w:r>
        <w:rPr>
          <w:rFonts w:ascii="Arial" w:cs="Arial" w:eastAsia="Arial" w:hAnsi="Arial"/>
          <w:sz w:val="22"/>
          <w:szCs w:val="22"/>
        </w:rPr>
        <w:t xml:space="preserve">Forecast data from meteorological and hydrological services; digital elevation models; river basin delineations; infrastructure facility registers (location, type, structural characteristics); population density grids.</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MapAction produces cartographic outputs from scenario results during deployments. WFP uses scenario outputs directly for logistics and supply chain pre-positioning decisions. CIMA Foundation provides flood model components that power the inundation calculations.</w:t>
      </w:r>
    </w:p>
    <w:p>
      <w:pPr>
        <w:pStyle w:val="Heading2"/>
        <w:spacing w:before="280" w:after="160"/>
      </w:pPr>
      <w:r>
        <w:rPr>
          <w:rFonts w:ascii="Arial" w:cs="Arial" w:eastAsia="Arial" w:hAnsi="Arial"/>
          <w:b/>
          <w:bCs/>
          <w:color w:val="2E86C1"/>
          <w:sz w:val="26"/>
          <w:szCs w:val="26"/>
        </w:rPr>
        <w:t xml:space="preserve">3.3 Early Action Trigger Layer</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The Early Action Trigger Layer connects SIRS risk metrics and impact projections to pre-agreed trigger frameworks and standard operating procedures for anticipatory and early action. It enables multiple partners to define, monitor, and verify their own trigger thresholds while referencing a common underlying risk picture.</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Trigger configuration interface: each partner organisation (WFP, IFRC, NDMA, sector ministries) can define their own trigger rules using SIRS risk metrics as inputs. For example, WFP might define a trigger as: SIRS composite flood risk score exceeds 0.7 for any district in southern Malawi for more than 2 consecutive 24-hour periods.</w:t>
      </w:r>
    </w:p>
    <w:p>
      <w:pPr>
        <w:pStyle w:val="ListParagraph"/>
        <w:numPr>
          <w:ilvl w:val="0"/>
          <w:numId w:val="2"/>
        </w:numPr>
        <w:spacing w:after="80" w:line="276"/>
      </w:pPr>
      <w:r>
        <w:rPr>
          <w:rFonts w:ascii="Arial" w:cs="Arial" w:eastAsia="Arial" w:hAnsi="Arial"/>
          <w:sz w:val="22"/>
          <w:szCs w:val="22"/>
        </w:rPr>
        <w:t xml:space="preserve">Multi-level trigger architecture: supports readiness triggers (e.g., risk score enters elevated range), activation triggers (threshold crossed for pre-agreed action), and stand-down triggers (risk returns below threshold).</w:t>
      </w:r>
    </w:p>
    <w:p>
      <w:pPr>
        <w:pStyle w:val="ListParagraph"/>
        <w:numPr>
          <w:ilvl w:val="0"/>
          <w:numId w:val="2"/>
        </w:numPr>
        <w:spacing w:after="80" w:line="276"/>
      </w:pPr>
      <w:r>
        <w:rPr>
          <w:rFonts w:ascii="Arial" w:cs="Arial" w:eastAsia="Arial" w:hAnsi="Arial"/>
          <w:sz w:val="22"/>
          <w:szCs w:val="22"/>
        </w:rPr>
        <w:t xml:space="preserve">Trigger monitoring dashboard: real-time visual display of all configured triggers, their current status (green/amber/red), and time-series of relevant risk metrics.</w:t>
      </w:r>
    </w:p>
    <w:p>
      <w:pPr>
        <w:pStyle w:val="ListParagraph"/>
        <w:numPr>
          <w:ilvl w:val="0"/>
          <w:numId w:val="2"/>
        </w:numPr>
        <w:spacing w:after="80" w:line="276"/>
      </w:pPr>
      <w:r>
        <w:rPr>
          <w:rFonts w:ascii="Arial" w:cs="Arial" w:eastAsia="Arial" w:hAnsi="Arial"/>
          <w:sz w:val="22"/>
          <w:szCs w:val="22"/>
        </w:rPr>
        <w:t xml:space="preserve">Automated notifications: when triggers are crossed, the system sends alerts to designated focal points via email, SMS, and dashboard notifications.</w:t>
      </w:r>
    </w:p>
    <w:p>
      <w:pPr>
        <w:pStyle w:val="ListParagraph"/>
        <w:numPr>
          <w:ilvl w:val="0"/>
          <w:numId w:val="2"/>
        </w:numPr>
        <w:spacing w:after="80" w:line="276"/>
      </w:pPr>
      <w:r>
        <w:rPr>
          <w:rFonts w:ascii="Arial" w:cs="Arial" w:eastAsia="Arial" w:hAnsi="Arial"/>
          <w:sz w:val="22"/>
          <w:szCs w:val="22"/>
        </w:rPr>
        <w:t xml:space="preserve">Audit trail and accountability: complete logging of trigger status changes, including which data inputs caused the trigger, supporting post-event review and refinement.</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sz w:val="22"/>
          <w:szCs w:val="22"/>
        </w:rPr>
      </w:r>
    </w:p>
    <w:p>
      <w:pPr>
        <w:spacing w:after="160" w:line="276"/>
        <w:jc w:val="left"/>
      </w:pPr>
      <w:r>
        <w:rPr>
          <w:rFonts w:ascii="Arial" w:cs="Arial" w:eastAsia="Arial" w:hAnsi="Arial"/>
          <w:b/>
          <w:bCs/>
          <w:sz w:val="22"/>
          <w:szCs w:val="22"/>
        </w:rPr>
        <w:t xml:space="preserve">Data dependencies: </w:t>
      </w:r>
      <w:r>
        <w:rPr>
          <w:rFonts w:ascii="Arial" w:cs="Arial" w:eastAsia="Arial" w:hAnsi="Arial"/>
          <w:sz w:val="22"/>
          <w:szCs w:val="22"/>
        </w:rPr>
        <w:t xml:space="preserve">SIRS Risk Integration Engine outputs; partner-specific trigger thresholds and SOPs (documented during co-design); communication channel configurations for notifications.</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WFP and IFRC are the primary users for anticipatory action triggers. NDMAs configure government-level triggers. GIZ/RIA supports capacity building for trigger design and calibration.</w:t>
      </w:r>
    </w:p>
    <w:p>
      <w:pPr>
        <w:pStyle w:val="Heading2"/>
        <w:spacing w:before="280" w:after="160"/>
      </w:pPr>
      <w:r>
        <w:rPr>
          <w:rFonts w:ascii="Arial" w:cs="Arial" w:eastAsia="Arial" w:hAnsi="Arial"/>
          <w:b/>
          <w:bCs/>
          <w:color w:val="2E86C1"/>
          <w:sz w:val="26"/>
          <w:szCs w:val="26"/>
        </w:rPr>
        <w:t xml:space="preserve">3.4 Sector Lenses (Health, WASH, Livelihoods, Logistics)</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Sector Lenses are configurable analytical overlays that add sector-specific variables, thresholds, and logic to the base risk picture, enabling sector ministries and specialist agencies to use SIRS for their domain-specific decisions.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Pre-configured lenses for Health/WASH, Food Security/Livelihoods, Logistics/Infrastructure, and Social Protection, each defining relevant exposure variables, vulnerability indicators, and impact metrics.</w:t>
      </w:r>
    </w:p>
    <w:p>
      <w:pPr>
        <w:pStyle w:val="ListParagraph"/>
        <w:numPr>
          <w:ilvl w:val="0"/>
          <w:numId w:val="2"/>
        </w:numPr>
        <w:spacing w:after="80" w:line="276"/>
      </w:pPr>
      <w:r>
        <w:rPr>
          <w:rFonts w:ascii="Arial" w:cs="Arial" w:eastAsia="Arial" w:hAnsi="Arial"/>
          <w:sz w:val="22"/>
          <w:szCs w:val="22"/>
        </w:rPr>
        <w:t xml:space="preserve">Custom lens creation: advanced users can define new sector lenses by selecting variables from the SIRS data catalogue and specifying aggregation and threshold rules.</w:t>
      </w:r>
    </w:p>
    <w:p>
      <w:pPr>
        <w:pStyle w:val="ListParagraph"/>
        <w:numPr>
          <w:ilvl w:val="0"/>
          <w:numId w:val="2"/>
        </w:numPr>
        <w:spacing w:after="80" w:line="276"/>
      </w:pPr>
      <w:r>
        <w:rPr>
          <w:rFonts w:ascii="Arial" w:cs="Arial" w:eastAsia="Arial" w:hAnsi="Arial"/>
          <w:sz w:val="22"/>
          <w:szCs w:val="22"/>
        </w:rPr>
        <w:t xml:space="preserve">Data-poor environment handling: each lens defines a "minimum viable dataset" that enables basic analysis, plus an "enhanced dataset" for richer output. Where data gaps exist, the system clearly flags assumptions and data quality limitations.</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sz w:val="22"/>
          <w:szCs w:val="22"/>
        </w:rPr>
      </w:r>
    </w:p>
    <w:p>
      <w:pPr>
        <w:spacing w:after="160" w:line="276"/>
        <w:jc w:val="left"/>
      </w:pPr>
      <w:r>
        <w:rPr>
          <w:rFonts w:ascii="Arial" w:cs="Arial" w:eastAsia="Arial" w:hAnsi="Arial"/>
          <w:b/>
          <w:bCs/>
          <w:sz w:val="22"/>
          <w:szCs w:val="22"/>
        </w:rPr>
        <w:t xml:space="preserve">Data dependencies by lens: </w:t>
      </w:r>
      <w:r>
        <w:rPr>
          <w:rFonts w:ascii="Arial" w:cs="Arial" w:eastAsia="Arial" w:hAnsi="Arial"/>
          <w:sz w:val="22"/>
          <w:szCs w:val="22"/>
        </w:rPr>
        <w:t xml:space="preserve">Health/WASH: facility master lists (MFL/DHIS2), water point databases, cholera surveillance data. Food Security: IPC/CH classifications, crop calendar, market data. Logistics: road network, bridge inventory, warehouse locations. Social Protection: beneficiary registries, poverty indices.</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WHO and UNICEF contribute health and WASH facility data standards. WFP contributes food security and logistics data. UNDP supports social protection integration. National sector ministries are both data providers and primary users of sector-specific outputs.</w:t>
      </w:r>
    </w:p>
    <w:p>
      <w:pPr>
        <w:pStyle w:val="Heading2"/>
        <w:spacing w:before="280" w:after="160"/>
      </w:pPr>
      <w:r>
        <w:rPr>
          <w:rFonts w:ascii="Arial" w:cs="Arial" w:eastAsia="Arial" w:hAnsi="Arial"/>
          <w:b/>
          <w:bCs/>
          <w:color w:val="2E86C1"/>
          <w:sz w:val="26"/>
          <w:szCs w:val="26"/>
        </w:rPr>
        <w:t xml:space="preserve">3.5 Data Collection and Feedback Loop (Kobo-Enabled)</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This module integrates KoboToolbox—the widely used open-source mobile data collection platform—into the SIRS workflow to enable rapid field assessments, damage and needs data collection, and systematic feedback that improves risk model parameters over time.</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Standard SIRS assessment forms: a library of pre-designed Kobo forms for rapid damage assessment, sectoral needs assessment, facility status verification, and community coping capacity survey. Forms are aligned with SIRS data model fields to enable automatic integration.</w:t>
      </w:r>
    </w:p>
    <w:p>
      <w:pPr>
        <w:pStyle w:val="ListParagraph"/>
        <w:numPr>
          <w:ilvl w:val="0"/>
          <w:numId w:val="2"/>
        </w:numPr>
        <w:spacing w:after="80" w:line="276"/>
      </w:pPr>
      <w:r>
        <w:rPr>
          <w:rFonts w:ascii="Arial" w:cs="Arial" w:eastAsia="Arial" w:hAnsi="Arial"/>
          <w:sz w:val="22"/>
          <w:szCs w:val="22"/>
        </w:rPr>
        <w:t xml:space="preserve">Two-way integration with Kobo: SIRS pushes baseline data to Kobo forms (e.g., pre-populating facility names and locations) and pulls assessment responses back into the SIRS data layer in near-real-time.</w:t>
      </w:r>
    </w:p>
    <w:p>
      <w:pPr>
        <w:pStyle w:val="ListParagraph"/>
        <w:numPr>
          <w:ilvl w:val="0"/>
          <w:numId w:val="2"/>
        </w:numPr>
        <w:spacing w:after="80" w:line="276"/>
      </w:pPr>
      <w:r>
        <w:rPr>
          <w:rFonts w:ascii="Arial" w:cs="Arial" w:eastAsia="Arial" w:hAnsi="Arial"/>
          <w:sz w:val="22"/>
          <w:szCs w:val="22"/>
        </w:rPr>
        <w:t xml:space="preserve">Feedback loop for INFORM improvement: post-event assessment data is systematically compared with pre-event INFORM vulnerability and coping capacity scores. Where observed impacts diverge significantly from predictions, the system flags those indicators for review and potential recalibration. Over multiple event cycles, this creates a continuous improvement loop for the INFORM Subnational Risk Index.</w:t>
      </w:r>
    </w:p>
    <w:p>
      <w:pPr>
        <w:pStyle w:val="ListParagraph"/>
        <w:numPr>
          <w:ilvl w:val="0"/>
          <w:numId w:val="2"/>
        </w:numPr>
        <w:spacing w:after="80" w:line="276"/>
      </w:pPr>
      <w:r>
        <w:rPr>
          <w:rFonts w:ascii="Arial" w:cs="Arial" w:eastAsia="Arial" w:hAnsi="Arial"/>
          <w:sz w:val="22"/>
          <w:szCs w:val="22"/>
        </w:rPr>
        <w:t xml:space="preserve">Quality assurance workflows: submitted data is flagged for review based on completeness, internal consistency, and geospatial plausibility before being integrated into official SIRS datasets.</w:t>
      </w:r>
    </w:p>
    <w:p>
      <w:pPr>
        <w:pStyle w:val="ListParagraph"/>
        <w:numPr>
          <w:ilvl w:val="0"/>
          <w:numId w:val="2"/>
        </w:numPr>
        <w:spacing w:after="80" w:line="276"/>
      </w:pPr>
      <w:r>
        <w:rPr>
          <w:rFonts w:ascii="Arial" w:cs="Arial" w:eastAsia="Arial" w:hAnsi="Arial"/>
          <w:sz w:val="22"/>
          <w:szCs w:val="22"/>
        </w:rPr>
        <w:t xml:space="preserve">Offline capability: field teams can collect data offline in areas with limited connectivity, with automatic synchronisation when connectivity is restored.</w:t>
      </w:r>
    </w:p>
    <w:p>
      <w:pPr>
        <w:spacing w:after="160" w:line="276"/>
        <w:jc w:val="left"/>
      </w:pPr>
      <w:r>
        <w:rPr>
          <w:rFonts w:ascii="Arial" w:cs="Arial" w:eastAsia="Arial" w:hAnsi="Arial"/>
          <w:b/>
          <w:bCs/>
          <w:sz w:val="22"/>
          <w:szCs w:val="22"/>
        </w:rPr>
        <w:t xml:space="preserve">Data dependencies: </w:t>
      </w:r>
      <w:r>
        <w:rPr>
          <w:rFonts w:ascii="Arial" w:cs="Arial" w:eastAsia="Arial" w:hAnsi="Arial"/>
          <w:sz w:val="22"/>
          <w:szCs w:val="22"/>
        </w:rPr>
        <w:t xml:space="preserve">KoboToolbox server infrastructure; baseline facility and community data for form pre-population; mobile devices for field teams.</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IFRC and National Societies are the primary users for field data collection. Kobo ecosystem provides the platform and form-building tools. UNDP and NDMAs use collected data for post-disaster needs assessments (PDNA). CIMA Foundation and INFORM team use the feedback loop for model calibration.</w:t>
      </w:r>
    </w:p>
    <w:p>
      <w:pPr>
        <w:pStyle w:val="Heading2"/>
        <w:spacing w:before="280" w:after="160"/>
      </w:pPr>
      <w:r>
        <w:rPr>
          <w:rFonts w:ascii="Arial" w:cs="Arial" w:eastAsia="Arial" w:hAnsi="Arial"/>
          <w:b/>
          <w:bCs/>
          <w:color w:val="2E86C1"/>
          <w:sz w:val="26"/>
          <w:szCs w:val="26"/>
        </w:rPr>
        <w:t xml:space="preserve">3.6 Collaboration and Governance Workspace</w:t>
      </w:r>
    </w:p>
    <w:p>
      <w:pPr>
        <w:spacing w:after="160" w:line="276"/>
        <w:jc w:val="left"/>
      </w:pPr>
      <w:r>
        <w:rPr>
          <w:rFonts w:ascii="Arial" w:cs="Arial" w:eastAsia="Arial" w:hAnsi="Arial"/>
          <w:b/>
          <w:bCs/>
          <w:sz w:val="22"/>
          <w:szCs w:val="22"/>
        </w:rPr>
        <w:t xml:space="preserve">Description: </w:t>
      </w:r>
      <w:r>
        <w:rPr>
          <w:rFonts w:ascii="Arial" w:cs="Arial" w:eastAsia="Arial" w:hAnsi="Arial"/>
          <w:sz w:val="22"/>
          <w:szCs w:val="22"/>
        </w:rPr>
        <w:t xml:space="preserve">The Collaboration Workspace is a shared digital environment where all SIRS stakeholders can view, discuss, annotate, and formally agree on analytical products. It ensures that when the regional system produces a risk advisory or impact estimate, all relevant partners are working from the same information.</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Shared map and dashboard views: all authenticated users see the same base risk picture, with the ability to toggle sector lenses, filter by geography, and adjust time horizons.</w:t>
      </w:r>
    </w:p>
    <w:p>
      <w:pPr>
        <w:pStyle w:val="ListParagraph"/>
        <w:numPr>
          <w:ilvl w:val="0"/>
          <w:numId w:val="2"/>
        </w:numPr>
        <w:spacing w:after="80" w:line="276"/>
      </w:pPr>
      <w:r>
        <w:rPr>
          <w:rFonts w:ascii="Arial" w:cs="Arial" w:eastAsia="Arial" w:hAnsi="Arial"/>
          <w:sz w:val="22"/>
          <w:szCs w:val="22"/>
        </w:rPr>
        <w:t xml:space="preserve">Commenting and annotation: users can add text notes, draw attention to specific areas or features, and tag other users for review, creating a structured analytical conversation.</w:t>
      </w:r>
    </w:p>
    <w:p>
      <w:pPr>
        <w:pStyle w:val="ListParagraph"/>
        <w:numPr>
          <w:ilvl w:val="0"/>
          <w:numId w:val="2"/>
        </w:numPr>
        <w:spacing w:after="80" w:line="276"/>
      </w:pPr>
      <w:r>
        <w:rPr>
          <w:rFonts w:ascii="Arial" w:cs="Arial" w:eastAsia="Arial" w:hAnsi="Arial"/>
          <w:sz w:val="22"/>
          <w:szCs w:val="22"/>
        </w:rPr>
        <w:t xml:space="preserve">Product publishing workflow: designated users (typically SHOC duty officers or DRR Unit analysts) can mark specific scenarios, maps, and reports as "official" products, which are then available for inclusion in regional situation reports, flash appeals, and government advisories.</w:t>
      </w:r>
    </w:p>
    <w:p>
      <w:pPr>
        <w:pStyle w:val="ListParagraph"/>
        <w:numPr>
          <w:ilvl w:val="0"/>
          <w:numId w:val="2"/>
        </w:numPr>
        <w:spacing w:after="80" w:line="276"/>
      </w:pPr>
      <w:r>
        <w:rPr>
          <w:rFonts w:ascii="Arial" w:cs="Arial" w:eastAsia="Arial" w:hAnsi="Arial"/>
          <w:sz w:val="22"/>
          <w:szCs w:val="22"/>
        </w:rPr>
        <w:t xml:space="preserve">Role-based access control: fine-grained permissions ensure that Member State data is only visible to authorised users, that editing rights are appropriately restricted, and that the audit trail captures all actions.</w:t>
      </w:r>
    </w:p>
    <w:p>
      <w:pPr>
        <w:pStyle w:val="ListParagraph"/>
        <w:numPr>
          <w:ilvl w:val="0"/>
          <w:numId w:val="2"/>
        </w:numPr>
        <w:spacing w:after="80" w:line="276"/>
      </w:pPr>
      <w:r>
        <w:rPr>
          <w:rFonts w:ascii="Arial" w:cs="Arial" w:eastAsia="Arial" w:hAnsi="Arial"/>
          <w:sz w:val="22"/>
          <w:szCs w:val="22"/>
        </w:rPr>
        <w:t xml:space="preserve">Export and dissemination: one-click export of maps, dashboards, and reports to PDF, PowerPoint, GeoTIFF, and standard map packages (e.g., MapAction-compatible formats).</w:t>
      </w:r>
    </w:p>
    <w:p>
      <w:pPr>
        <w:spacing w:after="160" w:line="276"/>
        <w:jc w:val="left"/>
      </w:pPr>
      <w:r>
        <w:rPr>
          <w:rFonts w:ascii="Arial" w:cs="Arial" w:eastAsia="Arial" w:hAnsi="Arial"/>
          <w:b/>
          <w:bCs/>
          <w:sz w:val="22"/>
          <w:szCs w:val="22"/>
        </w:rPr>
        <w:t xml:space="preserve">Data dependencies: </w:t>
      </w:r>
      <w:r>
        <w:rPr>
          <w:rFonts w:ascii="Arial" w:cs="Arial" w:eastAsia="Arial" w:hAnsi="Arial"/>
          <w:sz w:val="22"/>
          <w:szCs w:val="22"/>
        </w:rPr>
        <w:t xml:space="preserve">User directory and role assignments; organisational access policies; export templates.</w:t>
      </w:r>
    </w:p>
    <w:p>
      <w:pPr>
        <w:spacing w:after="160" w:line="276"/>
        <w:jc w:val="left"/>
      </w:pPr>
      <w:r>
        <w:rPr>
          <w:rFonts w:ascii="Arial" w:cs="Arial" w:eastAsia="Arial" w:hAnsi="Arial"/>
          <w:b/>
          <w:bCs/>
          <w:sz w:val="22"/>
          <w:szCs w:val="22"/>
        </w:rPr>
        <w:t xml:space="preserve">Partner integration: </w:t>
      </w:r>
      <w:r>
        <w:rPr>
          <w:rFonts w:ascii="Arial" w:cs="Arial" w:eastAsia="Arial" w:hAnsi="Arial"/>
          <w:sz w:val="22"/>
          <w:szCs w:val="22"/>
        </w:rPr>
        <w:t xml:space="preserve">SADC DRR Unit and SHOC are the primary governance actors. MapAction contributes cartographic standards and templates. AUC receives published products for continental-level monitoring. All partners use the workspace for coordination during events.</w:t>
      </w:r>
    </w:p>
    <w:p>
      <w:pPr>
        <w:pStyle w:val="Heading1"/>
        <w:spacing w:before="360" w:after="200"/>
      </w:pPr>
      <w:r>
        <w:rPr>
          <w:rFonts w:ascii="Arial" w:cs="Arial" w:eastAsia="Arial" w:hAnsi="Arial"/>
          <w:b/>
          <w:bCs/>
          <w:color w:val="1B4F72"/>
          <w:sz w:val="32"/>
          <w:szCs w:val="32"/>
        </w:rPr>
        <w:t xml:space="preserve">4. Partner Roles and Value-Proposition Mapping</w:t>
      </w:r>
    </w:p>
    <w:p>
      <w:pPr>
        <w:spacing w:after="160" w:line="276"/>
        <w:jc w:val="left"/>
      </w:pPr>
      <w:r>
        <w:rPr>
          <w:rFonts w:ascii="Arial" w:cs="Arial" w:eastAsia="Arial" w:hAnsi="Arial"/>
          <w:sz w:val="22"/>
          <w:szCs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400"/>
        <w:gridCol w:w="266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Partner</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Role in SIRS</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Value Received</w:t>
            </w:r>
          </w:p>
        </w:tc>
        <w:tc>
          <w:tcPr>
            <w:tcW w:type="dxa" w:w="26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Integration 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SADC DRR Unit + SHOC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Institutional owner, governance lead, primary operational user, data consumer and publisher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Structured analytical layer for SHOC operations; consistent regional risk products; enhanced coordination authority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SIRS feeds directly into SHOC monitoring and duty officer workflows; risk products published through SADC channels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GIZ / RIA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Programme financier, capacity building lead, governance support, connection to GIDRM and broader German DRR portfolio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Concrete operationalisation of RIA investments in INFORM and regional DRR; visible, measurable results from capacity strengthening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RIA programme framework provides the enabling environment; GIZ technical advisors embedded in co-design and capacity building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UNDP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Technical partner, governance advisory, early recovery programming, PDNA methodology, link to national government systems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Evidence-based early recovery targeting; streamlined PDNA processes; strengthened country office DRR programming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UNDP country offices access SIRS for programme planning; PDNA data feeds back into SIRS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WFP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Anticipatory action operator, logistics data provider, food security lens contributor, key user of trigger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Faster, more evidence-based AA activation decisions; improved supply chain pre-positioning; shared risk picture with partners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WFP triggers configured in SIRS; logistics corridor data feeds into scenario builder; mVAM data enriches food security lens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IFRC (Malawi, Moz.)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Field data collector (via National Societies), AA operator, community-level verification, DREF/EA evidence producer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Faster DREF/EA evidence assembly; improved volunteer deployment targeting; community data feeding back into risk models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Kobo assessment forms integrated; National Society field data uploads; IFRC triggers in AA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MapAction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Cartographic standards, rapid mapping during deployments, map product templates, GIS capacity building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Pre-configured data and basemaps reduce setup time during deployments; products are consistent with regional standards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MapAction templates embedded in export module; deployed GIS officers use SIRS as data backbone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CIMA Foundation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Hazard modeller (flood, cyclone wind), INFORM methodology support, scientific validation, model calibration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Operational deployment of CIMA models at regional scale; sustained impact beyond project cycles; field validation data for model improvement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CIMA flood models feed into Risk Integration Engine and Scenario Builder; calibration feedback from post-event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AUC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Continental alignment, policy framework (AMHEWAS), data standards, upward reporting to AU mechanisms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SADC becomes a model regional implementation of continental DRR strategy; consistent data for AU-level monitoring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SIRS products feed into AMHEWAS reporting; AUC data standards inform SIRS data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Google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Technology partner: cloud compute, Earth Engine data, AI/ML tools, possible cloud credits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Sustained institutional partner for deploying Google tech in DRR; visible impact story; government and multilateral relationships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Earth Engine APIs for satellite data; Google Cloud for compute; AI tools for damage assessment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Kobo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Mobile data collection platform, form design support, data integration APIs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Flagship integration showcasing Kobo in operational DRR; increased adoption across SADC national systems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Kobo REST API for form deployment and data retrieval; standard form library maintained jointly</w:t>
            </w:r>
          </w:p>
        </w:tc>
      </w:tr>
    </w:tbl>
    <w:p>
      <w:pPr>
        <w:spacing w:after="80"/>
      </w:pPr>
    </w:p>
    <w:p>
      <w:pPr>
        <w:pStyle w:val="Heading1"/>
        <w:spacing w:before="360" w:after="200"/>
      </w:pPr>
      <w:r>
        <w:rPr>
          <w:rFonts w:ascii="Arial" w:cs="Arial" w:eastAsia="Arial" w:hAnsi="Arial"/>
          <w:b/>
          <w:bCs/>
          <w:color w:val="1B4F72"/>
          <w:sz w:val="32"/>
          <w:szCs w:val="32"/>
        </w:rPr>
        <w:t xml:space="preserve">5. Technical Architecture (Conceptual)</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5.1 Data Ingestion Layer</w:t>
      </w:r>
    </w:p>
    <w:p>
      <w:pPr>
        <w:spacing w:after="160" w:line="276"/>
        <w:jc w:val="left"/>
      </w:pPr>
      <w:r>
        <w:rPr>
          <w:rFonts w:ascii="Arial" w:cs="Arial" w:eastAsia="Arial" w:hAnsi="Arial"/>
          <w:sz w:val="22"/>
          <w:szCs w:val="22"/>
        </w:rPr>
      </w:r>
    </w:p>
    <w:p>
      <w:pPr>
        <w:pStyle w:val="ListParagraph"/>
        <w:numPr>
          <w:ilvl w:val="0"/>
          <w:numId w:val="2"/>
        </w:numPr>
        <w:spacing w:after="80" w:line="276"/>
      </w:pPr>
      <w:r>
        <w:rPr>
          <w:rFonts w:ascii="Arial" w:cs="Arial" w:eastAsia="Arial" w:hAnsi="Arial"/>
          <w:sz w:val="22"/>
          <w:szCs w:val="22"/>
        </w:rPr>
        <w:t xml:space="preserve">API-based ingestion: automated connectors for real-time data feeds including meteorological forecasts (via WMO/GTS protocols and RSMC APIs), river gauge telemetry, satellite-derived products (e.g., Copernicus EMS Rapid Mapping activations, Google Earth Engine imagery), and Kobo assessment submissions.</w:t>
      </w:r>
    </w:p>
    <w:p>
      <w:pPr>
        <w:pStyle w:val="ListParagraph"/>
        <w:numPr>
          <w:ilvl w:val="0"/>
          <w:numId w:val="2"/>
        </w:numPr>
        <w:spacing w:after="80" w:line="276"/>
      </w:pPr>
      <w:r>
        <w:rPr>
          <w:rFonts w:ascii="Arial" w:cs="Arial" w:eastAsia="Arial" w:hAnsi="Arial"/>
          <w:sz w:val="22"/>
          <w:szCs w:val="22"/>
        </w:rPr>
        <w:t xml:space="preserve">Batch upload: scheduled and manual upload of tabular and geospatial datasets including INFORM index updates, facility registers, population datasets, and crop area data. Supports CSV, Excel, GeoJSON, Shapefile, GeoPackage, and GeoTIFF formats.</w:t>
      </w:r>
    </w:p>
    <w:p>
      <w:pPr>
        <w:pStyle w:val="ListParagraph"/>
        <w:numPr>
          <w:ilvl w:val="0"/>
          <w:numId w:val="2"/>
        </w:numPr>
        <w:spacing w:after="80" w:line="276"/>
      </w:pPr>
      <w:r>
        <w:rPr>
          <w:rFonts w:ascii="Arial" w:cs="Arial" w:eastAsia="Arial" w:hAnsi="Arial"/>
          <w:sz w:val="22"/>
          <w:szCs w:val="22"/>
        </w:rPr>
        <w:t xml:space="preserve">National data feeds: configurable connectors for Member State data systems (e.g., DHIS2 for health facility data, national hydro-met APIs where available) with clear data-sharing agreements and access controls.</w:t>
      </w:r>
    </w:p>
    <w:p>
      <w:pPr>
        <w:pStyle w:val="ListParagraph"/>
        <w:numPr>
          <w:ilvl w:val="0"/>
          <w:numId w:val="2"/>
        </w:numPr>
        <w:spacing w:after="80" w:line="276"/>
      </w:pPr>
      <w:r>
        <w:rPr>
          <w:rFonts w:ascii="Arial" w:cs="Arial" w:eastAsia="Arial" w:hAnsi="Arial"/>
          <w:sz w:val="22"/>
          <w:szCs w:val="22"/>
        </w:rPr>
        <w:t xml:space="preserve">Data validation and harmonisation: automated checks for schema conformance, geographic consistency, temporal currency, and deduplication. All ingested data is tagged with provenance metadata.</w:t>
      </w:r>
    </w:p>
    <w:p>
      <w:pPr>
        <w:pStyle w:val="Heading2"/>
        <w:spacing w:before="280" w:after="160"/>
      </w:pPr>
      <w:r>
        <w:rPr>
          <w:rFonts w:ascii="Arial" w:cs="Arial" w:eastAsia="Arial" w:hAnsi="Arial"/>
          <w:b/>
          <w:bCs/>
          <w:color w:val="2E86C1"/>
          <w:sz w:val="26"/>
          <w:szCs w:val="26"/>
        </w:rPr>
        <w:t xml:space="preserve">5.2 Processing and Modelling Layer</w:t>
      </w:r>
    </w:p>
    <w:p>
      <w:pPr>
        <w:spacing w:after="160" w:line="276"/>
        <w:jc w:val="left"/>
      </w:pPr>
      <w:r>
        <w:rPr>
          <w:rFonts w:ascii="Arial" w:cs="Arial" w:eastAsia="Arial" w:hAnsi="Arial"/>
          <w:sz w:val="22"/>
          <w:szCs w:val="22"/>
        </w:rPr>
      </w:r>
    </w:p>
    <w:p>
      <w:pPr>
        <w:pStyle w:val="ListParagraph"/>
        <w:numPr>
          <w:ilvl w:val="0"/>
          <w:numId w:val="2"/>
        </w:numPr>
        <w:spacing w:after="80" w:line="276"/>
      </w:pPr>
      <w:r>
        <w:rPr>
          <w:rFonts w:ascii="Arial" w:cs="Arial" w:eastAsia="Arial" w:hAnsi="Arial"/>
          <w:sz w:val="22"/>
          <w:szCs w:val="22"/>
        </w:rPr>
        <w:t xml:space="preserve">Risk Integration Engine: calculates composite risk scores by combining INFORM baseline indices with dynamic hazard and exposure data. Runs on a configurable schedule (e.g., every 6 hours during active events) or on-demand.</w:t>
      </w:r>
    </w:p>
    <w:p>
      <w:pPr>
        <w:pStyle w:val="ListParagraph"/>
        <w:numPr>
          <w:ilvl w:val="0"/>
          <w:numId w:val="2"/>
        </w:numPr>
        <w:spacing w:after="80" w:line="276"/>
      </w:pPr>
      <w:r>
        <w:rPr>
          <w:rFonts w:ascii="Arial" w:cs="Arial" w:eastAsia="Arial" w:hAnsi="Arial"/>
          <w:sz w:val="22"/>
          <w:szCs w:val="22"/>
        </w:rPr>
        <w:t xml:space="preserve">Scenario Engine: powers the Impact Scenario Builder by running hazard intensity surfaces against exposure and vulnerability layers. Computationally intensive scenarios (e.g., ensemble cyclone tracks) can be offloaded to scalable cloud compute (Google Cloud or equivalent).</w:t>
      </w:r>
    </w:p>
    <w:p>
      <w:pPr>
        <w:pStyle w:val="ListParagraph"/>
        <w:numPr>
          <w:ilvl w:val="0"/>
          <w:numId w:val="2"/>
        </w:numPr>
        <w:spacing w:after="80" w:line="276"/>
      </w:pPr>
      <w:r>
        <w:rPr>
          <w:rFonts w:ascii="Arial" w:cs="Arial" w:eastAsia="Arial" w:hAnsi="Arial"/>
          <w:sz w:val="22"/>
          <w:szCs w:val="22"/>
        </w:rPr>
        <w:t xml:space="preserve">Trigger Engine: continuously evaluates configured triggers against current risk metrics, managing the state machine for trigger activation, notification, and stand-down.</w:t>
      </w:r>
    </w:p>
    <w:p>
      <w:pPr>
        <w:pStyle w:val="ListParagraph"/>
        <w:numPr>
          <w:ilvl w:val="0"/>
          <w:numId w:val="2"/>
        </w:numPr>
        <w:spacing w:after="80" w:line="276"/>
      </w:pPr>
      <w:r>
        <w:rPr>
          <w:rFonts w:ascii="Arial" w:cs="Arial" w:eastAsia="Arial" w:hAnsi="Arial"/>
          <w:sz w:val="22"/>
          <w:szCs w:val="22"/>
        </w:rPr>
        <w:t xml:space="preserve">Sector Lens Processors: apply sector-specific logic, thresholds, and aggregations on top of base risk outputs.</w:t>
      </w:r>
    </w:p>
    <w:p>
      <w:pPr>
        <w:pStyle w:val="Heading2"/>
        <w:spacing w:before="280" w:after="160"/>
      </w:pPr>
      <w:r>
        <w:rPr>
          <w:rFonts w:ascii="Arial" w:cs="Arial" w:eastAsia="Arial" w:hAnsi="Arial"/>
          <w:b/>
          <w:bCs/>
          <w:color w:val="2E86C1"/>
          <w:sz w:val="26"/>
          <w:szCs w:val="26"/>
        </w:rPr>
        <w:t xml:space="preserve">5.3 Storage Layer</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5.4 Front-End Layer</w:t>
      </w:r>
    </w:p>
    <w:p>
      <w:pPr>
        <w:spacing w:after="160" w:line="276"/>
        <w:jc w:val="left"/>
      </w:pPr>
      <w:r>
        <w:rPr>
          <w:rFonts w:ascii="Arial" w:cs="Arial" w:eastAsia="Arial" w:hAnsi="Arial"/>
          <w:sz w:val="22"/>
          <w:szCs w:val="22"/>
        </w:rPr>
      </w:r>
    </w:p>
    <w:p>
      <w:pPr>
        <w:pStyle w:val="ListParagraph"/>
        <w:numPr>
          <w:ilvl w:val="0"/>
          <w:numId w:val="2"/>
        </w:numPr>
        <w:spacing w:after="80" w:line="276"/>
      </w:pPr>
      <w:r>
        <w:rPr>
          <w:rFonts w:ascii="Arial" w:cs="Arial" w:eastAsia="Arial" w:hAnsi="Arial"/>
          <w:sz w:val="22"/>
          <w:szCs w:val="22"/>
        </w:rPr>
        <w:t xml:space="preserve">Analyst workbench: full-featured interface for DRR analysts and duty officers at SHOC, including map viewer, scenario builder, trigger monitor, and reporting tools.</w:t>
      </w:r>
    </w:p>
    <w:p>
      <w:pPr>
        <w:pStyle w:val="ListParagraph"/>
        <w:numPr>
          <w:ilvl w:val="0"/>
          <w:numId w:val="2"/>
        </w:numPr>
        <w:spacing w:after="80" w:line="276"/>
      </w:pPr>
      <w:r>
        <w:rPr>
          <w:rFonts w:ascii="Arial" w:cs="Arial" w:eastAsia="Arial" w:hAnsi="Arial"/>
          <w:sz w:val="22"/>
          <w:szCs w:val="22"/>
        </w:rPr>
        <w:t xml:space="preserve">Decision-maker dashboard: simplified, high-level view for senior officials showing regional risk overview, current alerts, and key metrics.</w:t>
      </w:r>
    </w:p>
    <w:p>
      <w:pPr>
        <w:pStyle w:val="ListParagraph"/>
        <w:numPr>
          <w:ilvl w:val="0"/>
          <w:numId w:val="2"/>
        </w:numPr>
        <w:spacing w:after="80" w:line="276"/>
      </w:pPr>
      <w:r>
        <w:rPr>
          <w:rFonts w:ascii="Arial" w:cs="Arial" w:eastAsia="Arial" w:hAnsi="Arial"/>
          <w:sz w:val="22"/>
          <w:szCs w:val="22"/>
        </w:rPr>
        <w:t xml:space="preserve">Sector portal: tailored views for sector ministry users focusing on their specific lens data and outputs.</w:t>
      </w:r>
    </w:p>
    <w:p>
      <w:pPr>
        <w:pStyle w:val="ListParagraph"/>
        <w:numPr>
          <w:ilvl w:val="0"/>
          <w:numId w:val="2"/>
        </w:numPr>
        <w:spacing w:after="80" w:line="276"/>
      </w:pPr>
      <w:r>
        <w:rPr>
          <w:rFonts w:ascii="Arial" w:cs="Arial" w:eastAsia="Arial" w:hAnsi="Arial"/>
          <w:sz w:val="22"/>
          <w:szCs w:val="22"/>
        </w:rPr>
        <w:t xml:space="preserve">Mobile-responsive design: core dashboards and alert views accessible on tablets and smartphones for field-level users.</w:t>
      </w:r>
    </w:p>
    <w:p>
      <w:pPr>
        <w:pStyle w:val="Heading2"/>
        <w:spacing w:before="280" w:after="160"/>
      </w:pPr>
      <w:r>
        <w:rPr>
          <w:rFonts w:ascii="Arial" w:cs="Arial" w:eastAsia="Arial" w:hAnsi="Arial"/>
          <w:b/>
          <w:bCs/>
          <w:color w:val="2E86C1"/>
          <w:sz w:val="26"/>
          <w:szCs w:val="26"/>
        </w:rPr>
        <w:t xml:space="preserve">5.5 Interoperability Layer</w:t>
      </w:r>
    </w:p>
    <w:p>
      <w:pPr>
        <w:spacing w:after="160" w:line="276"/>
        <w:jc w:val="left"/>
      </w:pPr>
      <w:r>
        <w:rPr>
          <w:rFonts w:ascii="Arial" w:cs="Arial" w:eastAsia="Arial" w:hAnsi="Arial"/>
          <w:sz w:val="22"/>
          <w:szCs w:val="22"/>
        </w:rPr>
      </w:r>
    </w:p>
    <w:p>
      <w:pPr>
        <w:pStyle w:val="ListParagraph"/>
        <w:numPr>
          <w:ilvl w:val="0"/>
          <w:numId w:val="2"/>
        </w:numPr>
        <w:spacing w:after="80" w:line="276"/>
      </w:pPr>
      <w:r>
        <w:rPr>
          <w:rFonts w:ascii="Arial" w:cs="Arial" w:eastAsia="Arial" w:hAnsi="Arial"/>
          <w:sz w:val="22"/>
          <w:szCs w:val="22"/>
        </w:rPr>
        <w:t xml:space="preserve">REST APIs: programmatic access to risk scores, scenario results, and trigger status for integration into partner dashboards, early warning systems, and reporting tools.</w:t>
      </w:r>
    </w:p>
    <w:p>
      <w:pPr>
        <w:pStyle w:val="ListParagraph"/>
        <w:numPr>
          <w:ilvl w:val="0"/>
          <w:numId w:val="2"/>
        </w:numPr>
        <w:spacing w:after="80" w:line="276"/>
      </w:pPr>
      <w:r>
        <w:rPr>
          <w:rFonts w:ascii="Arial" w:cs="Arial" w:eastAsia="Arial" w:hAnsi="Arial"/>
          <w:sz w:val="22"/>
          <w:szCs w:val="22"/>
        </w:rPr>
        <w:t xml:space="preserve">OGC services: Web Map Service (WMS) and Web Feature Service (WFS) endpoints for GIS interoperability, enabling partners to consume SIRS layers in their own GIS environments (QGIS, ArcGIS, etc.).</w:t>
      </w:r>
    </w:p>
    <w:p>
      <w:pPr>
        <w:pStyle w:val="ListParagraph"/>
        <w:numPr>
          <w:ilvl w:val="0"/>
          <w:numId w:val="2"/>
        </w:numPr>
        <w:spacing w:after="80" w:line="276"/>
      </w:pPr>
      <w:r>
        <w:rPr>
          <w:rFonts w:ascii="Arial" w:cs="Arial" w:eastAsia="Arial" w:hAnsi="Arial"/>
          <w:sz w:val="22"/>
          <w:szCs w:val="22"/>
        </w:rPr>
        <w:t xml:space="preserve">Map tiles: pre-rendered map tiles for embedding SIRS visualisations in partner websites and dashboards.</w:t>
      </w:r>
    </w:p>
    <w:p>
      <w:pPr>
        <w:pStyle w:val="ListParagraph"/>
        <w:numPr>
          <w:ilvl w:val="0"/>
          <w:numId w:val="2"/>
        </w:numPr>
        <w:spacing w:after="80" w:line="276"/>
      </w:pPr>
      <w:r>
        <w:rPr>
          <w:rFonts w:ascii="Arial" w:cs="Arial" w:eastAsia="Arial" w:hAnsi="Arial"/>
          <w:sz w:val="22"/>
          <w:szCs w:val="22"/>
        </w:rPr>
        <w:t xml:space="preserve">Embeddable widgets: lightweight JavaScript widgets that partner organisations can embed in their own web platforms to display SIRS risk summaries.</w:t>
      </w:r>
    </w:p>
    <w:p>
      <w:pPr>
        <w:pStyle w:val="ListParagraph"/>
        <w:numPr>
          <w:ilvl w:val="0"/>
          <w:numId w:val="2"/>
        </w:numPr>
        <w:spacing w:after="80" w:line="276"/>
      </w:pPr>
      <w:r>
        <w:rPr>
          <w:rFonts w:ascii="Arial" w:cs="Arial" w:eastAsia="Arial" w:hAnsi="Arial"/>
          <w:sz w:val="22"/>
          <w:szCs w:val="22"/>
        </w:rPr>
        <w:t xml:space="preserve">Export services: automated and on-demand export of maps, data tables, and reports in standard formats (PDF, PPTX, CSV, GeoJSON, GeoTIFF).</w:t>
      </w:r>
    </w:p>
    <w:p>
      <w:pPr>
        <w:pStyle w:val="Heading2"/>
        <w:spacing w:before="280" w:after="160"/>
      </w:pPr>
      <w:r>
        <w:rPr>
          <w:rFonts w:ascii="Arial" w:cs="Arial" w:eastAsia="Arial" w:hAnsi="Arial"/>
          <w:b/>
          <w:bCs/>
          <w:color w:val="2E86C1"/>
          <w:sz w:val="26"/>
          <w:szCs w:val="26"/>
        </w:rPr>
        <w:t xml:space="preserve">5.6 Security and Governance Layer</w:t>
      </w:r>
    </w:p>
    <w:p>
      <w:pPr>
        <w:pStyle w:val="ListParagraph"/>
        <w:numPr>
          <w:ilvl w:val="0"/>
          <w:numId w:val="2"/>
        </w:numPr>
        <w:spacing w:after="80" w:line="276"/>
      </w:pPr>
      <w:r>
        <w:rPr>
          <w:rFonts w:ascii="Arial" w:cs="Arial" w:eastAsia="Arial" w:hAnsi="Arial"/>
          <w:sz w:val="22"/>
          <w:szCs w:val="22"/>
        </w:rPr>
        <w:t xml:space="preserve">Multi-tenant architecture: each Member State's data is logically segregated with configurable visibility rules. Countries control who can see their detailed subnational data.</w:t>
      </w:r>
    </w:p>
    <w:p>
      <w:pPr>
        <w:pStyle w:val="ListParagraph"/>
        <w:numPr>
          <w:ilvl w:val="0"/>
          <w:numId w:val="2"/>
        </w:numPr>
        <w:spacing w:after="80" w:line="276"/>
      </w:pPr>
      <w:r>
        <w:rPr>
          <w:rFonts w:ascii="Arial" w:cs="Arial" w:eastAsia="Arial" w:hAnsi="Arial"/>
          <w:sz w:val="22"/>
          <w:szCs w:val="22"/>
        </w:rPr>
        <w:t xml:space="preserve">Role-based access control (RBAC): roles defined at organisational and functional levels (e.g., SHOC Duty Officer, NDMA Analyst, WFP AA Focal Point, Viewer) with granular permissions.</w:t>
      </w:r>
    </w:p>
    <w:p>
      <w:pPr>
        <w:pStyle w:val="ListParagraph"/>
        <w:numPr>
          <w:ilvl w:val="0"/>
          <w:numId w:val="2"/>
        </w:numPr>
        <w:spacing w:after="80" w:line="276"/>
      </w:pPr>
      <w:r>
        <w:rPr>
          <w:rFonts w:ascii="Arial" w:cs="Arial" w:eastAsia="Arial" w:hAnsi="Arial"/>
          <w:sz w:val="22"/>
          <w:szCs w:val="22"/>
        </w:rPr>
        <w:t xml:space="preserve">Audit logging: all data access, modifications, scenario runs, and trigger events are logged for accountability and compliance.</w:t>
      </w:r>
    </w:p>
    <w:p>
      <w:pPr>
        <w:pStyle w:val="ListParagraph"/>
        <w:numPr>
          <w:ilvl w:val="0"/>
          <w:numId w:val="2"/>
        </w:numPr>
        <w:spacing w:after="80" w:line="276"/>
      </w:pPr>
      <w:r>
        <w:rPr>
          <w:rFonts w:ascii="Arial" w:cs="Arial" w:eastAsia="Arial" w:hAnsi="Arial"/>
          <w:sz w:val="22"/>
          <w:szCs w:val="22"/>
        </w:rPr>
        <w:t xml:space="preserve">Data ownership: Member States retain ownership of their national data. SIRS stores and processes data under data-sharing agreements that respect national data governance policies.</w:t>
      </w:r>
    </w:p>
    <w:p>
      <w:pPr>
        <w:pStyle w:val="ListParagraph"/>
        <w:numPr>
          <w:ilvl w:val="0"/>
          <w:numId w:val="2"/>
        </w:numPr>
        <w:spacing w:after="80" w:line="276"/>
      </w:pPr>
      <w:r>
        <w:rPr>
          <w:rFonts w:ascii="Arial" w:cs="Arial" w:eastAsia="Arial" w:hAnsi="Arial"/>
          <w:sz w:val="22"/>
          <w:szCs w:val="22"/>
        </w:rPr>
        <w:t xml:space="preserve">Authentication: integration with identity providers (e.g., SADC institutional SSO, UN identity systems) for seamless and secure access.</w:t>
      </w:r>
    </w:p>
    <w:p>
      <w:pPr>
        <w:pStyle w:val="Heading2"/>
        <w:spacing w:before="280" w:after="160"/>
      </w:pPr>
      <w:r>
        <w:rPr>
          <w:rFonts w:ascii="Arial" w:cs="Arial" w:eastAsia="Arial" w:hAnsi="Arial"/>
          <w:b/>
          <w:bCs/>
          <w:color w:val="2E86C1"/>
          <w:sz w:val="26"/>
          <w:szCs w:val="26"/>
        </w:rPr>
        <w:t xml:space="preserve">5.7 Conceptual Component Diagram</w:t>
      </w:r>
    </w:p>
    <w:p>
      <w:pPr>
        <w:spacing w:after="160" w:line="276"/>
        <w:jc w:val="left"/>
      </w:pPr>
      <w:r>
        <w:rPr>
          <w:rFonts w:ascii="Arial" w:cs="Arial" w:eastAsia="Arial" w:hAnsi="Arial"/>
          <w:sz w:val="22"/>
          <w:szCs w:val="22"/>
        </w:rPr>
      </w:r>
    </w:p>
    <w:p>
      <w:pPr>
        <w:spacing w:after="40"/>
      </w:pPr>
      <w:r>
        <w:rPr>
          <w:rFonts w:ascii="Courier New" w:cs="Courier New" w:eastAsia="Courier New" w:hAnsi="Courier New"/>
          <w:sz w:val="16"/>
          <w:szCs w:val="16"/>
        </w:rPr>
        <w:t xml:space="preserve">┌───────────────────────────────────────────────────────────┐</w:t>
      </w:r>
    </w:p>
    <w:p>
      <w:pPr>
        <w:spacing w:after="40"/>
      </w:pPr>
      <w:r>
        <w:rPr>
          <w:rFonts w:ascii="Courier New" w:cs="Courier New" w:eastAsia="Courier New" w:hAnsi="Courier New"/>
          <w:sz w:val="16"/>
          <w:szCs w:val="16"/>
        </w:rPr>
        <w:t xml:space="preserve">│               EXTERNAL DATA SOURCES                      │</w:t>
      </w:r>
    </w:p>
    <w:p>
      <w:pPr>
        <w:spacing w:after="40"/>
      </w:pPr>
      <w:r>
        <w:rPr>
          <w:rFonts w:ascii="Courier New" w:cs="Courier New" w:eastAsia="Courier New" w:hAnsi="Courier New"/>
          <w:sz w:val="16"/>
          <w:szCs w:val="16"/>
        </w:rPr>
        <w:t xml:space="preserve">│  Met Services | INFORM | DHIS2 | Earth Engine | Kobo     │</w:t>
      </w:r>
    </w:p>
    <w:p>
      <w:pPr>
        <w:spacing w:after="40"/>
      </w:pPr>
      <w:r>
        <w:rPr>
          <w:rFonts w:ascii="Courier New" w:cs="Courier New" w:eastAsia="Courier New" w:hAnsi="Courier New"/>
          <w:sz w:val="16"/>
          <w:szCs w:val="16"/>
        </w:rPr>
        <w:t xml:space="preserve">└───────────────────────────┬───────────────────────────────┘</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  DATA INGESTION LAYER   │</w:t>
      </w:r>
    </w:p>
    <w:p>
      <w:pPr>
        <w:spacing w:after="40"/>
      </w:pPr>
      <w:r>
        <w:rPr>
          <w:rFonts w:ascii="Courier New" w:cs="Courier New" w:eastAsia="Courier New" w:hAnsi="Courier New"/>
          <w:sz w:val="16"/>
          <w:szCs w:val="16"/>
        </w:rPr>
        <w:t xml:space="preserve">              │ APIs | Batch | National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    PROCESSING &amp; MODELLING LAYER                      │</w:t>
      </w:r>
    </w:p>
    <w:p>
      <w:pPr>
        <w:spacing w:after="40"/>
      </w:pPr>
      <w:r>
        <w:rPr>
          <w:rFonts w:ascii="Courier New" w:cs="Courier New" w:eastAsia="Courier New" w:hAnsi="Courier New"/>
          <w:sz w:val="16"/>
          <w:szCs w:val="16"/>
        </w:rPr>
        <w:t xml:space="preserve">  │  Risk Engine | Scenario Engine | Trigger Engine      │</w:t>
      </w:r>
    </w:p>
    <w:p>
      <w:pPr>
        <w:spacing w:after="40"/>
      </w:pPr>
      <w:r>
        <w:rPr>
          <w:rFonts w:ascii="Courier New" w:cs="Courier New" w:eastAsia="Courier New" w:hAnsi="Courier New"/>
          <w:sz w:val="16"/>
          <w:szCs w:val="16"/>
        </w:rPr>
        <w:t xml:space="preserve">  │  Sector Lens Processors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                                    │</w:t>
      </w:r>
    </w:p>
    <w:p>
      <w:pPr>
        <w:spacing w:after="40"/>
      </w:pPr>
      <w:r>
        <w:rPr>
          <w:rFonts w:ascii="Courier New" w:cs="Courier New" w:eastAsia="Courier New" w:hAnsi="Courier New"/>
          <w:sz w:val="16"/>
          <w:szCs w:val="16"/>
        </w:rPr>
        <w:t xml:space="preserve">  ┌─────────┴────────┐   ┌────────────────┴─────────┐</w:t>
      </w:r>
    </w:p>
    <w:p>
      <w:pPr>
        <w:spacing w:after="40"/>
      </w:pPr>
      <w:r>
        <w:rPr>
          <w:rFonts w:ascii="Courier New" w:cs="Courier New" w:eastAsia="Courier New" w:hAnsi="Courier New"/>
          <w:sz w:val="16"/>
          <w:szCs w:val="16"/>
        </w:rPr>
        <w:t xml:space="preserve">  │   STORAGE LAYER   │   │  INTEROPERABILITY LAYER   │</w:t>
      </w:r>
    </w:p>
    <w:p>
      <w:pPr>
        <w:spacing w:after="40"/>
      </w:pPr>
      <w:r>
        <w:rPr>
          <w:rFonts w:ascii="Courier New" w:cs="Courier New" w:eastAsia="Courier New" w:hAnsi="Courier New"/>
          <w:sz w:val="16"/>
          <w:szCs w:val="16"/>
        </w:rPr>
        <w:t xml:space="preserve">  │ PostGIS | Object  │   │ REST APIs | OGC Services  │</w:t>
      </w:r>
    </w:p>
    <w:p>
      <w:pPr>
        <w:spacing w:after="40"/>
      </w:pPr>
      <w:r>
        <w:rPr>
          <w:rFonts w:ascii="Courier New" w:cs="Courier New" w:eastAsia="Courier New" w:hAnsi="Courier New"/>
          <w:sz w:val="16"/>
          <w:szCs w:val="16"/>
        </w:rPr>
        <w:t xml:space="preserve">  │ Store | Metadata  │   │ Tiles | Widgets | Export  │</w:t>
      </w:r>
    </w:p>
    <w:p>
      <w:pPr>
        <w:spacing w:after="40"/>
      </w:pPr>
      <w:r>
        <w:rPr>
          <w:rFonts w:ascii="Courier New" w:cs="Courier New" w:eastAsia="Courier New" w:hAnsi="Courier New"/>
          <w:sz w:val="16"/>
          <w:szCs w:val="16"/>
        </w:rPr>
        <w:t xml:space="preserve">  └───────────────────┘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w:t>
      </w:r>
    </w:p>
    <w:p>
      <w:pPr>
        <w:spacing w:after="40"/>
      </w:pPr>
      <w:r>
        <w:rPr>
          <w:rFonts w:ascii="Courier New" w:cs="Courier New" w:eastAsia="Courier New" w:hAnsi="Courier New"/>
          <w:sz w:val="16"/>
          <w:szCs w:val="16"/>
        </w:rPr>
        <w:t xml:space="preserve">              │   FRONT-END LAYER       │</w:t>
      </w:r>
    </w:p>
    <w:p>
      <w:pPr>
        <w:spacing w:after="40"/>
      </w:pPr>
      <w:r>
        <w:rPr>
          <w:rFonts w:ascii="Courier New" w:cs="Courier New" w:eastAsia="Courier New" w:hAnsi="Courier New"/>
          <w:sz w:val="16"/>
          <w:szCs w:val="16"/>
        </w:rPr>
        <w:t xml:space="preserve">              │ Analyst | Dashboard     │</w:t>
      </w:r>
    </w:p>
    <w:p>
      <w:pPr>
        <w:spacing w:after="40"/>
      </w:pPr>
      <w:r>
        <w:rPr>
          <w:rFonts w:ascii="Courier New" w:cs="Courier New" w:eastAsia="Courier New" w:hAnsi="Courier New"/>
          <w:sz w:val="16"/>
          <w:szCs w:val="16"/>
        </w:rPr>
        <w:t xml:space="preserve">              │ Sector | Mobile | Collab│</w:t>
      </w:r>
    </w:p>
    <w:p>
      <w:pPr>
        <w:spacing w:after="40"/>
      </w:pPr>
      <w:r>
        <w:rPr>
          <w:rFonts w:ascii="Courier New" w:cs="Courier New" w:eastAsia="Courier New" w:hAnsi="Courier New"/>
          <w:sz w:val="16"/>
          <w:szCs w:val="16"/>
        </w:rPr>
        <w:t xml:space="preserve">              └────────────────────────────┘</w:t>
      </w:r>
    </w:p>
    <w:p>
      <w:pPr>
        <w:spacing w:after="80"/>
      </w:pPr>
    </w:p>
    <w:p>
      <w:pPr>
        <w:pStyle w:val="Heading1"/>
        <w:spacing w:before="360" w:after="200"/>
      </w:pPr>
      <w:r>
        <w:rPr>
          <w:rFonts w:ascii="Arial" w:cs="Arial" w:eastAsia="Arial" w:hAnsi="Arial"/>
          <w:b/>
          <w:bCs/>
          <w:color w:val="1B4F72"/>
          <w:sz w:val="32"/>
          <w:szCs w:val="32"/>
        </w:rPr>
        <w:t xml:space="preserve">6. Phased Implementation Roadmap (18–24 Months)</w:t>
      </w:r>
    </w:p>
    <w:p>
      <w:pPr>
        <w:pStyle w:val="Heading2"/>
        <w:spacing w:before="280" w:after="160"/>
      </w:pPr>
      <w:r>
        <w:rPr>
          <w:rFonts w:ascii="Arial" w:cs="Arial" w:eastAsia="Arial" w:hAnsi="Arial"/>
          <w:b/>
          <w:bCs/>
          <w:color w:val="2E86C1"/>
          <w:sz w:val="26"/>
          <w:szCs w:val="26"/>
        </w:rPr>
        <w:t xml:space="preserve">6.1 Phase 0 — Co-Design (Months 1–4)</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Stakeholder mapping and engagement plan with confirmed participation from all key partners.</w:t>
      </w:r>
    </w:p>
    <w:p>
      <w:pPr>
        <w:pStyle w:val="ListParagraph"/>
        <w:numPr>
          <w:ilvl w:val="0"/>
          <w:numId w:val="2"/>
        </w:numPr>
        <w:spacing w:after="80" w:line="276"/>
      </w:pPr>
      <w:r>
        <w:rPr>
          <w:rFonts w:ascii="Arial" w:cs="Arial" w:eastAsia="Arial" w:hAnsi="Arial"/>
          <w:sz w:val="22"/>
          <w:szCs w:val="22"/>
        </w:rPr>
        <w:t xml:space="preserve">Co-design workshop series (2–3 workshops) bringing together SADC DRR Unit, SHOC, GIZ/RIA, UNDP, WFP, IFRC, MapAction, CIMA Foundation, AUC, and 3–4 priority Member States (e.g., Mozambique, Malawi, Tanzania/Zanzibar, Madagascar).</w:t>
      </w:r>
    </w:p>
    <w:p>
      <w:pPr>
        <w:pStyle w:val="ListParagraph"/>
        <w:numPr>
          <w:ilvl w:val="0"/>
          <w:numId w:val="2"/>
        </w:numPr>
        <w:spacing w:after="80" w:line="276"/>
      </w:pPr>
      <w:r>
        <w:rPr>
          <w:rFonts w:ascii="Arial" w:cs="Arial" w:eastAsia="Arial" w:hAnsi="Arial"/>
          <w:sz w:val="22"/>
          <w:szCs w:val="22"/>
        </w:rPr>
        <w:t xml:space="preserve">Agreed priority hazards (tropical cyclones, riverine flooding, urban flooding), pilot geographies, and minimum viable sector lenses.</w:t>
      </w:r>
    </w:p>
    <w:p>
      <w:pPr>
        <w:pStyle w:val="ListParagraph"/>
        <w:numPr>
          <w:ilvl w:val="0"/>
          <w:numId w:val="2"/>
        </w:numPr>
        <w:spacing w:after="80" w:line="276"/>
      </w:pPr>
      <w:r>
        <w:rPr>
          <w:rFonts w:ascii="Arial" w:cs="Arial" w:eastAsia="Arial" w:hAnsi="Arial"/>
          <w:sz w:val="22"/>
          <w:szCs w:val="22"/>
        </w:rPr>
        <w:t xml:space="preserve">Detailed product requirements document (PRD) based on this concept note, refined through co-design.</w:t>
      </w:r>
    </w:p>
    <w:p>
      <w:pPr>
        <w:pStyle w:val="ListParagraph"/>
        <w:numPr>
          <w:ilvl w:val="0"/>
          <w:numId w:val="2"/>
        </w:numPr>
        <w:spacing w:after="80" w:line="276"/>
      </w:pPr>
      <w:r>
        <w:rPr>
          <w:rFonts w:ascii="Arial" w:cs="Arial" w:eastAsia="Arial" w:hAnsi="Arial"/>
          <w:sz w:val="22"/>
          <w:szCs w:val="22"/>
        </w:rPr>
        <w:t xml:space="preserve">Data audit and availability assessment for pilot geographies.</w:t>
      </w:r>
    </w:p>
    <w:p>
      <w:pPr>
        <w:pStyle w:val="ListParagraph"/>
        <w:numPr>
          <w:ilvl w:val="0"/>
          <w:numId w:val="2"/>
        </w:numPr>
        <w:spacing w:after="80" w:line="276"/>
      </w:pPr>
      <w:r>
        <w:rPr>
          <w:rFonts w:ascii="Arial" w:cs="Arial" w:eastAsia="Arial" w:hAnsi="Arial"/>
          <w:sz w:val="22"/>
          <w:szCs w:val="22"/>
        </w:rPr>
        <w:t xml:space="preserve">Governance framework draft including data-sharing agreements, roles and responsibilities, and decision-making structure.</w:t>
      </w:r>
    </w:p>
    <w:p>
      <w:pPr>
        <w:pStyle w:val="ListParagraph"/>
        <w:numPr>
          <w:ilvl w:val="0"/>
          <w:numId w:val="2"/>
        </w:numPr>
        <w:spacing w:after="80" w:line="276"/>
      </w:pPr>
      <w:r>
        <w:rPr>
          <w:rFonts w:ascii="Arial" w:cs="Arial" w:eastAsia="Arial" w:hAnsi="Arial"/>
          <w:sz w:val="22"/>
          <w:szCs w:val="22"/>
        </w:rPr>
        <w:t xml:space="preserve">Technical architecture specification and hosting decision.</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SADC DRR Unit / SHOC: Host or co-host workshops; provide institutional requirements; confirm SHOC integration priorities.</w:t>
      </w:r>
    </w:p>
    <w:p>
      <w:pPr>
        <w:pStyle w:val="ListParagraph"/>
        <w:numPr>
          <w:ilvl w:val="0"/>
          <w:numId w:val="2"/>
        </w:numPr>
        <w:spacing w:after="80" w:line="276"/>
      </w:pPr>
      <w:r>
        <w:rPr>
          <w:rFonts w:ascii="Arial" w:cs="Arial" w:eastAsia="Arial" w:hAnsi="Arial"/>
          <w:sz w:val="22"/>
          <w:szCs w:val="22"/>
        </w:rPr>
        <w:t xml:space="preserve">GIZ / RIA: Provide programme framework and co-financing for co-design activities; connect to GIDRM insights.</w:t>
      </w:r>
    </w:p>
    <w:p>
      <w:pPr>
        <w:pStyle w:val="ListParagraph"/>
        <w:numPr>
          <w:ilvl w:val="0"/>
          <w:numId w:val="2"/>
        </w:numPr>
        <w:spacing w:after="80" w:line="276"/>
      </w:pPr>
      <w:r>
        <w:rPr>
          <w:rFonts w:ascii="Arial" w:cs="Arial" w:eastAsia="Arial" w:hAnsi="Arial"/>
          <w:sz w:val="22"/>
          <w:szCs w:val="22"/>
        </w:rPr>
        <w:t xml:space="preserve">UNDP, WFP, IFRC: Contribute user requirements from their operational perspectives; confirm anticipatory action use cases.</w:t>
      </w:r>
    </w:p>
    <w:p>
      <w:pPr>
        <w:pStyle w:val="ListParagraph"/>
        <w:numPr>
          <w:ilvl w:val="0"/>
          <w:numId w:val="2"/>
        </w:numPr>
        <w:spacing w:after="80" w:line="276"/>
      </w:pPr>
      <w:r>
        <w:rPr>
          <w:rFonts w:ascii="Arial" w:cs="Arial" w:eastAsia="Arial" w:hAnsi="Arial"/>
          <w:sz w:val="22"/>
          <w:szCs w:val="22"/>
        </w:rPr>
        <w:t xml:space="preserve">CIMA Foundation, MapAction: Provide technical input on modelling requirements and cartographic standards.</w:t>
      </w:r>
    </w:p>
    <w:p>
      <w:pPr>
        <w:pStyle w:val="ListParagraph"/>
        <w:numPr>
          <w:ilvl w:val="0"/>
          <w:numId w:val="2"/>
        </w:numPr>
        <w:spacing w:after="80" w:line="276"/>
      </w:pPr>
      <w:r>
        <w:rPr>
          <w:rFonts w:ascii="Arial" w:cs="Arial" w:eastAsia="Arial" w:hAnsi="Arial"/>
          <w:sz w:val="22"/>
          <w:szCs w:val="22"/>
        </w:rPr>
        <w:t xml:space="preserve">AUC: Advise on continental alignment and AMHEWAS integration requirements.</w:t>
      </w:r>
    </w:p>
    <w:p>
      <w:pPr>
        <w:pStyle w:val="ListParagraph"/>
        <w:numPr>
          <w:ilvl w:val="0"/>
          <w:numId w:val="2"/>
        </w:numPr>
        <w:spacing w:after="80" w:line="276"/>
      </w:pPr>
      <w:r>
        <w:rPr>
          <w:rFonts w:ascii="Arial" w:cs="Arial" w:eastAsia="Arial" w:hAnsi="Arial"/>
          <w:sz w:val="22"/>
          <w:szCs w:val="22"/>
        </w:rPr>
        <w:t xml:space="preserve">Google, Kobo: Confirm technical integration feasibility and resource commitments.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Risk: Stakeholder overload and difficulty scheduling workshops across many partners. Mitigation: phased engagement with a small core design team and broader consultation rounds.</w:t>
      </w:r>
    </w:p>
    <w:p>
      <w:pPr>
        <w:pStyle w:val="ListParagraph"/>
        <w:numPr>
          <w:ilvl w:val="0"/>
          <w:numId w:val="2"/>
        </w:numPr>
        <w:spacing w:after="80" w:line="276"/>
      </w:pPr>
      <w:r>
        <w:rPr>
          <w:rFonts w:ascii="Arial" w:cs="Arial" w:eastAsia="Arial" w:hAnsi="Arial"/>
          <w:sz w:val="22"/>
          <w:szCs w:val="22"/>
        </w:rPr>
        <w:t xml:space="preserve">Risk: Scope creep during co-design. Mitigation: strict adherence to minimum viable product principles; explicit parking lot for Phase 2 features.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Introductory SIRS concept briefings for all partner organisations.</w:t>
      </w:r>
    </w:p>
    <w:p>
      <w:pPr>
        <w:pStyle w:val="ListParagraph"/>
        <w:numPr>
          <w:ilvl w:val="0"/>
          <w:numId w:val="2"/>
        </w:numPr>
        <w:spacing w:after="80" w:line="276"/>
      </w:pPr>
      <w:r>
        <w:rPr>
          <w:rFonts w:ascii="Arial" w:cs="Arial" w:eastAsia="Arial" w:hAnsi="Arial"/>
          <w:sz w:val="22"/>
          <w:szCs w:val="22"/>
        </w:rPr>
        <w:t xml:space="preserve">INFORM Subnational Risk Model refresher training for analysts who will use SIRS.</w:t>
      </w:r>
    </w:p>
    <w:p>
      <w:pPr>
        <w:pStyle w:val="Heading2"/>
        <w:spacing w:before="280" w:after="160"/>
      </w:pPr>
      <w:r>
        <w:rPr>
          <w:rFonts w:ascii="Arial" w:cs="Arial" w:eastAsia="Arial" w:hAnsi="Arial"/>
          <w:b/>
          <w:bCs/>
          <w:color w:val="2E86C1"/>
          <w:sz w:val="26"/>
          <w:szCs w:val="26"/>
        </w:rPr>
        <w:t xml:space="preserve">6.2 Phase 1 — Prototype and Pilot (Months 5–12)</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Functional SIRS prototype with Risk Integration Engine, Impact Scenario Builder, and basic Collaboration Workspace.</w:t>
      </w:r>
    </w:p>
    <w:p>
      <w:pPr>
        <w:pStyle w:val="ListParagraph"/>
        <w:numPr>
          <w:ilvl w:val="0"/>
          <w:numId w:val="2"/>
        </w:numPr>
        <w:spacing w:after="80" w:line="276"/>
      </w:pPr>
      <w:r>
        <w:rPr>
          <w:rFonts w:ascii="Arial" w:cs="Arial" w:eastAsia="Arial" w:hAnsi="Arial"/>
          <w:sz w:val="22"/>
          <w:szCs w:val="22"/>
        </w:rPr>
        <w:t xml:space="preserve">One pilot geography for cyclone risk (e.g., Nacala corridor and Sofala province, Mozambique) and one for riverine flood risk (e.g., Lower Shire valley, Malawi).</w:t>
      </w:r>
    </w:p>
    <w:p>
      <w:pPr>
        <w:pStyle w:val="ListParagraph"/>
        <w:numPr>
          <w:ilvl w:val="0"/>
          <w:numId w:val="2"/>
        </w:numPr>
        <w:spacing w:after="80" w:line="276"/>
      </w:pPr>
      <w:r>
        <w:rPr>
          <w:rFonts w:ascii="Arial" w:cs="Arial" w:eastAsia="Arial" w:hAnsi="Arial"/>
          <w:sz w:val="22"/>
          <w:szCs w:val="22"/>
        </w:rPr>
        <w:t xml:space="preserve">One urban pilot (e.g., Beira or Dar es Salaam) demonstrating urban flood risk surface capabilities.</w:t>
      </w:r>
    </w:p>
    <w:p>
      <w:pPr>
        <w:pStyle w:val="ListParagraph"/>
        <w:numPr>
          <w:ilvl w:val="0"/>
          <w:numId w:val="2"/>
        </w:numPr>
        <w:spacing w:after="80" w:line="276"/>
      </w:pPr>
      <w:r>
        <w:rPr>
          <w:rFonts w:ascii="Arial" w:cs="Arial" w:eastAsia="Arial" w:hAnsi="Arial"/>
          <w:sz w:val="22"/>
          <w:szCs w:val="22"/>
        </w:rPr>
        <w:t xml:space="preserve">Health/WASH sector lens implemented for at least one pilot geography.</w:t>
      </w:r>
    </w:p>
    <w:p>
      <w:pPr>
        <w:pStyle w:val="ListParagraph"/>
        <w:numPr>
          <w:ilvl w:val="0"/>
          <w:numId w:val="2"/>
        </w:numPr>
        <w:spacing w:after="80" w:line="276"/>
      </w:pPr>
      <w:r>
        <w:rPr>
          <w:rFonts w:ascii="Arial" w:cs="Arial" w:eastAsia="Arial" w:hAnsi="Arial"/>
          <w:sz w:val="22"/>
          <w:szCs w:val="22"/>
        </w:rPr>
        <w:t xml:space="preserve">Kobo integration demonstrated with at least one standard assessment form deployed and data feeding back into SIRS.</w:t>
      </w:r>
    </w:p>
    <w:p>
      <w:pPr>
        <w:pStyle w:val="ListParagraph"/>
        <w:numPr>
          <w:ilvl w:val="0"/>
          <w:numId w:val="2"/>
        </w:numPr>
        <w:spacing w:after="80" w:line="276"/>
      </w:pPr>
      <w:r>
        <w:rPr>
          <w:rFonts w:ascii="Arial" w:cs="Arial" w:eastAsia="Arial" w:hAnsi="Arial"/>
          <w:sz w:val="22"/>
          <w:szCs w:val="22"/>
        </w:rPr>
        <w:t xml:space="preserve">At least one real-time or simulated cyclone/flood exercise conducted through SHOC, testing end-to-end workflow from forecast ingestion to regional advisory production.</w:t>
      </w:r>
    </w:p>
    <w:p>
      <w:pPr>
        <w:pStyle w:val="ListParagraph"/>
        <w:numPr>
          <w:ilvl w:val="0"/>
          <w:numId w:val="2"/>
        </w:numPr>
        <w:spacing w:after="80" w:line="276"/>
      </w:pPr>
      <w:r>
        <w:rPr>
          <w:rFonts w:ascii="Arial" w:cs="Arial" w:eastAsia="Arial" w:hAnsi="Arial"/>
          <w:sz w:val="22"/>
          <w:szCs w:val="22"/>
        </w:rPr>
        <w:t xml:space="preserve">Early Action Trigger Layer configured for at least 2 partner organisations (e.g., WFP and IFRC) in one pilot country.</w:t>
      </w:r>
    </w:p>
    <w:p>
      <w:pPr>
        <w:pStyle w:val="ListParagraph"/>
        <w:numPr>
          <w:ilvl w:val="0"/>
          <w:numId w:val="2"/>
        </w:numPr>
        <w:spacing w:after="80" w:line="276"/>
      </w:pPr>
      <w:r>
        <w:rPr>
          <w:rFonts w:ascii="Arial" w:cs="Arial" w:eastAsia="Arial" w:hAnsi="Arial"/>
          <w:sz w:val="22"/>
          <w:szCs w:val="22"/>
        </w:rPr>
        <w:t xml:space="preserve">User feedback collected and prioritised for Phase 2 development.</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Specialised technical integrator (see Section 9): leads development of prototype.</w:t>
      </w:r>
    </w:p>
    <w:p>
      <w:pPr>
        <w:pStyle w:val="ListParagraph"/>
        <w:numPr>
          <w:ilvl w:val="0"/>
          <w:numId w:val="2"/>
        </w:numPr>
        <w:spacing w:after="80" w:line="276"/>
      </w:pPr>
      <w:r>
        <w:rPr>
          <w:rFonts w:ascii="Arial" w:cs="Arial" w:eastAsia="Arial" w:hAnsi="Arial"/>
          <w:sz w:val="22"/>
          <w:szCs w:val="22"/>
        </w:rPr>
        <w:t xml:space="preserve">SADC / SHOC: Provides operational environment for testing; duty officers participate in simulation exercises.</w:t>
      </w:r>
    </w:p>
    <w:p>
      <w:pPr>
        <w:pStyle w:val="ListParagraph"/>
        <w:numPr>
          <w:ilvl w:val="0"/>
          <w:numId w:val="2"/>
        </w:numPr>
        <w:spacing w:after="80" w:line="276"/>
      </w:pPr>
      <w:r>
        <w:rPr>
          <w:rFonts w:ascii="Arial" w:cs="Arial" w:eastAsia="Arial" w:hAnsi="Arial"/>
          <w:sz w:val="22"/>
          <w:szCs w:val="22"/>
        </w:rPr>
        <w:t xml:space="preserve">GIZ / RIA: Programme management and financing; facilitates access to pilot country stakeholders.</w:t>
      </w:r>
    </w:p>
    <w:p>
      <w:pPr>
        <w:pStyle w:val="ListParagraph"/>
        <w:numPr>
          <w:ilvl w:val="0"/>
          <w:numId w:val="2"/>
        </w:numPr>
        <w:spacing w:after="80" w:line="276"/>
      </w:pPr>
      <w:r>
        <w:rPr>
          <w:rFonts w:ascii="Arial" w:cs="Arial" w:eastAsia="Arial" w:hAnsi="Arial"/>
          <w:sz w:val="22"/>
          <w:szCs w:val="22"/>
        </w:rPr>
        <w:t xml:space="preserve">CIMA Foundation: Provides flood model outputs for pilot river basins; supports scenario engine calibration.</w:t>
      </w:r>
    </w:p>
    <w:p>
      <w:pPr>
        <w:pStyle w:val="ListParagraph"/>
        <w:numPr>
          <w:ilvl w:val="0"/>
          <w:numId w:val="2"/>
        </w:numPr>
        <w:spacing w:after="80" w:line="276"/>
      </w:pPr>
      <w:r>
        <w:rPr>
          <w:rFonts w:ascii="Arial" w:cs="Arial" w:eastAsia="Arial" w:hAnsi="Arial"/>
          <w:sz w:val="22"/>
          <w:szCs w:val="22"/>
        </w:rPr>
        <w:t xml:space="preserve">WFP / IFRC: Configure anticipatory action triggers; participate in simulation exercises; provide ground-truth feedback.</w:t>
      </w:r>
    </w:p>
    <w:p>
      <w:pPr>
        <w:pStyle w:val="ListParagraph"/>
        <w:numPr>
          <w:ilvl w:val="0"/>
          <w:numId w:val="2"/>
        </w:numPr>
        <w:spacing w:after="80" w:line="276"/>
      </w:pPr>
      <w:r>
        <w:rPr>
          <w:rFonts w:ascii="Arial" w:cs="Arial" w:eastAsia="Arial" w:hAnsi="Arial"/>
          <w:sz w:val="22"/>
          <w:szCs w:val="22"/>
        </w:rPr>
        <w:t xml:space="preserve">MapAction: Contributes map templates; participates in at least one simulation exercise.</w:t>
      </w:r>
    </w:p>
    <w:p>
      <w:pPr>
        <w:pStyle w:val="ListParagraph"/>
        <w:numPr>
          <w:ilvl w:val="0"/>
          <w:numId w:val="2"/>
        </w:numPr>
        <w:spacing w:after="80" w:line="276"/>
      </w:pPr>
      <w:r>
        <w:rPr>
          <w:rFonts w:ascii="Arial" w:cs="Arial" w:eastAsia="Arial" w:hAnsi="Arial"/>
          <w:sz w:val="22"/>
          <w:szCs w:val="22"/>
        </w:rPr>
        <w:t xml:space="preserve">Google: Provides Earth Engine data access and cloud compute resources for scenario processing.</w:t>
      </w:r>
    </w:p>
    <w:p>
      <w:pPr>
        <w:pStyle w:val="ListParagraph"/>
        <w:numPr>
          <w:ilvl w:val="0"/>
          <w:numId w:val="2"/>
        </w:numPr>
        <w:spacing w:after="80" w:line="276"/>
      </w:pPr>
      <w:r>
        <w:rPr>
          <w:rFonts w:ascii="Arial" w:cs="Arial" w:eastAsia="Arial" w:hAnsi="Arial"/>
          <w:sz w:val="22"/>
          <w:szCs w:val="22"/>
        </w:rPr>
        <w:t xml:space="preserve">Kobo: Supports form design and API integration.</w:t>
      </w:r>
    </w:p>
    <w:p>
      <w:pPr>
        <w:pStyle w:val="ListParagraph"/>
        <w:numPr>
          <w:ilvl w:val="0"/>
          <w:numId w:val="2"/>
        </w:numPr>
        <w:spacing w:after="80" w:line="276"/>
      </w:pPr>
      <w:r>
        <w:rPr>
          <w:rFonts w:ascii="Arial" w:cs="Arial" w:eastAsia="Arial" w:hAnsi="Arial"/>
          <w:sz w:val="22"/>
          <w:szCs w:val="22"/>
        </w:rPr>
        <w:t xml:space="preserve">NDMAs (pilot countries): Provide subnational data; participate in testing; provide operational feedback.</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Risk: Data availability gaps in pilot geographies. Mitigation: data audit conducted in Phase 0; fallback to global proxy datasets (WorldPop, OSM infrastructure) where national data is unavailable.</w:t>
      </w:r>
    </w:p>
    <w:p>
      <w:pPr>
        <w:pStyle w:val="ListParagraph"/>
        <w:numPr>
          <w:ilvl w:val="0"/>
          <w:numId w:val="2"/>
        </w:numPr>
        <w:spacing w:after="80" w:line="276"/>
      </w:pPr>
      <w:r>
        <w:rPr>
          <w:rFonts w:ascii="Arial" w:cs="Arial" w:eastAsia="Arial" w:hAnsi="Arial"/>
          <w:sz w:val="22"/>
          <w:szCs w:val="22"/>
        </w:rPr>
        <w:t xml:space="preserve">Risk: No suitable real event occurs during pilot period for live testing. Mitigation: design comprehensive simulation exercise based on historical Cyclone Idai or Freddy parameters.</w:t>
      </w:r>
    </w:p>
    <w:p>
      <w:pPr>
        <w:pStyle w:val="ListParagraph"/>
        <w:numPr>
          <w:ilvl w:val="0"/>
          <w:numId w:val="2"/>
        </w:numPr>
        <w:spacing w:after="80" w:line="276"/>
      </w:pPr>
      <w:r>
        <w:rPr>
          <w:rFonts w:ascii="Arial" w:cs="Arial" w:eastAsia="Arial" w:hAnsi="Arial"/>
          <w:sz w:val="22"/>
          <w:szCs w:val="22"/>
        </w:rPr>
        <w:t xml:space="preserve">Risk: Technical integration challenges with partner systems. Mitigation: early technical spikes in Phase 0; flexible architecture that can work with manual data exchange as fallback.</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Hands-on SIRS analyst training for SHOC duty officers and DRR Unit staff (3–5 day workshop).</w:t>
      </w:r>
    </w:p>
    <w:p>
      <w:pPr>
        <w:pStyle w:val="ListParagraph"/>
        <w:numPr>
          <w:ilvl w:val="0"/>
          <w:numId w:val="2"/>
        </w:numPr>
        <w:spacing w:after="80" w:line="276"/>
      </w:pPr>
      <w:r>
        <w:rPr>
          <w:rFonts w:ascii="Arial" w:cs="Arial" w:eastAsia="Arial" w:hAnsi="Arial"/>
          <w:sz w:val="22"/>
          <w:szCs w:val="22"/>
        </w:rPr>
        <w:t xml:space="preserve">NDMA orientation sessions in pilot countries.</w:t>
      </w:r>
    </w:p>
    <w:p>
      <w:pPr>
        <w:pStyle w:val="ListParagraph"/>
        <w:numPr>
          <w:ilvl w:val="0"/>
          <w:numId w:val="2"/>
        </w:numPr>
        <w:spacing w:after="80" w:line="276"/>
      </w:pPr>
      <w:r>
        <w:rPr>
          <w:rFonts w:ascii="Arial" w:cs="Arial" w:eastAsia="Arial" w:hAnsi="Arial"/>
          <w:sz w:val="22"/>
          <w:szCs w:val="22"/>
        </w:rPr>
        <w:t xml:space="preserve">Kobo form management training for IFRC and National Society assessment teams.</w:t>
      </w:r>
    </w:p>
    <w:p>
      <w:pPr>
        <w:pStyle w:val="ListParagraph"/>
        <w:numPr>
          <w:ilvl w:val="0"/>
          <w:numId w:val="2"/>
        </w:numPr>
        <w:spacing w:after="80" w:line="276"/>
      </w:pPr>
      <w:r>
        <w:rPr>
          <w:rFonts w:ascii="Arial" w:cs="Arial" w:eastAsia="Arial" w:hAnsi="Arial"/>
          <w:sz w:val="22"/>
          <w:szCs w:val="22"/>
        </w:rPr>
        <w:t xml:space="preserve">Trigger design workshop for WFP and IFRC anticipatory action focal points.</w:t>
      </w:r>
    </w:p>
    <w:p>
      <w:pPr>
        <w:pStyle w:val="Heading2"/>
        <w:spacing w:before="280" w:after="160"/>
      </w:pPr>
      <w:r>
        <w:rPr>
          <w:rFonts w:ascii="Arial" w:cs="Arial" w:eastAsia="Arial" w:hAnsi="Arial"/>
          <w:b/>
          <w:bCs/>
          <w:color w:val="2E86C1"/>
          <w:sz w:val="26"/>
          <w:szCs w:val="26"/>
        </w:rPr>
        <w:t xml:space="preserve">6.3 Phase 2 — Regional Scaling (Months 13–24)</w:t>
      </w:r>
    </w:p>
    <w:p>
      <w:pPr>
        <w:spacing w:after="160" w:line="276"/>
        <w:jc w:val="left"/>
      </w:pPr>
      <w:r>
        <w:rPr>
          <w:rFonts w:ascii="Arial" w:cs="Arial" w:eastAsia="Arial" w:hAnsi="Arial"/>
          <w:b/>
          <w:bCs/>
          <w:sz w:val="22"/>
          <w:szCs w:val="22"/>
        </w:rPr>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SIRS extended to 4–6 additional Member States beyond pilot countries.</w:t>
      </w:r>
    </w:p>
    <w:p>
      <w:pPr>
        <w:pStyle w:val="ListParagraph"/>
        <w:numPr>
          <w:ilvl w:val="0"/>
          <w:numId w:val="2"/>
        </w:numPr>
        <w:spacing w:after="80" w:line="276"/>
      </w:pPr>
      <w:r>
        <w:rPr>
          <w:rFonts w:ascii="Arial" w:cs="Arial" w:eastAsia="Arial" w:hAnsi="Arial"/>
          <w:sz w:val="22"/>
          <w:szCs w:val="22"/>
        </w:rPr>
        <w:t xml:space="preserve">Additional sector lenses (Food Security/Livelihoods, Logistics/Infrastructure) implemented.</w:t>
      </w:r>
    </w:p>
    <w:p>
      <w:pPr>
        <w:pStyle w:val="ListParagraph"/>
        <w:numPr>
          <w:ilvl w:val="0"/>
          <w:numId w:val="2"/>
        </w:numPr>
        <w:spacing w:after="80" w:line="276"/>
      </w:pPr>
      <w:r>
        <w:rPr>
          <w:rFonts w:ascii="Arial" w:cs="Arial" w:eastAsia="Arial" w:hAnsi="Arial"/>
          <w:sz w:val="22"/>
          <w:szCs w:val="22"/>
        </w:rPr>
        <w:t xml:space="preserve">Early Action Trigger Layer operational for at least 3 countries with multiple partner triggers configured.</w:t>
      </w:r>
    </w:p>
    <w:p>
      <w:pPr>
        <w:pStyle w:val="ListParagraph"/>
        <w:numPr>
          <w:ilvl w:val="0"/>
          <w:numId w:val="2"/>
        </w:numPr>
        <w:spacing w:after="80" w:line="276"/>
      </w:pPr>
      <w:r>
        <w:rPr>
          <w:rFonts w:ascii="Arial" w:cs="Arial" w:eastAsia="Arial" w:hAnsi="Arial"/>
          <w:sz w:val="22"/>
          <w:szCs w:val="22"/>
        </w:rPr>
        <w:t xml:space="preserve">Full Collaboration and Governance Workspace with role-based access, product publishing, and export capabilities.</w:t>
      </w:r>
    </w:p>
    <w:p>
      <w:pPr>
        <w:pStyle w:val="ListParagraph"/>
        <w:numPr>
          <w:ilvl w:val="0"/>
          <w:numId w:val="2"/>
        </w:numPr>
        <w:spacing w:after="80" w:line="276"/>
      </w:pPr>
      <w:r>
        <w:rPr>
          <w:rFonts w:ascii="Arial" w:cs="Arial" w:eastAsia="Arial" w:hAnsi="Arial"/>
          <w:sz w:val="22"/>
          <w:szCs w:val="22"/>
        </w:rPr>
        <w:t xml:space="preserve">SIRS formally integrated into SHOC standard operating procedures for regional monitoring and advisory production.</w:t>
      </w:r>
    </w:p>
    <w:p>
      <w:pPr>
        <w:pStyle w:val="ListParagraph"/>
        <w:numPr>
          <w:ilvl w:val="0"/>
          <w:numId w:val="2"/>
        </w:numPr>
        <w:spacing w:after="80" w:line="276"/>
      </w:pPr>
      <w:r>
        <w:rPr>
          <w:rFonts w:ascii="Arial" w:cs="Arial" w:eastAsia="Arial" w:hAnsi="Arial"/>
          <w:sz w:val="22"/>
          <w:szCs w:val="22"/>
        </w:rPr>
        <w:t xml:space="preserve">Interoperability APIs operational and documented, with at least 3 partner systems consuming SIRS data feeds.</w:t>
      </w:r>
    </w:p>
    <w:p>
      <w:pPr>
        <w:pStyle w:val="ListParagraph"/>
        <w:numPr>
          <w:ilvl w:val="0"/>
          <w:numId w:val="2"/>
        </w:numPr>
        <w:spacing w:after="80" w:line="276"/>
      </w:pPr>
      <w:r>
        <w:rPr>
          <w:rFonts w:ascii="Arial" w:cs="Arial" w:eastAsia="Arial" w:hAnsi="Arial"/>
          <w:sz w:val="22"/>
          <w:szCs w:val="22"/>
        </w:rPr>
        <w:t xml:space="preserve">Governance framework formalised including data-sharing agreements with Member States, maintenance responsibilities, and decision-making authority.</w:t>
      </w:r>
    </w:p>
    <w:p>
      <w:pPr>
        <w:pStyle w:val="ListParagraph"/>
        <w:numPr>
          <w:ilvl w:val="0"/>
          <w:numId w:val="2"/>
        </w:numPr>
        <w:spacing w:after="80" w:line="276"/>
      </w:pPr>
      <w:r>
        <w:rPr>
          <w:rFonts w:ascii="Arial" w:cs="Arial" w:eastAsia="Arial" w:hAnsi="Arial"/>
          <w:sz w:val="22"/>
          <w:szCs w:val="22"/>
        </w:rPr>
        <w:t xml:space="preserve">Sustainability and financing model agreed for post-project operations.</w:t>
      </w:r>
    </w:p>
    <w:p>
      <w:pPr>
        <w:pStyle w:val="ListParagraph"/>
        <w:numPr>
          <w:ilvl w:val="0"/>
          <w:numId w:val="2"/>
        </w:numPr>
        <w:spacing w:after="80" w:line="276"/>
      </w:pPr>
      <w:r>
        <w:rPr>
          <w:rFonts w:ascii="Arial" w:cs="Arial" w:eastAsia="Arial" w:hAnsi="Arial"/>
          <w:sz w:val="22"/>
          <w:szCs w:val="22"/>
        </w:rPr>
        <w:t xml:space="preserve">Capacity building programme completed for SADC, SHOC, and at least 4 NDMAs.</w:t>
      </w:r>
    </w:p>
    <w:p>
      <w:pPr>
        <w:pStyle w:val="ListParagraph"/>
        <w:numPr>
          <w:ilvl w:val="0"/>
          <w:numId w:val="2"/>
        </w:numPr>
        <w:spacing w:after="80" w:line="276"/>
      </w:pPr>
      <w:r>
        <w:rPr>
          <w:rFonts w:ascii="Arial" w:cs="Arial" w:eastAsia="Arial" w:hAnsi="Arial"/>
          <w:sz w:val="22"/>
          <w:szCs w:val="22"/>
        </w:rPr>
        <w:t xml:space="preserve">Comprehensive lessons-learned report and recommendations for next-generation development.</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SADC DRR Unit / SHOC: Assumes primary operational ownership; integrates SIRS into SOPs; leads governance.</w:t>
      </w:r>
    </w:p>
    <w:p>
      <w:pPr>
        <w:pStyle w:val="ListParagraph"/>
        <w:numPr>
          <w:ilvl w:val="0"/>
          <w:numId w:val="2"/>
        </w:numPr>
        <w:spacing w:after="80" w:line="276"/>
      </w:pPr>
      <w:r>
        <w:rPr>
          <w:rFonts w:ascii="Arial" w:cs="Arial" w:eastAsia="Arial" w:hAnsi="Arial"/>
          <w:sz w:val="22"/>
          <w:szCs w:val="22"/>
        </w:rPr>
        <w:t xml:space="preserve">GIZ / RIA: Supports sustainability planning; considers next-phase financing; connects SIRS to broader RIA results framework.</w:t>
      </w:r>
    </w:p>
    <w:p>
      <w:pPr>
        <w:pStyle w:val="ListParagraph"/>
        <w:numPr>
          <w:ilvl w:val="0"/>
          <w:numId w:val="2"/>
        </w:numPr>
        <w:spacing w:after="80" w:line="276"/>
      </w:pPr>
      <w:r>
        <w:rPr>
          <w:rFonts w:ascii="Arial" w:cs="Arial" w:eastAsia="Arial" w:hAnsi="Arial"/>
          <w:sz w:val="22"/>
          <w:szCs w:val="22"/>
        </w:rPr>
        <w:t xml:space="preserve">UNDP, WFP, IFRC: Full operational use in expanding country programmes; contribute to sustainability model.</w:t>
      </w:r>
    </w:p>
    <w:p>
      <w:pPr>
        <w:pStyle w:val="ListParagraph"/>
        <w:numPr>
          <w:ilvl w:val="0"/>
          <w:numId w:val="2"/>
        </w:numPr>
        <w:spacing w:after="80" w:line="276"/>
      </w:pPr>
      <w:r>
        <w:rPr>
          <w:rFonts w:ascii="Arial" w:cs="Arial" w:eastAsia="Arial" w:hAnsi="Arial"/>
          <w:sz w:val="22"/>
          <w:szCs w:val="22"/>
        </w:rPr>
        <w:t xml:space="preserve">AUC: Validates continental alignment; promotes SIRS model to other Regional Economic Communities.</w:t>
      </w:r>
    </w:p>
    <w:p>
      <w:pPr>
        <w:pStyle w:val="ListParagraph"/>
        <w:numPr>
          <w:ilvl w:val="0"/>
          <w:numId w:val="2"/>
        </w:numPr>
        <w:spacing w:after="80" w:line="276"/>
      </w:pPr>
      <w:r>
        <w:rPr>
          <w:rFonts w:ascii="Arial" w:cs="Arial" w:eastAsia="Arial" w:hAnsi="Arial"/>
          <w:sz w:val="22"/>
          <w:szCs w:val="22"/>
        </w:rPr>
        <w:t xml:space="preserve">All technical partners (CIMA, MapAction, Google, Kobo): Transition from build to maintain/support mode with clear service-level expectations.</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Risk: Institutional ownership uncertain after project funding ends. Mitigation: early and explicit governance discussions; SADC budget line advocacy; in-kind commitment agreements from partners.</w:t>
      </w:r>
    </w:p>
    <w:p>
      <w:pPr>
        <w:pStyle w:val="ListParagraph"/>
        <w:numPr>
          <w:ilvl w:val="0"/>
          <w:numId w:val="2"/>
        </w:numPr>
        <w:spacing w:after="80" w:line="276"/>
      </w:pPr>
      <w:r>
        <w:rPr>
          <w:rFonts w:ascii="Arial" w:cs="Arial" w:eastAsia="Arial" w:hAnsi="Arial"/>
          <w:sz w:val="22"/>
          <w:szCs w:val="22"/>
        </w:rPr>
        <w:t xml:space="preserve">Risk: Data quality deterioration as system scales. Mitigation: automated data quality monitoring; Kobo feedback loop for continuous ground-truthing; designated data stewards in each Member State.</w:t>
      </w:r>
    </w:p>
    <w:p>
      <w:pPr>
        <w:spacing w:after="160" w:line="276"/>
        <w:jc w:val="left"/>
      </w:pPr>
      <w:r>
        <w:rPr>
          <w:rFonts w:ascii="Arial" w:cs="Arial" w:eastAsia="Arial" w:hAnsi="Arial"/>
          <w:b/>
          <w:bCs/>
          <w:sz w:val="22"/>
          <w:szCs w:val="22"/>
        </w:rPr>
      </w:r>
    </w:p>
    <w:p>
      <w:pPr>
        <w:pStyle w:val="ListParagraph"/>
        <w:numPr>
          <w:ilvl w:val="0"/>
          <w:numId w:val="2"/>
        </w:numPr>
        <w:spacing w:after="80" w:line="276"/>
      </w:pPr>
      <w:r>
        <w:rPr>
          <w:rFonts w:ascii="Arial" w:cs="Arial" w:eastAsia="Arial" w:hAnsi="Arial"/>
          <w:sz w:val="22"/>
          <w:szCs w:val="22"/>
        </w:rPr>
        <w:t xml:space="preserve">Train-the-trainer programme for SADC and NDMA analysts to ensure self-sustaining capacity.</w:t>
      </w:r>
    </w:p>
    <w:p>
      <w:pPr>
        <w:pStyle w:val="ListParagraph"/>
        <w:numPr>
          <w:ilvl w:val="0"/>
          <w:numId w:val="2"/>
        </w:numPr>
        <w:spacing w:after="80" w:line="276"/>
      </w:pPr>
      <w:r>
        <w:rPr>
          <w:rFonts w:ascii="Arial" w:cs="Arial" w:eastAsia="Arial" w:hAnsi="Arial"/>
          <w:sz w:val="22"/>
          <w:szCs w:val="22"/>
        </w:rPr>
        <w:t xml:space="preserve">Advanced scenario modelling and trigger design courses.</w:t>
      </w:r>
    </w:p>
    <w:p>
      <w:pPr>
        <w:pStyle w:val="ListParagraph"/>
        <w:numPr>
          <w:ilvl w:val="0"/>
          <w:numId w:val="2"/>
        </w:numPr>
        <w:spacing w:after="80" w:line="276"/>
      </w:pPr>
      <w:r>
        <w:rPr>
          <w:rFonts w:ascii="Arial" w:cs="Arial" w:eastAsia="Arial" w:hAnsi="Arial"/>
          <w:sz w:val="22"/>
          <w:szCs w:val="22"/>
        </w:rPr>
        <w:t xml:space="preserve">System administration training for SADC IT staff to manage SIRS hosting and maintenance.</w:t>
      </w:r>
    </w:p>
    <w:p>
      <w:pPr>
        <w:pStyle w:val="Heading1"/>
        <w:spacing w:before="360" w:after="200"/>
      </w:pPr>
      <w:r>
        <w:rPr>
          <w:rFonts w:ascii="Arial" w:cs="Arial" w:eastAsia="Arial" w:hAnsi="Arial"/>
          <w:b/>
          <w:bCs/>
          <w:color w:val="1B4F72"/>
          <w:sz w:val="32"/>
          <w:szCs w:val="32"/>
        </w:rPr>
        <w:t xml:space="preserve">7. Funding and Sustainability Model</w:t>
      </w:r>
    </w:p>
    <w:p>
      <w:pPr>
        <w:pStyle w:val="Heading2"/>
        <w:spacing w:before="280" w:after="160"/>
      </w:pPr>
      <w:r>
        <w:rPr>
          <w:rFonts w:ascii="Arial" w:cs="Arial" w:eastAsia="Arial" w:hAnsi="Arial"/>
          <w:b/>
          <w:bCs/>
          <w:color w:val="2E86C1"/>
          <w:sz w:val="26"/>
          <w:szCs w:val="26"/>
        </w:rPr>
        <w:t xml:space="preserve">7.1 Pathway A — Programme-Based Funding for Development and Pilots</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7.2 Pathway B — Embedded Institutional Support for Operations</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7.3 Pathway C — Dedicated Country Customisation</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7.4 Positioning SIRS as a Regional Public Good</w:t>
      </w:r>
    </w:p>
    <w:p>
      <w:pPr>
        <w:spacing w:after="160" w:line="276"/>
        <w:jc w:val="left"/>
      </w:pPr>
      <w:r>
        <w:rPr>
          <w:rFonts w:ascii="Arial" w:cs="Arial" w:eastAsia="Arial" w:hAnsi="Arial"/>
          <w:sz w:val="22"/>
          <w:szCs w:val="22"/>
        </w:rPr>
      </w:r>
    </w:p>
    <w:p>
      <w:pPr>
        <w:pStyle w:val="Heading1"/>
        <w:spacing w:before="360" w:after="200"/>
      </w:pPr>
      <w:r>
        <w:rPr>
          <w:rFonts w:ascii="Arial" w:cs="Arial" w:eastAsia="Arial" w:hAnsi="Arial"/>
          <w:b/>
          <w:bCs/>
          <w:color w:val="1B4F72"/>
          <w:sz w:val="32"/>
          <w:szCs w:val="32"/>
        </w:rPr>
        <w:t xml:space="preserve">8. Concrete Communication Assets</w:t>
      </w:r>
    </w:p>
    <w:p>
      <w:pPr>
        <w:pStyle w:val="Heading2"/>
        <w:spacing w:before="280" w:after="160"/>
      </w:pPr>
      <w:r>
        <w:rPr>
          <w:rFonts w:ascii="Arial" w:cs="Arial" w:eastAsia="Arial" w:hAnsi="Arial"/>
          <w:b/>
          <w:bCs/>
          <w:color w:val="2E86C1"/>
          <w:sz w:val="26"/>
          <w:szCs w:val="26"/>
        </w:rPr>
        <w:t xml:space="preserve">8.1 Elevator Pitch</w:t>
      </w:r>
    </w:p>
    <w:p>
      <w:pPr>
        <w:spacing w:after="200" w:line="300"/>
        <w:ind w:left="360" w:right="360"/>
      </w:pPr>
      <w:r>
        <w:rPr>
          <w:rFonts w:ascii="Arial" w:cs="Arial" w:eastAsia="Arial" w:hAnsi="Arial"/>
          <w:i/>
          <w:iCs/>
          <w:sz w:val="22"/>
          <w:szCs w:val="22"/>
        </w:rPr>
        <w:t xml:space="preserve">The SADC Impact Risk Studio is a regional risk intelligence layer that plugs into existing SADC systems and partner workflows to transform fragmented risk data into actionable, sector-specific impact intelligence. Built on the INFORM Subnational Risk Model and designed for SHOC operations, SIRS enables duty officers, disaster managers, and anticipatory action teams across the SADC region to see the same risk picture, run impact scenarios within minutes of receiving a forecast, and activate pre-agreed early actions before disasters strike. It is not a new platform to replace what exists—it is the connective tissue that makes everything already built work together, faster and better, when it matters most.</w:t>
      </w:r>
    </w:p>
    <w:p>
      <w:pPr>
        <w:pStyle w:val="Heading2"/>
        <w:spacing w:before="280" w:after="160"/>
      </w:pPr>
      <w:r>
        <w:rPr>
          <w:rFonts w:ascii="Arial" w:cs="Arial" w:eastAsia="Arial" w:hAnsi="Arial"/>
          <w:b/>
          <w:bCs/>
          <w:color w:val="2E86C1"/>
          <w:sz w:val="26"/>
          <w:szCs w:val="26"/>
        </w:rPr>
        <w:t xml:space="preserve">8.2 Why Now — Seven Arguments for Urgency</w:t>
      </w:r>
    </w:p>
    <w:p>
      <w:pPr>
        <w:pStyle w:val="ListParagraph"/>
        <w:numPr>
          <w:ilvl w:val="0"/>
          <w:numId w:val="3"/>
        </w:numPr>
        <w:spacing w:after="100" w:line="276"/>
      </w:pPr>
      <w:r>
        <w:rPr>
          <w:rFonts w:ascii="Arial" w:cs="Arial" w:eastAsia="Arial" w:hAnsi="Arial"/>
          <w:b/>
          <w:bCs/>
          <w:sz w:val="22"/>
          <w:szCs w:val="22"/>
        </w:rPr>
        <w:t xml:space="preserve">Recent events demand better tools: </w:t>
      </w:r>
      <w:r>
        <w:rPr>
          <w:rFonts w:ascii="Arial" w:cs="Arial" w:eastAsia="Arial" w:hAnsi="Arial"/>
          <w:sz w:val="22"/>
          <w:szCs w:val="22"/>
        </w:rPr>
        <w:t xml:space="preserve">Cyclone Gezani and successive flood events across SADC have exposed the gap between available risk data and operational decision-making. Partners and governments are asking for better integration now.</w:t>
      </w:r>
    </w:p>
    <w:p>
      <w:pPr>
        <w:pStyle w:val="ListParagraph"/>
        <w:numPr>
          <w:ilvl w:val="0"/>
          <w:numId w:val="3"/>
        </w:numPr>
        <w:spacing w:after="100" w:line="276"/>
      </w:pPr>
      <w:r>
        <w:rPr>
          <w:rFonts w:ascii="Arial" w:cs="Arial" w:eastAsia="Arial" w:hAnsi="Arial"/>
          <w:b/>
          <w:bCs/>
          <w:sz w:val="22"/>
          <w:szCs w:val="22"/>
        </w:rPr>
        <w:t xml:space="preserve">INFORM Subnational is ready to be operationalised: </w:t>
      </w:r>
      <w:r>
        <w:rPr>
          <w:rFonts w:ascii="Arial" w:cs="Arial" w:eastAsia="Arial" w:hAnsi="Arial"/>
          <w:sz w:val="22"/>
          <w:szCs w:val="22"/>
        </w:rPr>
        <w:t xml:space="preserve">The INFORM Subnational Risk Model for SADC has matured through significant investment by GIZ/RIA, CIMA, and partners. SIRS is the natural next step to turn those indices into day-to-day decision support.</w:t>
      </w:r>
    </w:p>
    <w:p>
      <w:pPr>
        <w:pStyle w:val="ListParagraph"/>
        <w:numPr>
          <w:ilvl w:val="0"/>
          <w:numId w:val="3"/>
        </w:numPr>
        <w:spacing w:after="100" w:line="276"/>
      </w:pPr>
      <w:r>
        <w:rPr>
          <w:rFonts w:ascii="Arial" w:cs="Arial" w:eastAsia="Arial" w:hAnsi="Arial"/>
          <w:b/>
          <w:bCs/>
          <w:sz w:val="22"/>
          <w:szCs w:val="22"/>
        </w:rPr>
        <w:t xml:space="preserve">SHOC is operational and needs analytical depth: </w:t>
      </w:r>
      <w:r>
        <w:rPr>
          <w:rFonts w:ascii="Arial" w:cs="Arial" w:eastAsia="Arial" w:hAnsi="Arial"/>
          <w:sz w:val="22"/>
          <w:szCs w:val="22"/>
        </w:rPr>
        <w:t xml:space="preserve">The SADC Humanitarian and Emergency Operations Centre in Nacala is up and running but needs structured analytical tools to fulfil its mandate. SIRS provides that layer without duplicating SHOC infrastructure.</w:t>
      </w:r>
    </w:p>
    <w:p>
      <w:pPr>
        <w:pStyle w:val="ListParagraph"/>
        <w:numPr>
          <w:ilvl w:val="0"/>
          <w:numId w:val="3"/>
        </w:numPr>
        <w:spacing w:after="100" w:line="276"/>
      </w:pPr>
      <w:r>
        <w:rPr>
          <w:rFonts w:ascii="Arial" w:cs="Arial" w:eastAsia="Arial" w:hAnsi="Arial"/>
          <w:b/>
          <w:bCs/>
          <w:sz w:val="22"/>
          <w:szCs w:val="22"/>
        </w:rPr>
        <w:t xml:space="preserve">Anticipatory action is scaling and needs common triggers: </w:t>
      </w:r>
      <w:r>
        <w:rPr>
          <w:rFonts w:ascii="Arial" w:cs="Arial" w:eastAsia="Arial" w:hAnsi="Arial"/>
          <w:sz w:val="22"/>
          <w:szCs w:val="22"/>
        </w:rPr>
        <w:t xml:space="preserve">WFP, IFRC, and governments are expanding anticipatory action pilots across SADC. These pilots need a shared, transparent risk assessment backbone to ensure consistency and coordination.</w:t>
      </w:r>
    </w:p>
    <w:p>
      <w:pPr>
        <w:pStyle w:val="ListParagraph"/>
        <w:numPr>
          <w:ilvl w:val="0"/>
          <w:numId w:val="3"/>
        </w:numPr>
        <w:spacing w:after="100" w:line="276"/>
      </w:pPr>
      <w:r>
        <w:rPr>
          <w:rFonts w:ascii="Arial" w:cs="Arial" w:eastAsia="Arial" w:hAnsi="Arial"/>
          <w:b/>
          <w:bCs/>
          <w:sz w:val="22"/>
          <w:szCs w:val="22"/>
        </w:rPr>
        <w:t xml:space="preserve">Partner alignment is at a high point: </w:t>
      </w:r>
      <w:r>
        <w:rPr>
          <w:rFonts w:ascii="Arial" w:cs="Arial" w:eastAsia="Arial" w:hAnsi="Arial"/>
          <w:sz w:val="22"/>
          <w:szCs w:val="22"/>
        </w:rPr>
        <w:t xml:space="preserve">GIZ/RIA, UNDP, WFP, IFRC, MapAction, CIMA Foundation, AUC, Google, and Kobo are all engaged in complementary work in the SADC DRR space. SIRS provides a concrete integration point for these efforts.</w:t>
      </w:r>
    </w:p>
    <w:p>
      <w:pPr>
        <w:pStyle w:val="ListParagraph"/>
        <w:numPr>
          <w:ilvl w:val="0"/>
          <w:numId w:val="3"/>
        </w:numPr>
        <w:spacing w:after="100" w:line="276"/>
      </w:pPr>
      <w:r>
        <w:rPr>
          <w:rFonts w:ascii="Arial" w:cs="Arial" w:eastAsia="Arial" w:hAnsi="Arial"/>
          <w:b/>
          <w:bCs/>
          <w:sz w:val="22"/>
          <w:szCs w:val="22"/>
        </w:rPr>
        <w:t xml:space="preserve">Climate change is increasing event frequency and intensity: </w:t>
      </w:r>
      <w:r>
        <w:rPr>
          <w:rFonts w:ascii="Arial" w:cs="Arial" w:eastAsia="Arial" w:hAnsi="Arial"/>
          <w:sz w:val="22"/>
          <w:szCs w:val="22"/>
        </w:rPr>
        <w:t xml:space="preserve">The SADC region faces escalating climate risks. Reactive response alone is no longer sufficient; the region needs proactive, data-driven preparedness tools.</w:t>
      </w:r>
    </w:p>
    <w:p>
      <w:pPr>
        <w:pStyle w:val="ListParagraph"/>
        <w:numPr>
          <w:ilvl w:val="0"/>
          <w:numId w:val="3"/>
        </w:numPr>
        <w:spacing w:after="100" w:line="276"/>
      </w:pPr>
      <w:r>
        <w:rPr>
          <w:rFonts w:ascii="Arial" w:cs="Arial" w:eastAsia="Arial" w:hAnsi="Arial"/>
          <w:b/>
          <w:bCs/>
          <w:sz w:val="22"/>
          <w:szCs w:val="22"/>
        </w:rPr>
        <w:t xml:space="preserve">Technology enables what was previously impossible: </w:t>
      </w:r>
      <w:r>
        <w:rPr>
          <w:rFonts w:ascii="Arial" w:cs="Arial" w:eastAsia="Arial" w:hAnsi="Arial"/>
          <w:sz w:val="22"/>
          <w:szCs w:val="22"/>
        </w:rPr>
        <w:t xml:space="preserve">Cloud computing, earth observation, mobile data collection, and API interoperability now make it feasible to build a real-time regional risk intelligence platform at a fraction of the cost of even five years ago.</w:t>
      </w:r>
    </w:p>
    <w:p>
      <w:pPr>
        <w:pStyle w:val="Heading2"/>
        <w:spacing w:before="280" w:after="160"/>
      </w:pPr>
      <w:r>
        <w:rPr>
          <w:rFonts w:ascii="Arial" w:cs="Arial" w:eastAsia="Arial" w:hAnsi="Arial"/>
          <w:b/>
          <w:bCs/>
          <w:color w:val="2E86C1"/>
          <w:sz w:val="26"/>
          <w:szCs w:val="26"/>
        </w:rPr>
        <w:t xml:space="preserve">8.3 Suggested Slide Outline for First Partner Briefing (12 Slides)</w:t>
      </w:r>
    </w:p>
    <w:p>
      <w:pPr>
        <w:pStyle w:val="ListParagraph"/>
        <w:numPr>
          <w:ilvl w:val="0"/>
          <w:numId w:val="4"/>
        </w:numPr>
        <w:spacing w:after="80" w:line="260"/>
      </w:pPr>
      <w:r>
        <w:rPr>
          <w:rFonts w:ascii="Arial" w:cs="Arial" w:eastAsia="Arial" w:hAnsi="Arial"/>
          <w:sz w:val="22"/>
          <w:szCs w:val="22"/>
        </w:rPr>
        <w:t xml:space="preserve">Title slide: SADC Impact Risk Studio — A Regional Risk Intelligence Layer</w:t>
      </w:r>
    </w:p>
    <w:p>
      <w:pPr>
        <w:pStyle w:val="ListParagraph"/>
        <w:numPr>
          <w:ilvl w:val="0"/>
          <w:numId w:val="4"/>
        </w:numPr>
        <w:spacing w:after="80" w:line="260"/>
      </w:pPr>
      <w:r>
        <w:rPr>
          <w:rFonts w:ascii="Arial" w:cs="Arial" w:eastAsia="Arial" w:hAnsi="Arial"/>
          <w:sz w:val="22"/>
          <w:szCs w:val="22"/>
        </w:rPr>
        <w:t xml:space="preserve">The Problem: Fragmentation between risk data, early warning, and operational decision-making in the SADC region</w:t>
      </w:r>
    </w:p>
    <w:p>
      <w:pPr>
        <w:pStyle w:val="ListParagraph"/>
        <w:numPr>
          <w:ilvl w:val="0"/>
          <w:numId w:val="4"/>
        </w:numPr>
        <w:spacing w:after="80" w:line="260"/>
      </w:pPr>
      <w:r>
        <w:rPr>
          <w:rFonts w:ascii="Arial" w:cs="Arial" w:eastAsia="Arial" w:hAnsi="Arial"/>
          <w:sz w:val="22"/>
          <w:szCs w:val="22"/>
        </w:rPr>
        <w:t xml:space="preserve">Why Now: Recent events (Cyclone Gezani, floods), INFORM readiness, SHOC operations, anticipatory action momentum</w:t>
      </w:r>
    </w:p>
    <w:p>
      <w:pPr>
        <w:pStyle w:val="ListParagraph"/>
        <w:numPr>
          <w:ilvl w:val="0"/>
          <w:numId w:val="4"/>
        </w:numPr>
        <w:spacing w:after="80" w:line="260"/>
      </w:pPr>
      <w:r>
        <w:rPr>
          <w:rFonts w:ascii="Arial" w:cs="Arial" w:eastAsia="Arial" w:hAnsi="Arial"/>
          <w:sz w:val="22"/>
          <w:szCs w:val="22"/>
        </w:rPr>
        <w:t xml:space="preserve">The SIRS Vision: One shared risk picture, many decision pathways</w:t>
      </w:r>
    </w:p>
    <w:p>
      <w:pPr>
        <w:pStyle w:val="ListParagraph"/>
        <w:numPr>
          <w:ilvl w:val="0"/>
          <w:numId w:val="4"/>
        </w:numPr>
        <w:spacing w:after="80" w:line="260"/>
      </w:pPr>
      <w:r>
        <w:rPr>
          <w:rFonts w:ascii="Arial" w:cs="Arial" w:eastAsia="Arial" w:hAnsi="Arial"/>
          <w:sz w:val="22"/>
          <w:szCs w:val="22"/>
        </w:rPr>
        <w:t xml:space="preserve">Core Modules: Risk Integration Engine, Impact Scenario Builder, Early Action Triggers, Sector Lenses, Kobo Feedback Loop, Collaboration Workspace</w:t>
      </w:r>
    </w:p>
    <w:p>
      <w:pPr>
        <w:pStyle w:val="ListParagraph"/>
        <w:numPr>
          <w:ilvl w:val="0"/>
          <w:numId w:val="4"/>
        </w:numPr>
        <w:spacing w:after="80" w:line="260"/>
      </w:pPr>
      <w:r>
        <w:rPr>
          <w:rFonts w:ascii="Arial" w:cs="Arial" w:eastAsia="Arial" w:hAnsi="Arial"/>
          <w:sz w:val="22"/>
          <w:szCs w:val="22"/>
        </w:rPr>
        <w:t xml:space="preserve">Use Case Spotlight: 48-hour cyclone pre-landfall scenario (step-by-step visual walkthrough)</w:t>
      </w:r>
    </w:p>
    <w:p>
      <w:pPr>
        <w:pStyle w:val="ListParagraph"/>
        <w:numPr>
          <w:ilvl w:val="0"/>
          <w:numId w:val="4"/>
        </w:numPr>
        <w:spacing w:after="80" w:line="260"/>
      </w:pPr>
      <w:r>
        <w:rPr>
          <w:rFonts w:ascii="Arial" w:cs="Arial" w:eastAsia="Arial" w:hAnsi="Arial"/>
          <w:sz w:val="22"/>
          <w:szCs w:val="22"/>
        </w:rPr>
        <w:t xml:space="preserve">Partner Ecosystem: Who brings what, who gets what (partner mapping visual)</w:t>
      </w:r>
    </w:p>
    <w:p>
      <w:pPr>
        <w:pStyle w:val="ListParagraph"/>
        <w:numPr>
          <w:ilvl w:val="0"/>
          <w:numId w:val="4"/>
        </w:numPr>
        <w:spacing w:after="80" w:line="260"/>
      </w:pPr>
      <w:r>
        <w:rPr>
          <w:rFonts w:ascii="Arial" w:cs="Arial" w:eastAsia="Arial" w:hAnsi="Arial"/>
          <w:sz w:val="22"/>
          <w:szCs w:val="22"/>
        </w:rPr>
        <w:t xml:space="preserve">Technical Architecture: High-level component diagram with interoperability highlights</w:t>
      </w:r>
    </w:p>
    <w:p>
      <w:pPr>
        <w:pStyle w:val="ListParagraph"/>
        <w:numPr>
          <w:ilvl w:val="0"/>
          <w:numId w:val="4"/>
        </w:numPr>
        <w:spacing w:after="80" w:line="260"/>
      </w:pPr>
      <w:r>
        <w:rPr>
          <w:rFonts w:ascii="Arial" w:cs="Arial" w:eastAsia="Arial" w:hAnsi="Arial"/>
          <w:sz w:val="22"/>
          <w:szCs w:val="22"/>
        </w:rPr>
        <w:t xml:space="preserve">Implementation Roadmap: Three phases over 18–24 months (timeline visual)</w:t>
      </w:r>
    </w:p>
    <w:p>
      <w:pPr>
        <w:pStyle w:val="ListParagraph"/>
        <w:numPr>
          <w:ilvl w:val="0"/>
          <w:numId w:val="4"/>
        </w:numPr>
        <w:spacing w:after="80" w:line="260"/>
      </w:pPr>
      <w:r>
        <w:rPr>
          <w:rFonts w:ascii="Arial" w:cs="Arial" w:eastAsia="Arial" w:hAnsi="Arial"/>
          <w:sz w:val="22"/>
          <w:szCs w:val="22"/>
        </w:rPr>
        <w:t xml:space="preserve">Pilot Geography Spotlight: Nacala corridor, Lower Shire valley, and one urban centre</w:t>
      </w:r>
    </w:p>
    <w:p>
      <w:pPr>
        <w:pStyle w:val="ListParagraph"/>
        <w:numPr>
          <w:ilvl w:val="0"/>
          <w:numId w:val="4"/>
        </w:numPr>
        <w:spacing w:after="80" w:line="260"/>
      </w:pPr>
      <w:r>
        <w:rPr>
          <w:rFonts w:ascii="Arial" w:cs="Arial" w:eastAsia="Arial" w:hAnsi="Arial"/>
          <w:sz w:val="22"/>
          <w:szCs w:val="22"/>
        </w:rPr>
        <w:t xml:space="preserve">Funding and Sustainability: Regional public good model; investment ask and partner contributions</w:t>
      </w:r>
    </w:p>
    <w:p>
      <w:pPr>
        <w:pStyle w:val="ListParagraph"/>
        <w:numPr>
          <w:ilvl w:val="0"/>
          <w:numId w:val="4"/>
        </w:numPr>
        <w:spacing w:after="80" w:line="260"/>
      </w:pPr>
      <w:r>
        <w:rPr>
          <w:rFonts w:ascii="Arial" w:cs="Arial" w:eastAsia="Arial" w:hAnsi="Arial"/>
          <w:sz w:val="22"/>
          <w:szCs w:val="22"/>
        </w:rPr>
        <w:t xml:space="preserve">Next Steps: Co-design workshops, pilot country selection, partnership agreements</w:t>
      </w:r>
    </w:p>
    <w:p>
      <w:pPr>
        <w:pStyle w:val="Heading1"/>
        <w:spacing w:before="360" w:after="200"/>
      </w:pPr>
      <w:r>
        <w:rPr>
          <w:rFonts w:ascii="Arial" w:cs="Arial" w:eastAsia="Arial" w:hAnsi="Arial"/>
          <w:b/>
          <w:bCs/>
          <w:color w:val="1B4F72"/>
          <w:sz w:val="32"/>
          <w:szCs w:val="32"/>
        </w:rPr>
        <w:t xml:space="preserve">9. Role for a Specialised Impact-Modelling Partner</w:t>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9.1 Position in the Governance and Delivery Structure</w:t>
      </w:r>
    </w:p>
    <w:p>
      <w:pPr>
        <w:spacing w:after="160" w:line="276"/>
        <w:jc w:val="left"/>
      </w:pPr>
      <w:r>
        <w:rPr>
          <w:rFonts w:ascii="Arial" w:cs="Arial" w:eastAsia="Arial" w:hAnsi="Arial"/>
          <w:sz w:val="22"/>
          <w:szCs w:val="22"/>
        </w:rPr>
      </w:r>
    </w:p>
    <w:p>
      <w:pPr>
        <w:spacing w:after="160" w:line="276"/>
        <w:jc w:val="left"/>
      </w:pPr>
      <w:r>
        <w:rPr>
          <w:rFonts w:ascii="Arial" w:cs="Arial" w:eastAsia="Arial" w:hAnsi="Arial"/>
          <w:sz w:val="22"/>
          <w:szCs w:val="22"/>
        </w:rPr>
      </w:r>
    </w:p>
    <w:p>
      <w:pPr>
        <w:pStyle w:val="Heading2"/>
        <w:spacing w:before="280" w:after="160"/>
      </w:pPr>
      <w:r>
        <w:rPr>
          <w:rFonts w:ascii="Arial" w:cs="Arial" w:eastAsia="Arial" w:hAnsi="Arial"/>
          <w:b/>
          <w:bCs/>
          <w:color w:val="2E86C1"/>
          <w:sz w:val="26"/>
          <w:szCs w:val="26"/>
        </w:rPr>
        <w:t xml:space="preserve">9.2 Core Responsibilities</w:t>
      </w:r>
    </w:p>
    <w:p>
      <w:pPr>
        <w:pStyle w:val="Heading3"/>
        <w:spacing w:before="200" w:after="120"/>
      </w:pPr>
      <w:r>
        <w:rPr>
          <w:rFonts w:ascii="Arial" w:cs="Arial" w:eastAsia="Arial" w:hAnsi="Arial"/>
          <w:b/>
          <w:bCs/>
          <w:color w:val="2874A6"/>
          <w:sz w:val="24"/>
          <w:szCs w:val="24"/>
        </w:rPr>
        <w:t xml:space="preserve">Design Phase (Phase 0)</w:t>
      </w:r>
    </w:p>
    <w:p>
      <w:pPr>
        <w:pStyle w:val="ListParagraph"/>
        <w:numPr>
          <w:ilvl w:val="0"/>
          <w:numId w:val="2"/>
        </w:numPr>
        <w:spacing w:after="80" w:line="276"/>
      </w:pPr>
      <w:r>
        <w:rPr>
          <w:rFonts w:ascii="Arial" w:cs="Arial" w:eastAsia="Arial" w:hAnsi="Arial"/>
          <w:sz w:val="22"/>
          <w:szCs w:val="22"/>
        </w:rPr>
        <w:t xml:space="preserve">Facilitate technical requirements workshops, translating partner needs into platform specifications.</w:t>
      </w:r>
    </w:p>
    <w:p>
      <w:pPr>
        <w:pStyle w:val="ListParagraph"/>
        <w:numPr>
          <w:ilvl w:val="0"/>
          <w:numId w:val="2"/>
        </w:numPr>
        <w:spacing w:after="80" w:line="276"/>
      </w:pPr>
      <w:r>
        <w:rPr>
          <w:rFonts w:ascii="Arial" w:cs="Arial" w:eastAsia="Arial" w:hAnsi="Arial"/>
          <w:sz w:val="22"/>
          <w:szCs w:val="22"/>
        </w:rPr>
        <w:t xml:space="preserve">Conduct data landscape assessment for pilot geographies, identifying available datasets, APIs, and integration points.</w:t>
      </w:r>
    </w:p>
    <w:p>
      <w:pPr>
        <w:pStyle w:val="ListParagraph"/>
        <w:numPr>
          <w:ilvl w:val="0"/>
          <w:numId w:val="2"/>
        </w:numPr>
        <w:spacing w:after="80" w:line="276"/>
      </w:pPr>
      <w:r>
        <w:rPr>
          <w:rFonts w:ascii="Arial" w:cs="Arial" w:eastAsia="Arial" w:hAnsi="Arial"/>
          <w:sz w:val="22"/>
          <w:szCs w:val="22"/>
        </w:rPr>
        <w:t xml:space="preserve">Produce detailed technical architecture document, data model specification, and API design.</w:t>
      </w:r>
    </w:p>
    <w:p>
      <w:pPr>
        <w:pStyle w:val="ListParagraph"/>
        <w:numPr>
          <w:ilvl w:val="0"/>
          <w:numId w:val="2"/>
        </w:numPr>
        <w:spacing w:after="80" w:line="276"/>
      </w:pPr>
      <w:r>
        <w:rPr>
          <w:rFonts w:ascii="Arial" w:cs="Arial" w:eastAsia="Arial" w:hAnsi="Arial"/>
          <w:sz w:val="22"/>
          <w:szCs w:val="22"/>
        </w:rPr>
        <w:t xml:space="preserve">Prototype key risk integration algorithms and validate against INFORM methodology with CIMA Foundation input.</w:t>
      </w:r>
    </w:p>
    <w:p>
      <w:pPr>
        <w:pStyle w:val="ListParagraph"/>
        <w:numPr>
          <w:ilvl w:val="0"/>
          <w:numId w:val="2"/>
        </w:numPr>
        <w:spacing w:after="80" w:line="276"/>
      </w:pPr>
      <w:r>
        <w:rPr>
          <w:rFonts w:ascii="Arial" w:cs="Arial" w:eastAsia="Arial" w:hAnsi="Arial"/>
          <w:sz w:val="22"/>
          <w:szCs w:val="22"/>
        </w:rPr>
        <w:t xml:space="preserve">Define interoperability standards and data exchange protocols for all partner integrations.</w:t>
      </w:r>
    </w:p>
    <w:p>
      <w:pPr>
        <w:pStyle w:val="Heading3"/>
        <w:spacing w:before="200" w:after="120"/>
      </w:pPr>
      <w:r>
        <w:rPr>
          <w:rFonts w:ascii="Arial" w:cs="Arial" w:eastAsia="Arial" w:hAnsi="Arial"/>
          <w:b/>
          <w:bCs/>
          <w:color w:val="2874A6"/>
          <w:sz w:val="24"/>
          <w:szCs w:val="24"/>
        </w:rPr>
        <w:t xml:space="preserve">Build Phase (Phase 1)</w:t>
      </w:r>
    </w:p>
    <w:p>
      <w:pPr>
        <w:pStyle w:val="ListParagraph"/>
        <w:numPr>
          <w:ilvl w:val="0"/>
          <w:numId w:val="2"/>
        </w:numPr>
        <w:spacing w:after="80" w:line="276"/>
      </w:pPr>
      <w:r>
        <w:rPr>
          <w:rFonts w:ascii="Arial" w:cs="Arial" w:eastAsia="Arial" w:hAnsi="Arial"/>
          <w:sz w:val="22"/>
          <w:szCs w:val="22"/>
        </w:rPr>
        <w:t xml:space="preserve">Lead platform development: Risk Integration Engine, Impact Scenario Builder, Early Action Trigger Layer, Sector Lenses, Kobo integration, and Collaboration Workspace.</w:t>
      </w:r>
    </w:p>
    <w:p>
      <w:pPr>
        <w:pStyle w:val="ListParagraph"/>
        <w:numPr>
          <w:ilvl w:val="0"/>
          <w:numId w:val="2"/>
        </w:numPr>
        <w:spacing w:after="80" w:line="276"/>
      </w:pPr>
      <w:r>
        <w:rPr>
          <w:rFonts w:ascii="Arial" w:cs="Arial" w:eastAsia="Arial" w:hAnsi="Arial"/>
          <w:sz w:val="22"/>
          <w:szCs w:val="22"/>
        </w:rPr>
        <w:t xml:space="preserve">Build and maintain data ingestion pipelines for all agreed data sources.</w:t>
      </w:r>
    </w:p>
    <w:p>
      <w:pPr>
        <w:pStyle w:val="ListParagraph"/>
        <w:numPr>
          <w:ilvl w:val="0"/>
          <w:numId w:val="2"/>
        </w:numPr>
        <w:spacing w:after="80" w:line="276"/>
      </w:pPr>
      <w:r>
        <w:rPr>
          <w:rFonts w:ascii="Arial" w:cs="Arial" w:eastAsia="Arial" w:hAnsi="Arial"/>
          <w:sz w:val="22"/>
          <w:szCs w:val="22"/>
        </w:rPr>
        <w:t xml:space="preserve">Develop and maintain the web front-end (analyst workbench, dashboards, sector portals).</w:t>
      </w:r>
    </w:p>
    <w:p>
      <w:pPr>
        <w:pStyle w:val="ListParagraph"/>
        <w:numPr>
          <w:ilvl w:val="0"/>
          <w:numId w:val="2"/>
        </w:numPr>
        <w:spacing w:after="80" w:line="276"/>
      </w:pPr>
      <w:r>
        <w:rPr>
          <w:rFonts w:ascii="Arial" w:cs="Arial" w:eastAsia="Arial" w:hAnsi="Arial"/>
          <w:sz w:val="22"/>
          <w:szCs w:val="22"/>
        </w:rPr>
        <w:t xml:space="preserve">Implement interoperability layer (APIs, OGC services, widgets, export).</w:t>
      </w:r>
    </w:p>
    <w:p>
      <w:pPr>
        <w:pStyle w:val="ListParagraph"/>
        <w:numPr>
          <w:ilvl w:val="0"/>
          <w:numId w:val="2"/>
        </w:numPr>
        <w:spacing w:after="80" w:line="276"/>
      </w:pPr>
      <w:r>
        <w:rPr>
          <w:rFonts w:ascii="Arial" w:cs="Arial" w:eastAsia="Arial" w:hAnsi="Arial"/>
          <w:sz w:val="22"/>
          <w:szCs w:val="22"/>
        </w:rPr>
        <w:t xml:space="preserve">Produce Health/WASH risk surfaces for pilot geographies, drawing on specialist expertise in health system and water infrastructure vulnerability modelling.</w:t>
      </w:r>
    </w:p>
    <w:p>
      <w:pPr>
        <w:pStyle w:val="ListParagraph"/>
        <w:numPr>
          <w:ilvl w:val="0"/>
          <w:numId w:val="2"/>
        </w:numPr>
        <w:spacing w:after="80" w:line="276"/>
      </w:pPr>
      <w:r>
        <w:rPr>
          <w:rFonts w:ascii="Arial" w:cs="Arial" w:eastAsia="Arial" w:hAnsi="Arial"/>
          <w:sz w:val="22"/>
          <w:szCs w:val="22"/>
        </w:rPr>
        <w:t xml:space="preserve">Manage the technical relationship with Google (Earth Engine, Cloud) and Kobo (API integration).</w:t>
      </w:r>
    </w:p>
    <w:p>
      <w:pPr>
        <w:pStyle w:val="ListParagraph"/>
        <w:numPr>
          <w:ilvl w:val="0"/>
          <w:numId w:val="2"/>
        </w:numPr>
        <w:spacing w:after="80" w:line="276"/>
      </w:pPr>
      <w:r>
        <w:rPr>
          <w:rFonts w:ascii="Arial" w:cs="Arial" w:eastAsia="Arial" w:hAnsi="Arial"/>
          <w:sz w:val="22"/>
          <w:szCs w:val="22"/>
        </w:rPr>
        <w:t xml:space="preserve">Support simulation exercises by configuring scenarios, running models, and providing real-time technical support.</w:t>
      </w:r>
    </w:p>
    <w:p>
      <w:pPr>
        <w:pStyle w:val="Heading3"/>
        <w:spacing w:before="200" w:after="120"/>
      </w:pPr>
      <w:r>
        <w:rPr>
          <w:rFonts w:ascii="Arial" w:cs="Arial" w:eastAsia="Arial" w:hAnsi="Arial"/>
          <w:b/>
          <w:bCs/>
          <w:color w:val="2874A6"/>
          <w:sz w:val="24"/>
          <w:szCs w:val="24"/>
        </w:rPr>
        <w:t xml:space="preserve">Capacity Building Phase (Cross-cutting)</w:t>
      </w:r>
    </w:p>
    <w:p>
      <w:pPr>
        <w:pStyle w:val="ListParagraph"/>
        <w:numPr>
          <w:ilvl w:val="0"/>
          <w:numId w:val="2"/>
        </w:numPr>
        <w:spacing w:after="80" w:line="276"/>
      </w:pPr>
      <w:r>
        <w:rPr>
          <w:rFonts w:ascii="Arial" w:cs="Arial" w:eastAsia="Arial" w:hAnsi="Arial"/>
          <w:sz w:val="22"/>
          <w:szCs w:val="22"/>
        </w:rPr>
        <w:t xml:space="preserve">Deliver hands-on training for SADC, SHOC, and NDMA analysts on SIRS usage, scenario building, and trigger configuration.</w:t>
      </w:r>
    </w:p>
    <w:p>
      <w:pPr>
        <w:pStyle w:val="ListParagraph"/>
        <w:numPr>
          <w:ilvl w:val="0"/>
          <w:numId w:val="2"/>
        </w:numPr>
        <w:spacing w:after="80" w:line="276"/>
      </w:pPr>
      <w:r>
        <w:rPr>
          <w:rFonts w:ascii="Arial" w:cs="Arial" w:eastAsia="Arial" w:hAnsi="Arial"/>
          <w:sz w:val="22"/>
          <w:szCs w:val="22"/>
        </w:rPr>
        <w:t xml:space="preserve">Develop user documentation, training materials, and video tutorials.</w:t>
      </w:r>
    </w:p>
    <w:p>
      <w:pPr>
        <w:pStyle w:val="ListParagraph"/>
        <w:numPr>
          <w:ilvl w:val="0"/>
          <w:numId w:val="2"/>
        </w:numPr>
        <w:spacing w:after="80" w:line="276"/>
      </w:pPr>
      <w:r>
        <w:rPr>
          <w:rFonts w:ascii="Arial" w:cs="Arial" w:eastAsia="Arial" w:hAnsi="Arial"/>
          <w:sz w:val="22"/>
          <w:szCs w:val="22"/>
        </w:rPr>
        <w:t xml:space="preserve">Mentor SADC and SHOC technical staff to build internal capacity for system administration and basic customisation.</w:t>
      </w:r>
    </w:p>
    <w:p>
      <w:pPr>
        <w:pStyle w:val="ListParagraph"/>
        <w:numPr>
          <w:ilvl w:val="0"/>
          <w:numId w:val="2"/>
        </w:numPr>
        <w:spacing w:after="80" w:line="276"/>
      </w:pPr>
      <w:r>
        <w:rPr>
          <w:rFonts w:ascii="Arial" w:cs="Arial" w:eastAsia="Arial" w:hAnsi="Arial"/>
          <w:sz w:val="22"/>
          <w:szCs w:val="22"/>
        </w:rPr>
        <w:t xml:space="preserve">Contribute to a train-the-trainer programme to ensure sustainability beyond the project period.</w:t>
      </w:r>
    </w:p>
    <w:p>
      <w:pPr>
        <w:pStyle w:val="Heading2"/>
        <w:spacing w:before="280" w:after="160"/>
      </w:pPr>
      <w:r>
        <w:rPr>
          <w:rFonts w:ascii="Arial" w:cs="Arial" w:eastAsia="Arial" w:hAnsi="Arial"/>
          <w:b/>
          <w:bCs/>
          <w:color w:val="2E86C1"/>
          <w:sz w:val="26"/>
          <w:szCs w:val="26"/>
        </w:rPr>
        <w:t xml:space="preserve">9.3 Boundaries with UN Agencies, SADC, and SHOC</w:t>
      </w:r>
    </w:p>
    <w:p>
      <w:pPr>
        <w:spacing w:after="160" w:line="276"/>
        <w:jc w:val="left"/>
      </w:pPr>
      <w:r>
        <w:rPr>
          <w:rFonts w:ascii="Arial" w:cs="Arial" w:eastAsia="Arial" w:hAnsi="Arial"/>
          <w:sz w:val="22"/>
          <w:szCs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Domain</w:t>
            </w:r>
          </w:p>
        </w:tc>
        <w:tc>
          <w:tcPr>
            <w:tcW w:type="dxa" w:w="37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Specialised Partner</w:t>
            </w:r>
          </w:p>
        </w:tc>
        <w:tc>
          <w:tcPr>
            <w:tcW w:type="dxa" w:w="37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SADC / UN / IFRC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Platform development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Builds, maintains, and evolves the technical platform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Defines requirements and priorities; accepts 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Risk methodology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Implements risk calculation algorithms per INFORM methodology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CIMA Foundation and INFORM team own methodology; SADC DRR Unit approves weightings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Operational decisions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Provides data, analysis, and tools to support decisions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SADC, NDMAs, and operational agencies make all operational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Data governance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Implements data access controls and sovereignty measures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SADC and Member States define data governance policies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Trigger configuration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Builds the trigger engine and configuration interface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WFP, IFRC, NDMAs define their own trigger thresholds and SOPs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Communications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Provides technical content for communications materials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SADC DRR Unit leads all external communications about SIRS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Capacity building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Delivers technical training on platform usage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GIZ/RIA leads broader DRR capacity building; UN agencies lead in their sectors</w:t>
            </w:r>
          </w:p>
        </w:tc>
      </w:tr>
    </w:tbl>
    <w:p>
      <w:pPr>
        <w:spacing w:after="80"/>
      </w:pPr>
    </w:p>
    <w:p>
      <w:pPr>
        <w:pStyle w:val="Heading2"/>
        <w:spacing w:before="280" w:after="160"/>
      </w:pPr>
      <w:r>
        <w:rPr>
          <w:rFonts w:ascii="Arial" w:cs="Arial" w:eastAsia="Arial" w:hAnsi="Arial"/>
          <w:b/>
          <w:bCs/>
          <w:color w:val="2E86C1"/>
          <w:sz w:val="26"/>
          <w:szCs w:val="26"/>
        </w:rPr>
        <w:t xml:space="preserve">9.4 Becoming the Go-To Technical Integrator</w:t>
      </w:r>
    </w:p>
    <w:p>
      <w:pPr>
        <w:spacing w:after="160" w:line="276"/>
        <w:jc w:val="left"/>
      </w:pPr>
      <w:r>
        <w:rPr>
          <w:rFonts w:ascii="Arial" w:cs="Arial" w:eastAsia="Arial" w:hAnsi="Arial"/>
          <w:sz w:val="22"/>
          <w:szCs w:val="22"/>
        </w:rPr>
      </w:r>
    </w:p>
    <w:p>
      <w:pPr>
        <w:spacing w:after="160" w:line="276"/>
        <w:jc w:val="left"/>
      </w:pPr>
      <w:r>
        <w:rPr>
          <w:rFonts w:ascii="Arial" w:cs="Arial" w:eastAsia="Arial" w:hAnsi="Arial"/>
          <w:b/>
          <w:bCs/>
          <w:sz w:val="22"/>
          <w:szCs w:val="22"/>
        </w:rPr>
        <w:t xml:space="preserve">First, speed and responsiveness. </w:t>
      </w:r>
      <w:r>
        <w:rPr>
          <w:rFonts w:ascii="Arial" w:cs="Arial" w:eastAsia="Arial" w:hAnsi="Arial"/>
          <w:sz w:val="22"/>
          <w:szCs w:val="22"/>
        </w:rPr>
        <w:t xml:space="preserve">When a cyclone is bearing down on the SADC coast, the partner must be able to configure and run impact scenarios within hours, not days. This requires deep familiarity with the data, pre-configured pipelines, and on-call availability during the cyclone and flood season.</w:t>
      </w:r>
    </w:p>
    <w:p>
      <w:pPr>
        <w:spacing w:after="160" w:line="276"/>
        <w:jc w:val="left"/>
      </w:pPr>
      <w:r>
        <w:rPr>
          <w:rFonts w:ascii="Arial" w:cs="Arial" w:eastAsia="Arial" w:hAnsi="Arial"/>
          <w:b/>
          <w:bCs/>
          <w:sz w:val="22"/>
          <w:szCs w:val="22"/>
        </w:rPr>
        <w:t xml:space="preserve">Second, domain expertise at the intersection of risk modelling and health/WASH systems. </w:t>
      </w:r>
      <w:r>
        <w:rPr>
          <w:rFonts w:ascii="Arial" w:cs="Arial" w:eastAsia="Arial" w:hAnsi="Arial"/>
          <w:sz w:val="22"/>
          <w:szCs w:val="22"/>
        </w:rPr>
        <w:t xml:space="preserve">This is a relatively rare capability. The ability to produce health facility exposure assessments, water system vulnerability surfaces, and cholera risk overlays—grounded in actual health system data—distinguishes the partner from generic GIS service providers. This expertise makes SIRS valuable not only for emergency management but also for routine health system resilience planning.</w:t>
      </w:r>
    </w:p>
    <w:p>
      <w:pPr>
        <w:spacing w:after="160" w:line="276"/>
        <w:jc w:val="left"/>
      </w:pPr>
      <w:r>
        <w:rPr>
          <w:rFonts w:ascii="Arial" w:cs="Arial" w:eastAsia="Arial" w:hAnsi="Arial"/>
          <w:b/>
          <w:bCs/>
          <w:sz w:val="22"/>
          <w:szCs w:val="22"/>
        </w:rPr>
        <w:t xml:space="preserve">Third, interoperability obsession. </w:t>
      </w:r>
      <w:r>
        <w:rPr>
          <w:rFonts w:ascii="Arial" w:cs="Arial" w:eastAsia="Arial" w:hAnsi="Arial"/>
          <w:sz w:val="22"/>
          <w:szCs w:val="22"/>
        </w:rPr>
        <w:t xml:space="preserve">The partner should be known for making SIRS work seamlessly with every partner system it touches—DHIS2, Kobo, WFP platforms, IFRC GO, MapAction data packs, Google Earth Engine. The more deeply integrated SIRS becomes, the harder it is to replace and the more value everyone derives from it.</w:t>
      </w:r>
    </w:p>
    <w:p>
      <w:pPr>
        <w:spacing w:after="160" w:line="276"/>
        <w:jc w:val="left"/>
      </w:pPr>
      <w:r>
        <w:rPr>
          <w:rFonts w:ascii="Arial" w:cs="Arial" w:eastAsia="Arial" w:hAnsi="Arial"/>
          <w:b/>
          <w:bCs/>
          <w:sz w:val="22"/>
          <w:szCs w:val="22"/>
        </w:rPr>
        <w:t xml:space="preserve">Fourth, capacity transfer. </w:t>
      </w:r>
      <w:r>
        <w:rPr>
          <w:rFonts w:ascii="Arial" w:cs="Arial" w:eastAsia="Arial" w:hAnsi="Arial"/>
          <w:sz w:val="22"/>
          <w:szCs w:val="22"/>
        </w:rPr>
        <w:t xml:space="preserve">The partner builds trust and long-term positioning by genuinely investing in the capacity of SADC, SHOC, and NDMA staff. When SADC analysts can independently run scenarios and configure triggers—because the partner trained them well and built an intuitive system—the partner is seen as a force multiplier rather than a dependency. This earns repeat engagement and expansion to new geographies and use cases.</w:t>
      </w:r>
    </w:p>
    <w:p>
      <w:pPr>
        <w:spacing w:after="160" w:line="276"/>
        <w:jc w:val="left"/>
      </w:pPr>
      <w:r>
        <w:rPr>
          <w:rFonts w:ascii="Arial" w:cs="Arial" w:eastAsia="Arial" w:hAnsi="Arial"/>
          <w:sz w:val="22"/>
          <w:szCs w:val="22"/>
        </w:rPr>
      </w:r>
    </w:p>
    <w:p>
      <w:pPr>
        <w:spacing w:after="80"/>
      </w:pPr>
    </w:p>
    <w:p>
      <w:pPr>
        <w:spacing w:before="600" w:after="200"/>
        <w:jc w:val="center"/>
      </w:pPr>
      <w:r>
        <w:rPr>
          <w:rFonts w:ascii="Arial" w:cs="Arial" w:eastAsia="Arial" w:hAnsi="Arial"/>
          <w:i/>
          <w:iCs/>
          <w:color w:val="5D6D7E"/>
          <w:sz w:val="24"/>
          <w:szCs w:val="24"/>
        </w:rPr>
        <w:t xml:space="preserve">— End of Concept Note —</w:t>
      </w:r>
    </w:p>
    <w:p>
      <w:pPr>
        <w:spacing w:after="100"/>
        <w:jc w:val="center"/>
      </w:pPr>
      <w:r>
        <w:rPr>
          <w:rFonts w:ascii="Arial" w:cs="Arial" w:eastAsia="Arial" w:hAnsi="Arial"/>
          <w:color w:val="999999"/>
          <w:sz w:val="20"/>
          <w:szCs w:val="20"/>
        </w:rPr>
        <w:t xml:space="preserve">This document is intended for discussion among SADC DRR partners.</w:t>
      </w:r>
    </w:p>
    <w:p>
      <w:pPr>
        <w:spacing w:after="100"/>
        <w:jc w:val="center"/>
      </w:pPr>
      <w:r>
        <w:rPr>
          <w:rFonts w:ascii="Arial" w:cs="Arial" w:eastAsia="Arial" w:hAnsi="Arial"/>
          <w:color w:val="999999"/>
          <w:sz w:val="20"/>
          <w:szCs w:val="20"/>
        </w:rPr>
        <w:t xml:space="preserve">Version 1.0 —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SADC Impact Risk Studio (SIRS) —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2026-02-10T09:47:08.811Z</dcterms:created>
  <dcterms:modified xsi:type="dcterms:W3CDTF">2026-02-10T09:47:08.812Z</dcterms:modified>
</cp:coreProperties>
</file>

<file path=docProps/custom.xml><?xml version="1.0" encoding="utf-8"?>
<Properties xmlns="http://schemas.openxmlformats.org/officeDocument/2006/custom-properties" xmlns:vt="http://schemas.openxmlformats.org/officeDocument/2006/docPropsVTypes"/>
</file>