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D2E" w:val="clear"/>
            <w:tcMar>
              <w:top w:type="dxa" w:w="280"/>
              <w:left w:type="dxa" w:w="360"/>
              <w:bottom w:type="dxa" w:w="280"/>
              <w:right w:type="dxa" w:w="360"/>
            </w:tcMar>
          </w:tcPr>
          <w:p>
            <w:pPr>
              <w:spacing w:before="0" w:after="60"/>
              <w:jc w:val="center"/>
            </w:pPr>
            <w:r>
              <w:rPr>
                <w:rFonts w:ascii="Arial" w:cs="Arial" w:eastAsia="Arial" w:hAnsi="Arial"/>
                <w:i/>
                <w:iCs/>
                <w:color w:val="AADDBB"/>
                <w:sz w:val="20"/>
                <w:szCs w:val="20"/>
              </w:rPr>
              <w:t xml:space="preserve">Research &amp; Restoration Partnership</w:t>
            </w:r>
          </w:p>
          <w:p>
            <w:pPr>
              <w:spacing w:before="0" w:after="80"/>
              <w:jc w:val="center"/>
            </w:pPr>
            <w:r>
              <w:rPr>
                <w:rFonts w:ascii="Arial" w:cs="Arial" w:eastAsia="Arial" w:hAnsi="Arial"/>
                <w:b/>
                <w:bCs/>
                <w:color w:val="FFFFFF"/>
                <w:sz w:val="38"/>
                <w:szCs w:val="38"/>
              </w:rPr>
              <w:t xml:space="preserve">Landscape Health Intelligence Dashboard</w:t>
            </w:r>
          </w:p>
          <w:p>
            <w:pPr>
              <w:spacing w:before="0" w:after="80"/>
              <w:jc w:val="center"/>
            </w:pPr>
            <w:r>
              <w:rPr>
                <w:rFonts w:ascii="Arial" w:cs="Arial" w:eastAsia="Arial" w:hAnsi="Arial"/>
                <w:color w:val="CCEECC"/>
                <w:sz w:val="22"/>
                <w:szCs w:val="22"/>
              </w:rPr>
              <w:t xml:space="preserve">Six Rivers Africa  ×  Ernest Moyo / 7Square Inc.</w:t>
            </w:r>
          </w:p>
          <w:p>
            <w:pPr>
              <w:spacing w:before="0" w:after="0"/>
              <w:jc w:val="center"/>
            </w:pPr>
            <w:r>
              <w:rPr>
                <w:rFonts w:ascii="Arial" w:cs="Arial" w:eastAsia="Arial" w:hAnsi="Arial"/>
                <w:i/>
                <w:iCs/>
                <w:color w:val="AAAAAA"/>
                <w:sz w:val="18"/>
                <w:szCs w:val="18"/>
              </w:rPr>
              <w:t xml:space="preserve">Project Specification &amp; Geospatial Framework  |  February 2026  |  Preliminary — Not for Distribution</w:t>
            </w:r>
          </w:p>
        </w:tc>
      </w:tr>
    </w:tbl>
    <w:p>
      <w:pPr>
        <w:spacing w:before="300" w:after="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0D9" w:val="clear"/>
            <w:tcMar>
              <w:top w:type="dxa" w:w="160"/>
              <w:left w:type="dxa" w:w="240"/>
              <w:bottom w:type="dxa" w:w="160"/>
              <w:right w:type="dxa" w:w="240"/>
            </w:tcMar>
          </w:tcPr>
          <w:p>
            <w:pPr>
              <w:spacing w:before="0" w:after="100"/>
            </w:pPr>
            <w:r>
              <w:rPr>
                <w:rFonts w:ascii="Arial" w:cs="Arial" w:eastAsia="Arial" w:hAnsi="Arial"/>
                <w:b/>
                <w:bCs/>
                <w:color w:val="8B5E00"/>
                <w:sz w:val="24"/>
                <w:szCs w:val="24"/>
              </w:rPr>
              <w:t xml:space="preserve">Executive Summary</w:t>
            </w:r>
          </w:p>
          <w:p>
            <w:pPr>
              <w:spacing w:before="60" w:after="80"/>
            </w:pPr>
            <w:r>
              <w:rPr>
                <w:rFonts w:ascii="Arial" w:cs="Arial" w:eastAsia="Arial" w:hAnsi="Arial"/>
                <w:color w:val="1C1C1C"/>
                <w:sz w:val="22"/>
                <w:szCs w:val="22"/>
              </w:rPr>
              <w:t xml:space="preserve">This document specifies the technical framework for a geospatial Landscape Health Intelligence Dashboard covering Six Rivers Africa's two operational zones in southern Tanzania — the Usangu Game Reserve / Ihefu Wetland and the Nyerere National Park (Selous ecosystem). It is framed explicitly within Six Rivers Africa's Research &amp; Restoration pillar, providing the scientific evidence base needed to guide conservation decisions, measure ecosystem health over time, and communicate impact to stakeholders and funders.</w:t>
            </w:r>
          </w:p>
          <w:p>
            <w:pPr>
              <w:spacing w:before="60" w:after="80"/>
            </w:pPr>
            <w:r>
              <w:rPr>
                <w:rFonts w:ascii="Arial" w:cs="Arial" w:eastAsia="Arial" w:hAnsi="Arial"/>
                <w:color w:val="1C1C1C"/>
                <w:sz w:val="22"/>
                <w:szCs w:val="22"/>
              </w:rPr>
              <w:t xml:space="preserve">The proposal integrates shapefile demarcation, satellite-derived environmental indicators, and AI-assisted analysis and reporting. A companion Claude AI prompt is provided as a standalone analytical instrument to operationalise the work.</w:t>
            </w:r>
          </w:p>
        </w:tc>
      </w:tr>
    </w:tbl>
    <w:p>
      <w:pPr>
        <w:spacing w:before="240" w:after="0"/>
      </w:pPr>
      <w:r>
        <w:rPr>
          <w:rFonts w:ascii="Arial" w:cs="Arial" w:eastAsia="Arial" w:hAnsi="Arial"/>
          <w:color w:val="1C1C1C"/>
          <w:sz w:val="22"/>
          <w:szCs w:val="22"/>
        </w:rP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400" w:sz="8"/>
              <w:left w:val="single" w:color="CC4400" w:sz="8"/>
              <w:bottom w:val="single" w:color="CC4400" w:sz="8"/>
              <w:right w:val="single" w:color="CC4400" w:sz="8"/>
            </w:tcBorders>
            <w:shd w:fill="FFF0E0" w:val="clear"/>
            <w:tcMar>
              <w:top w:type="dxa" w:w="160"/>
              <w:left w:type="dxa" w:w="240"/>
              <w:bottom w:type="dxa" w:w="160"/>
              <w:right w:type="dxa" w:w="240"/>
            </w:tcMar>
          </w:tcPr>
          <w:p>
            <w:pPr>
              <w:spacing w:before="0" w:after="100"/>
            </w:pPr>
            <w:r>
              <w:rPr>
                <w:rFonts w:ascii="Arial" w:cs="Arial" w:eastAsia="Arial" w:hAnsi="Arial"/>
                <w:b/>
                <w:bCs/>
                <w:color w:val="CC4400"/>
                <w:sz w:val="24"/>
                <w:szCs w:val="24"/>
              </w:rPr>
              <w:t xml:space="preserve">⚠  Spatial Assumptions &amp; Placeholder Boundary Notice</w:t>
            </w:r>
          </w:p>
          <w:p>
            <w:pPr>
              <w:spacing w:before="60" w:after="80"/>
            </w:pPr>
            <w:r>
              <w:rPr>
                <w:rFonts w:ascii="Arial" w:cs="Arial" w:eastAsia="Arial" w:hAnsi="Arial"/>
                <w:color w:val="1C1C1C"/>
                <w:sz w:val="22"/>
                <w:szCs w:val="22"/>
              </w:rPr>
              <w:t xml:space="preserve">The maps and zone boundary coordinates included in this document are INDICATIVE PLACEHOLDERS only. They have been constructed from:</w:t>
            </w:r>
          </w:p>
          <w:p>
            <w:pPr>
              <w:pStyle w:val="ListParagraph"/>
              <w:numPr>
                <w:ilvl w:val="0"/>
                <w:numId w:val="2"/>
              </w:numPr>
              <w:spacing w:before="50" w:after="50"/>
            </w:pPr>
            <w:r>
              <w:rPr>
                <w:rFonts w:ascii="Arial" w:cs="Arial" w:eastAsia="Arial" w:hAnsi="Arial"/>
                <w:color w:val="1C1C1C"/>
                <w:sz w:val="22"/>
                <w:szCs w:val="22"/>
              </w:rPr>
              <w:t xml:space="preserve">Publicly available published descriptions of Usangu Game Reserve, Ihefu Wetland, and Nyerere National Park</w:t>
            </w:r>
          </w:p>
          <w:p>
            <w:pPr>
              <w:pStyle w:val="ListParagraph"/>
              <w:numPr>
                <w:ilvl w:val="0"/>
                <w:numId w:val="2"/>
              </w:numPr>
              <w:spacing w:before="50" w:after="50"/>
            </w:pPr>
            <w:r>
              <w:rPr>
                <w:rFonts w:ascii="Arial" w:cs="Arial" w:eastAsia="Arial" w:hAnsi="Arial"/>
                <w:color w:val="1C1C1C"/>
                <w:sz w:val="22"/>
                <w:szCs w:val="22"/>
              </w:rPr>
              <w:t xml:space="preserve">WDPA (Protected Planet) database records and conservation literature available in the public domain</w:t>
            </w:r>
          </w:p>
          <w:p>
            <w:pPr>
              <w:pStyle w:val="ListParagraph"/>
              <w:numPr>
                <w:ilvl w:val="0"/>
                <w:numId w:val="2"/>
              </w:numPr>
              <w:spacing w:before="50" w:after="50"/>
            </w:pPr>
            <w:r>
              <w:rPr>
                <w:rFonts w:ascii="Arial" w:cs="Arial" w:eastAsia="Arial" w:hAnsi="Arial"/>
                <w:color w:val="1C1C1C"/>
                <w:sz w:val="22"/>
                <w:szCs w:val="22"/>
              </w:rPr>
              <w:t xml:space="preserve">Press coverage of Six Rivers Africa operations (including references to the Ikoga airstrip location)</w:t>
            </w:r>
          </w:p>
          <w:p>
            <w:pPr>
              <w:pStyle w:val="ListParagraph"/>
              <w:numPr>
                <w:ilvl w:val="0"/>
                <w:numId w:val="2"/>
              </w:numPr>
              <w:spacing w:before="50" w:after="50"/>
            </w:pPr>
            <w:r>
              <w:rPr>
                <w:rFonts w:ascii="Arial" w:cs="Arial" w:eastAsia="Arial" w:hAnsi="Arial"/>
                <w:color w:val="1C1C1C"/>
                <w:sz w:val="22"/>
                <w:szCs w:val="22"/>
              </w:rPr>
              <w:t xml:space="preserve">General geographic knowledge of protected area locations in southern and western Tanzania</w:t>
            </w:r>
          </w:p>
          <w:p>
            <w:pPr>
              <w:spacing w:before="80" w:after="0"/>
            </w:pPr>
            <w:r>
              <w:rPr>
                <w:rFonts w:ascii="Arial" w:cs="Arial" w:eastAsia="Arial" w:hAnsi="Arial"/>
                <w:color w:val="1C1C1C"/>
                <w:sz w:val="22"/>
                <w:szCs w:val="22"/>
              </w:rPr>
              <w:t xml:space="preserve"/>
            </w:r>
          </w:p>
          <w:p>
            <w:pPr>
              <w:spacing w:before="60" w:after="80"/>
            </w:pPr>
            <w:r>
              <w:rPr>
                <w:rFonts w:ascii="Arial" w:cs="Arial" w:eastAsia="Arial" w:hAnsi="Arial"/>
                <w:color w:val="1C1C1C"/>
                <w:sz w:val="22"/>
                <w:szCs w:val="22"/>
              </w:rPr>
              <w:t xml:space="preserve">These boundaries have NOT been verified against:</w:t>
            </w:r>
          </w:p>
          <w:p>
            <w:pPr>
              <w:pStyle w:val="ListParagraph"/>
              <w:numPr>
                <w:ilvl w:val="0"/>
                <w:numId w:val="2"/>
              </w:numPr>
              <w:spacing w:before="50" w:after="50"/>
            </w:pPr>
            <w:r>
              <w:rPr>
                <w:rFonts w:ascii="Arial" w:cs="Arial" w:eastAsia="Arial" w:hAnsi="Arial"/>
                <w:color w:val="1C1C1C"/>
                <w:sz w:val="22"/>
                <w:szCs w:val="22"/>
              </w:rPr>
              <w:t xml:space="preserve">Authoritative shapefiles from TANAPA, TAWA, or Six Rivers Africa’s own operational GIS</w:t>
            </w:r>
          </w:p>
          <w:p>
            <w:pPr>
              <w:pStyle w:val="ListParagraph"/>
              <w:numPr>
                <w:ilvl w:val="0"/>
                <w:numId w:val="2"/>
              </w:numPr>
              <w:spacing w:before="50" w:after="50"/>
            </w:pPr>
            <w:r>
              <w:rPr>
                <w:rFonts w:ascii="Arial" w:cs="Arial" w:eastAsia="Arial" w:hAnsi="Arial"/>
                <w:color w:val="1C1C1C"/>
                <w:sz w:val="22"/>
                <w:szCs w:val="22"/>
              </w:rPr>
              <w:t xml:space="preserve">Ground-truthed GPS surveys or official protected area demarcations</w:t>
            </w:r>
          </w:p>
          <w:p>
            <w:pPr>
              <w:pStyle w:val="ListParagraph"/>
              <w:numPr>
                <w:ilvl w:val="0"/>
                <w:numId w:val="2"/>
              </w:numPr>
              <w:spacing w:before="50" w:after="50"/>
            </w:pPr>
            <w:r>
              <w:rPr>
                <w:rFonts w:ascii="Arial" w:cs="Arial" w:eastAsia="Arial" w:hAnsi="Arial"/>
                <w:color w:val="1C1C1C"/>
                <w:sz w:val="22"/>
                <w:szCs w:val="22"/>
              </w:rPr>
              <w:t xml:space="preserve">The WDPA digital boundary files (which require a separate download)</w:t>
            </w:r>
          </w:p>
          <w:p>
            <w:pPr>
              <w:spacing w:before="80" w:after="0"/>
            </w:pPr>
            <w:r>
              <w:rPr>
                <w:rFonts w:ascii="Arial" w:cs="Arial" w:eastAsia="Arial" w:hAnsi="Arial"/>
                <w:color w:val="1C1C1C"/>
                <w:sz w:val="22"/>
                <w:szCs w:val="22"/>
              </w:rPr>
              <w:t xml:space="preserve"/>
            </w:r>
          </w:p>
          <w:p>
            <w:pPr>
              <w:spacing w:before="0" w:after="0"/>
            </w:pPr>
            <w:r>
              <w:rPr>
                <w:rFonts w:ascii="Arial" w:cs="Arial" w:eastAsia="Arial" w:hAnsi="Arial"/>
                <w:b/>
                <w:bCs/>
                <w:color w:val="CC4400"/>
                <w:sz w:val="22"/>
                <w:szCs w:val="22"/>
              </w:rPr>
              <w:t xml:space="preserve">Action required: </w:t>
            </w:r>
            <w:r>
              <w:rPr>
                <w:rFonts w:ascii="Arial" w:cs="Arial" w:eastAsia="Arial" w:hAnsi="Arial"/>
                <w:color w:val="8B3A00"/>
                <w:sz w:val="22"/>
                <w:szCs w:val="22"/>
              </w:rPr>
              <w:t xml:space="preserve">Once Six Rivers Africa shares their operational boundary coordinates or shapefiles, all maps, zonal statistics, and alert thresholds in this document and the companion Claude prompt will be updated to reflect verified demarcations. This is the first task in Phase 1 of the project (Month 1). Until then, all spatial outputs should be treated as directionally correct but not survey-accurate.</w:t>
            </w:r>
          </w:p>
        </w:tc>
      </w:tr>
    </w:tbl>
    <w:p>
      <w:pPr>
        <w:pStyle w:val="Heading1"/>
        <w:pBdr>
          <w:bottom w:val="single" w:color="4A8C5C" w:sz="8" w:space="4"/>
        </w:pBdr>
        <w:spacing w:before="360" w:after="120"/>
      </w:pPr>
      <w:r>
        <w:rPr>
          <w:rFonts w:ascii="Arial" w:cs="Arial" w:eastAsia="Arial" w:hAnsi="Arial"/>
          <w:b/>
          <w:bCs/>
          <w:color w:val="1A4D2E"/>
          <w:sz w:val="28"/>
          <w:szCs w:val="28"/>
        </w:rPr>
        <w:t xml:space="preserve">1.  Strategic Alignment with Six Rivers Africa</w:t>
      </w:r>
    </w:p>
    <w:p>
      <w:pPr>
        <w:pStyle w:val="Heading2"/>
        <w:spacing w:before="240" w:after="80"/>
      </w:pPr>
      <w:r>
        <w:rPr>
          <w:rFonts w:ascii="Arial" w:cs="Arial" w:eastAsia="Arial" w:hAnsi="Arial"/>
          <w:b/>
          <w:bCs/>
          <w:color w:val="4A8C5C"/>
          <w:sz w:val="24"/>
          <w:szCs w:val="24"/>
        </w:rPr>
        <w:t xml:space="preserve">1.1  Research &amp; Restoration Pillar</w:t>
      </w:r>
    </w:p>
    <w:p>
      <w:pPr>
        <w:spacing w:before="60" w:after="80"/>
      </w:pPr>
      <w:r>
        <w:rPr>
          <w:rFonts w:ascii="Arial" w:cs="Arial" w:eastAsia="Arial" w:hAnsi="Arial"/>
          <w:color w:val="1C1C1C"/>
          <w:sz w:val="22"/>
          <w:szCs w:val="22"/>
        </w:rPr>
        <w:t xml:space="preserve">Six Rivers Africa's Research &amp; Restoration pillar is centred on enhancing public awareness and accessibility to wildlife population dynamics and biodiversity auditing data, to inform decision-making. The Landscape Health Intelligence Dashboard operationalises this pillar by providing a systematic, reproducible, and transparent evidence platform — converting raw satellite and field data into decision-ready intelligence for conservation managers, local authorities, and international funders.</w:t>
      </w:r>
    </w:p>
    <w:p>
      <w:pPr>
        <w:spacing w:before="100" w:after="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D8" w:val="clear"/>
            <w:tcMar>
              <w:top w:type="dxa" w:w="80"/>
              <w:left w:type="dxa" w:w="160"/>
              <w:bottom w:type="dxa" w:w="80"/>
              <w:right w:type="dxa" w:w="160"/>
            </w:tcMar>
          </w:tcPr>
          <w:p>
            <w:r>
              <w:rPr>
                <w:rFonts w:ascii="Arial" w:cs="Arial" w:eastAsia="Arial" w:hAnsi="Arial"/>
                <w:color w:val="1C1C1C"/>
                <w:sz w:val="22"/>
                <w:szCs w:val="22"/>
              </w:rPr>
              <w:t xml:space="preserve"/>
            </w:r>
          </w:p>
          <w:p>
            <w:pPr>
              <w:spacing w:before="0" w:after="60"/>
            </w:pPr>
            <w:r>
              <w:rPr>
                <w:rFonts w:ascii="Arial" w:cs="Arial" w:eastAsia="Arial" w:hAnsi="Arial"/>
                <w:b/>
                <w:bCs/>
                <w:color w:val="1A4D2E"/>
                <w:sz w:val="20"/>
                <w:szCs w:val="20"/>
              </w:rPr>
              <w:t xml:space="preserve">Six Rivers Africa states:</w:t>
            </w:r>
          </w:p>
          <w:p>
            <w:pPr>
              <w:spacing w:before="0" w:after="60"/>
            </w:pPr>
            <w:r>
              <w:rPr>
                <w:rFonts w:ascii="Arial" w:cs="Arial" w:eastAsia="Arial" w:hAnsi="Arial"/>
                <w:i/>
                <w:iCs/>
                <w:color w:val="1A4D2E"/>
                <w:sz w:val="20"/>
                <w:szCs w:val="20"/>
              </w:rPr>
              <w:t xml:space="preserve">“Enhancing public awareness and accessibility to wildlife population dynamics and biodiversity auditing data, to inform decision-making.”</w:t>
            </w:r>
          </w:p>
        </w:tc>
        <w:tc>
          <w:tcPr>
            <w:tcW w:type="dxa" w:w="4680"/>
            <w:tcBorders>
              <w:top w:val="single" w:color="CCCCCC" w:sz="1"/>
              <w:left w:val="single" w:color="CCCCCC" w:sz="1"/>
              <w:bottom w:val="single" w:color="CCCCCC" w:sz="1"/>
              <w:right w:val="single" w:color="CCCCCC" w:sz="1"/>
            </w:tcBorders>
            <w:shd w:fill="FBF0D9" w:val="clear"/>
            <w:tcMar>
              <w:top w:type="dxa" w:w="80"/>
              <w:left w:type="dxa" w:w="160"/>
              <w:bottom w:type="dxa" w:w="80"/>
              <w:right w:type="dxa" w:w="160"/>
            </w:tcMar>
          </w:tcPr>
          <w:p>
            <w:r>
              <w:rPr>
                <w:rFonts w:ascii="Arial" w:cs="Arial" w:eastAsia="Arial" w:hAnsi="Arial"/>
                <w:color w:val="1C1C1C"/>
                <w:sz w:val="22"/>
                <w:szCs w:val="22"/>
              </w:rPr>
              <w:t xml:space="preserve"/>
            </w:r>
          </w:p>
          <w:p>
            <w:pPr>
              <w:spacing w:before="0" w:after="60"/>
            </w:pPr>
            <w:r>
              <w:rPr>
                <w:rFonts w:ascii="Arial" w:cs="Arial" w:eastAsia="Arial" w:hAnsi="Arial"/>
                <w:b/>
                <w:bCs/>
                <w:color w:val="8B5E00"/>
                <w:sz w:val="20"/>
                <w:szCs w:val="20"/>
              </w:rPr>
              <w:t xml:space="preserve">This dashboard delivers:</w:t>
            </w:r>
          </w:p>
          <w:p>
            <w:pPr>
              <w:pStyle w:val="ListParagraph"/>
              <w:numPr>
                <w:ilvl w:val="0"/>
                <w:numId w:val="2"/>
              </w:numPr>
              <w:spacing w:before="40" w:after="40"/>
            </w:pPr>
            <w:r>
              <w:rPr>
                <w:rFonts w:ascii="Arial" w:cs="Arial" w:eastAsia="Arial" w:hAnsi="Arial"/>
                <w:color w:val="1C1C1C"/>
                <w:sz w:val="20"/>
                <w:szCs w:val="20"/>
              </w:rPr>
              <w:t xml:space="preserve">Continuous, accessible biodiversity &amp; landscape data</w:t>
            </w:r>
          </w:p>
          <w:p>
            <w:pPr>
              <w:pStyle w:val="ListParagraph"/>
              <w:numPr>
                <w:ilvl w:val="0"/>
                <w:numId w:val="2"/>
              </w:numPr>
              <w:spacing w:before="40" w:after="40"/>
            </w:pPr>
            <w:r>
              <w:rPr>
                <w:rFonts w:ascii="Arial" w:cs="Arial" w:eastAsia="Arial" w:hAnsi="Arial"/>
                <w:color w:val="1C1C1C"/>
                <w:sz w:val="20"/>
                <w:szCs w:val="20"/>
              </w:rPr>
              <w:t xml:space="preserve">Reproducible, auditable monitoring methodology</w:t>
            </w:r>
          </w:p>
          <w:p>
            <w:pPr>
              <w:pStyle w:val="ListParagraph"/>
              <w:numPr>
                <w:ilvl w:val="0"/>
                <w:numId w:val="2"/>
              </w:numPr>
              <w:spacing w:before="40" w:after="40"/>
            </w:pPr>
            <w:r>
              <w:rPr>
                <w:rFonts w:ascii="Arial" w:cs="Arial" w:eastAsia="Arial" w:hAnsi="Arial"/>
                <w:color w:val="1C1C1C"/>
                <w:sz w:val="20"/>
                <w:szCs w:val="20"/>
              </w:rPr>
              <w:t xml:space="preserve">Multi-stakeholder reporting (local authorities + funders)</w:t>
            </w:r>
          </w:p>
          <w:p>
            <w:pPr>
              <w:pStyle w:val="ListParagraph"/>
              <w:numPr>
                <w:ilvl w:val="0"/>
                <w:numId w:val="2"/>
              </w:numPr>
              <w:spacing w:before="40" w:after="40"/>
            </w:pPr>
            <w:r>
              <w:rPr>
                <w:rFonts w:ascii="Arial" w:cs="Arial" w:eastAsia="Arial" w:hAnsi="Arial"/>
                <w:color w:val="1C1C1C"/>
                <w:sz w:val="20"/>
                <w:szCs w:val="20"/>
              </w:rPr>
              <w:t xml:space="preserve">Evidence base to inform adaptive management decisions</w:t>
            </w:r>
          </w:p>
        </w:tc>
      </w:tr>
    </w:tbl>
    <w:p>
      <w:pPr>
        <w:spacing w:before="160" w:after="0"/>
      </w:pPr>
      <w:r>
        <w:rPr>
          <w:rFonts w:ascii="Arial" w:cs="Arial" w:eastAsia="Arial" w:hAnsi="Arial"/>
          <w:color w:val="1C1C1C"/>
          <w:sz w:val="22"/>
          <w:szCs w:val="22"/>
        </w:rPr>
        <w:t xml:space="preserve"/>
      </w:r>
    </w:p>
    <w:p>
      <w:pPr>
        <w:pStyle w:val="Heading2"/>
        <w:spacing w:before="240" w:after="80"/>
      </w:pPr>
      <w:r>
        <w:rPr>
          <w:rFonts w:ascii="Arial" w:cs="Arial" w:eastAsia="Arial" w:hAnsi="Arial"/>
          <w:b/>
          <w:bCs/>
          <w:color w:val="4A8C5C"/>
          <w:sz w:val="24"/>
          <w:szCs w:val="24"/>
        </w:rPr>
        <w:t xml:space="preserve">1.2  Tanzanian-Led, Data-Driven Model</w:t>
      </w:r>
    </w:p>
    <w:p>
      <w:pPr>
        <w:spacing w:before="60" w:after="80"/>
      </w:pPr>
      <w:r>
        <w:rPr>
          <w:rFonts w:ascii="Arial" w:cs="Arial" w:eastAsia="Arial" w:hAnsi="Arial"/>
          <w:color w:val="1C1C1C"/>
          <w:sz w:val="22"/>
          <w:szCs w:val="22"/>
        </w:rPr>
        <w:t xml:space="preserve">The dashboard is designed to be operated and interpreted by Tanzanian conservation professionals, with outputs structured for presentation to local government authorities (district councils, TANAPA, TAWA) and community leaders. Data pipelines will be documented and transferable, ensuring institutional independence from external technical partners over time.</w:t>
      </w:r>
    </w:p>
    <w:p>
      <w:pPr>
        <w:spacing w:before="240" w:after="0"/>
      </w:pPr>
      <w:r>
        <w:rPr>
          <w:rFonts w:ascii="Arial" w:cs="Arial" w:eastAsia="Arial" w:hAnsi="Arial"/>
          <w:color w:val="1C1C1C"/>
          <w:sz w:val="22"/>
          <w:szCs w:val="22"/>
        </w:rPr>
        <w:t xml:space="preserve"/>
      </w:r>
    </w:p>
    <w:p>
      <w:r>
        <w:br/>
      </w:r>
    </w:p>
    <w:p>
      <w:pPr>
        <w:pStyle w:val="Heading1"/>
        <w:pBdr>
          <w:bottom w:val="single" w:color="4A8C5C" w:sz="8" w:space="4"/>
        </w:pBdr>
        <w:spacing w:before="360" w:after="120"/>
      </w:pPr>
      <w:r>
        <w:rPr>
          <w:rFonts w:ascii="Arial" w:cs="Arial" w:eastAsia="Arial" w:hAnsi="Arial"/>
          <w:b/>
          <w:bCs/>
          <w:color w:val="1A4D2E"/>
          <w:sz w:val="28"/>
          <w:szCs w:val="28"/>
        </w:rPr>
        <w:t xml:space="preserve">2.  Operational Zones &amp; Spatial Demarcation</w:t>
      </w:r>
    </w:p>
    <w:p>
      <w:pPr>
        <w:pStyle w:val="Heading2"/>
        <w:spacing w:before="240" w:after="80"/>
      </w:pPr>
      <w:r>
        <w:rPr>
          <w:rFonts w:ascii="Arial" w:cs="Arial" w:eastAsia="Arial" w:hAnsi="Arial"/>
          <w:b/>
          <w:bCs/>
          <w:color w:val="4A8C5C"/>
          <w:sz w:val="24"/>
          <w:szCs w:val="24"/>
        </w:rPr>
        <w:t xml:space="preserve">2.1  Overview Map — Southern &amp; Western Tanzania</w:t>
      </w:r>
    </w:p>
    <w:p>
      <w:pPr>
        <w:spacing w:before="60" w:after="80"/>
      </w:pPr>
      <w:r>
        <w:rPr>
          <w:rFonts w:ascii="Arial" w:cs="Arial" w:eastAsia="Arial" w:hAnsi="Arial"/>
          <w:color w:val="1C1C1C"/>
          <w:sz w:val="22"/>
          <w:szCs w:val="22"/>
        </w:rPr>
        <w:t xml:space="preserve">The two operational zones below represent the primary landscapes within which Six Rivers Africa conducts its conservation work. Both zones are demarcated as GIS shapefiles (see Section 4) and serve as the spatial units for all monitoring, analysis, and reporting.</w:t>
      </w:r>
    </w:p>
    <w:p>
      <w:pPr>
        <w:spacing w:before="80" w:after="0"/>
      </w:pPr>
      <w:r>
        <w:rPr>
          <w:rFonts w:ascii="Arial" w:cs="Arial" w:eastAsia="Arial" w:hAnsi="Arial"/>
          <w:color w:val="1C1C1C"/>
          <w:sz w:val="22"/>
          <w:szCs w:val="22"/>
        </w:rPr>
        <w:t xml:space="preserve"/>
      </w:r>
    </w:p>
    <w:p>
      <w:pPr>
        <w:spacing w:before="120" w:after="120"/>
        <w:jc w:val="center"/>
      </w:pPr>
      <w:r>
        <w:drawing>
          <wp:inline distT="0" distB="0" distL="0" distR="0">
            <wp:extent cx="600000" cy="661049"/>
            <wp:effectExtent t="0" r="0" b="0" l="0"/>
            <wp:docPr id="1" name="Tanzania overview map — Six Rivers Africa operational areas" descr="Tanzania overview map — Six Rivers Africa operational areas" title="Tanzania overview map — Six Rivers Africa operational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00000" cy="661049"/>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1: Six Rivers Africa operational zones — southern &amp; western Tanzania</w:t>
      </w:r>
    </w:p>
    <w:p>
      <w:pPr>
        <w:spacing w:before="160" w:after="0"/>
      </w:pPr>
      <w:r>
        <w:rPr>
          <w:rFonts w:ascii="Arial" w:cs="Arial" w:eastAsia="Arial" w:hAnsi="Arial"/>
          <w:color w:val="1C1C1C"/>
          <w:sz w:val="22"/>
          <w:szCs w:val="22"/>
        </w:rPr>
        <w:t xml:space="preserve"/>
      </w:r>
    </w:p>
    <w:p>
      <w:pPr>
        <w:pStyle w:val="Heading2"/>
        <w:spacing w:before="240" w:after="80"/>
      </w:pPr>
      <w:r>
        <w:rPr>
          <w:rFonts w:ascii="Arial" w:cs="Arial" w:eastAsia="Arial" w:hAnsi="Arial"/>
          <w:b/>
          <w:bCs/>
          <w:color w:val="4A8C5C"/>
          <w:sz w:val="24"/>
          <w:szCs w:val="24"/>
        </w:rPr>
        <w:t xml:space="preserve">2.2  Zone 1 — Usangu Wetlands &amp; Ihefu Swamp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C1C1C"/>
                <w:sz w:val="22"/>
                <w:szCs w:val="22"/>
              </w:rPr>
              <w:t xml:space="preserve"/>
            </w:r>
          </w:p>
          <w:p>
            <w:pPr>
              <w:spacing w:before="60" w:after="60"/>
            </w:pPr>
            <w:r>
              <w:rPr>
                <w:rFonts w:ascii="Arial" w:cs="Arial" w:eastAsia="Arial" w:hAnsi="Arial"/>
                <w:b/>
                <w:bCs/>
                <w:color w:val="1A4D2E"/>
                <w:sz w:val="22"/>
                <w:szCs w:val="22"/>
              </w:rPr>
              <w:t xml:space="preserve">Full name:  </w:t>
            </w:r>
            <w:r>
              <w:rPr>
                <w:rFonts w:ascii="Arial" w:cs="Arial" w:eastAsia="Arial" w:hAnsi="Arial"/>
                <w:color w:val="1C1C1C"/>
                <w:sz w:val="22"/>
                <w:szCs w:val="22"/>
              </w:rPr>
              <w:t xml:space="preserve">Usangu Game Reserve (incorporating Ihefu Wetland)</w:t>
            </w:r>
          </w:p>
          <w:p>
            <w:pPr>
              <w:spacing w:before="60" w:after="60"/>
            </w:pPr>
            <w:r>
              <w:rPr>
                <w:rFonts w:ascii="Arial" w:cs="Arial" w:eastAsia="Arial" w:hAnsi="Arial"/>
                <w:b/>
                <w:bCs/>
                <w:color w:val="1A4D2E"/>
                <w:sz w:val="22"/>
                <w:szCs w:val="22"/>
              </w:rPr>
              <w:t xml:space="preserve">Region:  </w:t>
            </w:r>
            <w:r>
              <w:rPr>
                <w:rFonts w:ascii="Arial" w:cs="Arial" w:eastAsia="Arial" w:hAnsi="Arial"/>
                <w:color w:val="1C1C1C"/>
                <w:sz w:val="22"/>
                <w:szCs w:val="22"/>
              </w:rPr>
              <w:t xml:space="preserve">Mbeya Region, Mbarali District</w:t>
            </w:r>
          </w:p>
          <w:p>
            <w:pPr>
              <w:spacing w:before="60" w:after="60"/>
            </w:pPr>
            <w:r>
              <w:rPr>
                <w:rFonts w:ascii="Arial" w:cs="Arial" w:eastAsia="Arial" w:hAnsi="Arial"/>
                <w:b/>
                <w:bCs/>
                <w:color w:val="1A4D2E"/>
                <w:sz w:val="22"/>
                <w:szCs w:val="22"/>
              </w:rPr>
              <w:t xml:space="preserve">Approx. area:  </w:t>
            </w:r>
            <w:r>
              <w:rPr>
                <w:rFonts w:ascii="Arial" w:cs="Arial" w:eastAsia="Arial" w:hAnsi="Arial"/>
                <w:color w:val="1C1C1C"/>
                <w:sz w:val="22"/>
                <w:szCs w:val="22"/>
              </w:rPr>
              <w:t xml:space="preserve">~2,500 km² (reserve); ~350 km² (Ihefu swamp core)</w:t>
            </w:r>
          </w:p>
          <w:p>
            <w:pPr>
              <w:spacing w:before="60" w:after="60"/>
            </w:pPr>
            <w:r>
              <w:rPr>
                <w:rFonts w:ascii="Arial" w:cs="Arial" w:eastAsia="Arial" w:hAnsi="Arial"/>
                <w:b/>
                <w:bCs/>
                <w:color w:val="1A4D2E"/>
                <w:sz w:val="22"/>
                <w:szCs w:val="22"/>
              </w:rPr>
              <w:t xml:space="preserve">Ecosystem:  </w:t>
            </w:r>
            <w:r>
              <w:rPr>
                <w:rFonts w:ascii="Arial" w:cs="Arial" w:eastAsia="Arial" w:hAnsi="Arial"/>
                <w:color w:val="1C1C1C"/>
                <w:sz w:val="22"/>
                <w:szCs w:val="22"/>
              </w:rPr>
              <w:t xml:space="preserve">Seasonal floodplain wetland, miombo woodland, grassland</w:t>
            </w:r>
          </w:p>
          <w:p>
            <w:pPr>
              <w:spacing w:before="60" w:after="60"/>
            </w:pPr>
            <w:r>
              <w:rPr>
                <w:rFonts w:ascii="Arial" w:cs="Arial" w:eastAsia="Arial" w:hAnsi="Arial"/>
                <w:b/>
                <w:bCs/>
                <w:color w:val="1A4D2E"/>
                <w:sz w:val="22"/>
                <w:szCs w:val="22"/>
              </w:rPr>
              <w:t xml:space="preserve">Key rivers:  </w:t>
            </w:r>
            <w:r>
              <w:rPr>
                <w:rFonts w:ascii="Arial" w:cs="Arial" w:eastAsia="Arial" w:hAnsi="Arial"/>
                <w:color w:val="1C1C1C"/>
                <w:sz w:val="22"/>
                <w:szCs w:val="22"/>
              </w:rPr>
              <w:t xml:space="preserve">Great Ruaha River, Chimala River</w:t>
            </w:r>
          </w:p>
          <w:p>
            <w:pPr>
              <w:spacing w:before="60" w:after="60"/>
            </w:pPr>
            <w:r>
              <w:rPr>
                <w:rFonts w:ascii="Arial" w:cs="Arial" w:eastAsia="Arial" w:hAnsi="Arial"/>
                <w:b/>
                <w:bCs/>
                <w:color w:val="1A4D2E"/>
                <w:sz w:val="22"/>
                <w:szCs w:val="22"/>
              </w:rPr>
              <w:t xml:space="preserve">Key species:  </w:t>
            </w:r>
            <w:r>
              <w:rPr>
                <w:rFonts w:ascii="Arial" w:cs="Arial" w:eastAsia="Arial" w:hAnsi="Arial"/>
                <w:color w:val="1C1C1C"/>
                <w:sz w:val="22"/>
                <w:szCs w:val="22"/>
              </w:rPr>
              <w:t xml:space="preserve">Elephant, buffalo, hippopotamus, wild dog, lion, tigerfish</w:t>
            </w:r>
          </w:p>
          <w:p>
            <w:pPr>
              <w:spacing w:before="60" w:after="60"/>
            </w:pPr>
            <w:r>
              <w:rPr>
                <w:rFonts w:ascii="Arial" w:cs="Arial" w:eastAsia="Arial" w:hAnsi="Arial"/>
                <w:b/>
                <w:bCs/>
                <w:color w:val="1A4D2E"/>
                <w:sz w:val="22"/>
                <w:szCs w:val="22"/>
              </w:rPr>
              <w:t xml:space="preserve">Status:  </w:t>
            </w:r>
            <w:r>
              <w:rPr>
                <w:rFonts w:ascii="Arial" w:cs="Arial" w:eastAsia="Arial" w:hAnsi="Arial"/>
                <w:color w:val="1C1C1C"/>
                <w:sz w:val="22"/>
                <w:szCs w:val="22"/>
              </w:rPr>
              <w:t xml:space="preserve">Game Reserve — managed by TAWA</w:t>
            </w:r>
          </w:p>
        </w:tc>
        <w:tc>
          <w:tcPr>
            <w:tcW w:type="dxa" w:w="46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C1C1C"/>
                <w:sz w:val="22"/>
                <w:szCs w:val="22"/>
              </w:rPr>
              <w:t xml:space="preserve"/>
            </w:r>
          </w:p>
          <w:p>
            <w:pPr>
              <w:spacing w:before="60" w:after="60"/>
            </w:pPr>
            <w:r>
              <w:rPr>
                <w:rFonts w:ascii="Arial" w:cs="Arial" w:eastAsia="Arial" w:hAnsi="Arial"/>
                <w:b/>
                <w:bCs/>
                <w:color w:val="1A4D2E"/>
                <w:sz w:val="22"/>
                <w:szCs w:val="22"/>
              </w:rPr>
              <w:t xml:space="preserve">Six Rivers base:  </w:t>
            </w:r>
            <w:r>
              <w:rPr>
                <w:rFonts w:ascii="Arial" w:cs="Arial" w:eastAsia="Arial" w:hAnsi="Arial"/>
                <w:color w:val="1C1C1C"/>
                <w:sz w:val="22"/>
                <w:szCs w:val="22"/>
              </w:rPr>
              <w:t xml:space="preserve">Ikoga Airstrip (operational hub)</w:t>
            </w:r>
          </w:p>
          <w:p>
            <w:pPr>
              <w:spacing w:before="60" w:after="60"/>
            </w:pPr>
            <w:r>
              <w:rPr>
                <w:rFonts w:ascii="Arial" w:cs="Arial" w:eastAsia="Arial" w:hAnsi="Arial"/>
                <w:b/>
                <w:bCs/>
                <w:color w:val="1A4D2E"/>
                <w:sz w:val="22"/>
                <w:szCs w:val="22"/>
              </w:rPr>
              <w:t xml:space="preserve">Primary threats:  </w:t>
            </w:r>
            <w:r>
              <w:rPr>
                <w:rFonts w:ascii="Arial" w:cs="Arial" w:eastAsia="Arial" w:hAnsi="Arial"/>
                <w:color w:val="1C1C1C"/>
                <w:sz w:val="22"/>
                <w:szCs w:val="22"/>
              </w:rPr>
              <w:t xml:space="preserve">Agricultural encroachment, seasonal water abstraction</w:t>
            </w:r>
          </w:p>
          <w:p>
            <w:pPr>
              <w:spacing w:before="60" w:after="60"/>
            </w:pPr>
            <w:r>
              <w:rPr>
                <w:rFonts w:ascii="Arial" w:cs="Arial" w:eastAsia="Arial" w:hAnsi="Arial"/>
                <w:b/>
                <w:bCs/>
                <w:color w:val="1A4D2E"/>
                <w:sz w:val="22"/>
                <w:szCs w:val="22"/>
              </w:rPr>
              <w:t xml:space="preserve">WDPA ID:  </w:t>
            </w:r>
            <w:r>
              <w:rPr>
                <w:rFonts w:ascii="Arial" w:cs="Arial" w:eastAsia="Arial" w:hAnsi="Arial"/>
                <w:color w:val="1C1C1C"/>
                <w:sz w:val="22"/>
                <w:szCs w:val="22"/>
              </w:rPr>
              <w:t xml:space="preserve">WDPA 20021 (Usangu GR)</w:t>
            </w:r>
          </w:p>
          <w:p>
            <w:pPr>
              <w:spacing w:before="60" w:after="60"/>
            </w:pPr>
            <w:r>
              <w:rPr>
                <w:rFonts w:ascii="Arial" w:cs="Arial" w:eastAsia="Arial" w:hAnsi="Arial"/>
                <w:b/>
                <w:bCs/>
                <w:color w:val="1A4D2E"/>
                <w:sz w:val="22"/>
                <w:szCs w:val="22"/>
              </w:rPr>
              <w:t xml:space="preserve">Shapefile ref:  </w:t>
            </w:r>
            <w:r>
              <w:rPr>
                <w:rFonts w:ascii="Arial" w:cs="Arial" w:eastAsia="Arial" w:hAnsi="Arial"/>
                <w:color w:val="1C1C1C"/>
                <w:sz w:val="22"/>
                <w:szCs w:val="22"/>
              </w:rPr>
              <w:t xml:space="preserve">usangu_game_reserve.shp + ihefu_swamp_core.shp</w:t>
            </w:r>
          </w:p>
        </w:tc>
      </w:tr>
    </w:tbl>
    <w:p>
      <w:pPr>
        <w:spacing w:before="120" w:after="0"/>
      </w:pPr>
      <w:r>
        <w:rPr>
          <w:rFonts w:ascii="Arial" w:cs="Arial" w:eastAsia="Arial" w:hAnsi="Arial"/>
          <w:color w:val="1C1C1C"/>
          <w:sz w:val="22"/>
          <w:szCs w:val="22"/>
        </w:rPr>
        <w:t xml:space="preserve"/>
      </w:r>
    </w:p>
    <w:p>
      <w:pPr>
        <w:spacing w:before="120" w:after="120"/>
        <w:jc w:val="center"/>
      </w:pPr>
      <w:r>
        <w:drawing>
          <wp:inline distT="0" distB="0" distL="0" distR="0">
            <wp:extent cx="600000" cy="529257"/>
            <wp:effectExtent t="0" r="0" b="0" l="0"/>
            <wp:docPr id="1" name="Usangu Wetlands and Ihefu Swamp close-up map" descr="Usangu Wetlands and Ihefu Swamp close-up map" title="Usangu Wetlands and Ihefu Swamp close-up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00" cy="529257"/>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2: Zone 1 — Usangu Game Reserve and Ihefu Swamp Core, Mbeya Region</w:t>
      </w:r>
    </w:p>
    <w:p>
      <w:pPr>
        <w:spacing w:before="160" w:after="0"/>
      </w:pPr>
      <w:r>
        <w:rPr>
          <w:rFonts w:ascii="Arial" w:cs="Arial" w:eastAsia="Arial" w:hAnsi="Arial"/>
          <w:color w:val="1C1C1C"/>
          <w:sz w:val="22"/>
          <w:szCs w:val="22"/>
        </w:rPr>
        <w:t xml:space="preserve"/>
      </w:r>
    </w:p>
    <w:p>
      <w:pPr>
        <w:pStyle w:val="Heading2"/>
        <w:spacing w:before="240" w:after="80"/>
      </w:pPr>
      <w:r>
        <w:rPr>
          <w:rFonts w:ascii="Arial" w:cs="Arial" w:eastAsia="Arial" w:hAnsi="Arial"/>
          <w:b/>
          <w:bCs/>
          <w:color w:val="4A8C5C"/>
          <w:sz w:val="24"/>
          <w:szCs w:val="24"/>
        </w:rPr>
        <w:t xml:space="preserve">2.3  Zone 2 — Nyerere National Park (Selous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C1C1C"/>
                <w:sz w:val="22"/>
                <w:szCs w:val="22"/>
              </w:rPr>
              <w:t xml:space="preserve"/>
            </w:r>
          </w:p>
          <w:p>
            <w:pPr>
              <w:spacing w:before="60" w:after="60"/>
            </w:pPr>
            <w:r>
              <w:rPr>
                <w:rFonts w:ascii="Arial" w:cs="Arial" w:eastAsia="Arial" w:hAnsi="Arial"/>
                <w:b/>
                <w:bCs/>
                <w:color w:val="1A4D2E"/>
                <w:sz w:val="22"/>
                <w:szCs w:val="22"/>
              </w:rPr>
              <w:t xml:space="preserve">Full name:  </w:t>
            </w:r>
            <w:r>
              <w:rPr>
                <w:rFonts w:ascii="Arial" w:cs="Arial" w:eastAsia="Arial" w:hAnsi="Arial"/>
                <w:color w:val="1C1C1C"/>
                <w:sz w:val="22"/>
                <w:szCs w:val="22"/>
              </w:rPr>
              <w:t xml:space="preserve">Nyerere National Park (formerly Selous Game Reserve)</w:t>
            </w:r>
          </w:p>
          <w:p>
            <w:pPr>
              <w:spacing w:before="60" w:after="60"/>
            </w:pPr>
            <w:r>
              <w:rPr>
                <w:rFonts w:ascii="Arial" w:cs="Arial" w:eastAsia="Arial" w:hAnsi="Arial"/>
                <w:b/>
                <w:bCs/>
                <w:color w:val="1A4D2E"/>
                <w:sz w:val="22"/>
                <w:szCs w:val="22"/>
              </w:rPr>
              <w:t xml:space="preserve">Regions:  </w:t>
            </w:r>
            <w:r>
              <w:rPr>
                <w:rFonts w:ascii="Arial" w:cs="Arial" w:eastAsia="Arial" w:hAnsi="Arial"/>
                <w:color w:val="1C1C1C"/>
                <w:sz w:val="22"/>
                <w:szCs w:val="22"/>
              </w:rPr>
              <w:t xml:space="preserve">Morogoro, Lindi, Ruvuma Regions</w:t>
            </w:r>
          </w:p>
          <w:p>
            <w:pPr>
              <w:spacing w:before="60" w:after="60"/>
            </w:pPr>
            <w:r>
              <w:rPr>
                <w:rFonts w:ascii="Arial" w:cs="Arial" w:eastAsia="Arial" w:hAnsi="Arial"/>
                <w:b/>
                <w:bCs/>
                <w:color w:val="1A4D2E"/>
                <w:sz w:val="22"/>
                <w:szCs w:val="22"/>
              </w:rPr>
              <w:t xml:space="preserve">Approx. area:  </w:t>
            </w:r>
            <w:r>
              <w:rPr>
                <w:rFonts w:ascii="Arial" w:cs="Arial" w:eastAsia="Arial" w:hAnsi="Arial"/>
                <w:color w:val="1C1C1C"/>
                <w:sz w:val="22"/>
                <w:szCs w:val="22"/>
              </w:rPr>
              <w:t xml:space="preserve">~30,893 km² (national park core)</w:t>
            </w:r>
          </w:p>
          <w:p>
            <w:pPr>
              <w:spacing w:before="60" w:after="60"/>
            </w:pPr>
            <w:r>
              <w:rPr>
                <w:rFonts w:ascii="Arial" w:cs="Arial" w:eastAsia="Arial" w:hAnsi="Arial"/>
                <w:b/>
                <w:bCs/>
                <w:color w:val="1A4D2E"/>
                <w:sz w:val="22"/>
                <w:szCs w:val="22"/>
              </w:rPr>
              <w:t xml:space="preserve">Ecosystem:  </w:t>
            </w:r>
            <w:r>
              <w:rPr>
                <w:rFonts w:ascii="Arial" w:cs="Arial" w:eastAsia="Arial" w:hAnsi="Arial"/>
                <w:color w:val="1C1C1C"/>
                <w:sz w:val="22"/>
                <w:szCs w:val="22"/>
              </w:rPr>
              <w:t xml:space="preserve">Miombo woodland, riverine forest, floodplain</w:t>
            </w:r>
          </w:p>
          <w:p>
            <w:pPr>
              <w:spacing w:before="60" w:after="60"/>
            </w:pPr>
            <w:r>
              <w:rPr>
                <w:rFonts w:ascii="Arial" w:cs="Arial" w:eastAsia="Arial" w:hAnsi="Arial"/>
                <w:b/>
                <w:bCs/>
                <w:color w:val="1A4D2E"/>
                <w:sz w:val="22"/>
                <w:szCs w:val="22"/>
              </w:rPr>
              <w:t xml:space="preserve">Key rivers:  </w:t>
            </w:r>
            <w:r>
              <w:rPr>
                <w:rFonts w:ascii="Arial" w:cs="Arial" w:eastAsia="Arial" w:hAnsi="Arial"/>
                <w:color w:val="1C1C1C"/>
                <w:sz w:val="22"/>
                <w:szCs w:val="22"/>
              </w:rPr>
              <w:t xml:space="preserve">Rufiji River, Great Ruaha River, Kilombero River</w:t>
            </w:r>
          </w:p>
          <w:p>
            <w:pPr>
              <w:spacing w:before="60" w:after="60"/>
            </w:pPr>
            <w:r>
              <w:rPr>
                <w:rFonts w:ascii="Arial" w:cs="Arial" w:eastAsia="Arial" w:hAnsi="Arial"/>
                <w:b/>
                <w:bCs/>
                <w:color w:val="1A4D2E"/>
                <w:sz w:val="22"/>
                <w:szCs w:val="22"/>
              </w:rPr>
              <w:t xml:space="preserve">Key species:  </w:t>
            </w:r>
            <w:r>
              <w:rPr>
                <w:rFonts w:ascii="Arial" w:cs="Arial" w:eastAsia="Arial" w:hAnsi="Arial"/>
                <w:color w:val="1C1C1C"/>
                <w:sz w:val="22"/>
                <w:szCs w:val="22"/>
              </w:rPr>
              <w:t xml:space="preserve">Elephant, lion, wild dog, crocodile, hippo, sable antelope</w:t>
            </w:r>
          </w:p>
          <w:p>
            <w:pPr>
              <w:spacing w:before="60" w:after="60"/>
            </w:pPr>
            <w:r>
              <w:rPr>
                <w:rFonts w:ascii="Arial" w:cs="Arial" w:eastAsia="Arial" w:hAnsi="Arial"/>
                <w:b/>
                <w:bCs/>
                <w:color w:val="1A4D2E"/>
                <w:sz w:val="22"/>
                <w:szCs w:val="22"/>
              </w:rPr>
              <w:t xml:space="preserve">Status:  </w:t>
            </w:r>
            <w:r>
              <w:rPr>
                <w:rFonts w:ascii="Arial" w:cs="Arial" w:eastAsia="Arial" w:hAnsi="Arial"/>
                <w:color w:val="1C1C1C"/>
                <w:sz w:val="22"/>
                <w:szCs w:val="22"/>
              </w:rPr>
              <w:t xml:space="preserve">National Park — TANAPA; UNESCO World Heritage Site (1982)</w:t>
            </w:r>
          </w:p>
        </w:tc>
        <w:tc>
          <w:tcPr>
            <w:tcW w:type="dxa" w:w="46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C1C1C"/>
                <w:sz w:val="22"/>
                <w:szCs w:val="22"/>
              </w:rPr>
              <w:t xml:space="preserve"/>
            </w:r>
          </w:p>
          <w:p>
            <w:pPr>
              <w:spacing w:before="60" w:after="60"/>
            </w:pPr>
            <w:r>
              <w:rPr>
                <w:rFonts w:ascii="Arial" w:cs="Arial" w:eastAsia="Arial" w:hAnsi="Arial"/>
                <w:b/>
                <w:bCs/>
                <w:color w:val="1A4D2E"/>
                <w:sz w:val="22"/>
                <w:szCs w:val="22"/>
              </w:rPr>
              <w:t xml:space="preserve">Governance:  </w:t>
            </w:r>
            <w:r>
              <w:rPr>
                <w:rFonts w:ascii="Arial" w:cs="Arial" w:eastAsia="Arial" w:hAnsi="Arial"/>
                <w:color w:val="1C1C1C"/>
                <w:sz w:val="22"/>
                <w:szCs w:val="22"/>
              </w:rPr>
              <w:t xml:space="preserve">TANAPA (national park); buffer zone under district councils</w:t>
            </w:r>
          </w:p>
          <w:p>
            <w:pPr>
              <w:spacing w:before="60" w:after="60"/>
            </w:pPr>
            <w:r>
              <w:rPr>
                <w:rFonts w:ascii="Arial" w:cs="Arial" w:eastAsia="Arial" w:hAnsi="Arial"/>
                <w:b/>
                <w:bCs/>
                <w:color w:val="1A4D2E"/>
                <w:sz w:val="22"/>
                <w:szCs w:val="22"/>
              </w:rPr>
              <w:t xml:space="preserve">Primary threats:  </w:t>
            </w:r>
            <w:r>
              <w:rPr>
                <w:rFonts w:ascii="Arial" w:cs="Arial" w:eastAsia="Arial" w:hAnsi="Arial"/>
                <w:color w:val="1C1C1C"/>
                <w:sz w:val="22"/>
                <w:szCs w:val="22"/>
              </w:rPr>
              <w:t xml:space="preserve">Poaching, charcoal production, infrastructure encroachment</w:t>
            </w:r>
          </w:p>
          <w:p>
            <w:pPr>
              <w:spacing w:before="60" w:after="60"/>
            </w:pPr>
            <w:r>
              <w:rPr>
                <w:rFonts w:ascii="Arial" w:cs="Arial" w:eastAsia="Arial" w:hAnsi="Arial"/>
                <w:b/>
                <w:bCs/>
                <w:color w:val="1A4D2E"/>
                <w:sz w:val="22"/>
                <w:szCs w:val="22"/>
              </w:rPr>
              <w:t xml:space="preserve">WDPA ID:  </w:t>
            </w:r>
            <w:r>
              <w:rPr>
                <w:rFonts w:ascii="Arial" w:cs="Arial" w:eastAsia="Arial" w:hAnsi="Arial"/>
                <w:color w:val="1C1C1C"/>
                <w:sz w:val="22"/>
                <w:szCs w:val="22"/>
              </w:rPr>
              <w:t xml:space="preserve">WDPA 1695 (former Selous GR)</w:t>
            </w:r>
          </w:p>
          <w:p>
            <w:pPr>
              <w:spacing w:before="60" w:after="60"/>
            </w:pPr>
            <w:r>
              <w:rPr>
                <w:rFonts w:ascii="Arial" w:cs="Arial" w:eastAsia="Arial" w:hAnsi="Arial"/>
                <w:b/>
                <w:bCs/>
                <w:color w:val="1A4D2E"/>
                <w:sz w:val="22"/>
                <w:szCs w:val="22"/>
              </w:rPr>
              <w:t xml:space="preserve">Shapefile ref:  </w:t>
            </w:r>
            <w:r>
              <w:rPr>
                <w:rFonts w:ascii="Arial" w:cs="Arial" w:eastAsia="Arial" w:hAnsi="Arial"/>
                <w:color w:val="1C1C1C"/>
                <w:sz w:val="22"/>
                <w:szCs w:val="22"/>
              </w:rPr>
              <w:t xml:space="preserve">nyerere_np_boundary.shp</w:t>
            </w:r>
          </w:p>
        </w:tc>
      </w:tr>
    </w:tbl>
    <w:p>
      <w:pPr>
        <w:spacing w:before="120" w:after="0"/>
      </w:pPr>
      <w:r>
        <w:rPr>
          <w:rFonts w:ascii="Arial" w:cs="Arial" w:eastAsia="Arial" w:hAnsi="Arial"/>
          <w:color w:val="1C1C1C"/>
          <w:sz w:val="22"/>
          <w:szCs w:val="22"/>
        </w:rPr>
        <w:t xml:space="preserve"/>
      </w:r>
    </w:p>
    <w:p>
      <w:pPr>
        <w:spacing w:before="120" w:after="120"/>
        <w:jc w:val="center"/>
      </w:pPr>
      <w:r>
        <w:drawing>
          <wp:inline distT="0" distB="0" distL="0" distR="0">
            <wp:extent cx="600000" cy="594759"/>
            <wp:effectExtent t="0" r="0" b="0" l="0"/>
            <wp:docPr id="1" name="Nyerere National Park (Selous) close-up map" descr="Nyerere National Park (Selous) close-up map" title="Nyerere National Park (Selous) close-up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00" cy="594759"/>
                    </a:xfrm>
                    <a:prstGeom prst="rect">
                      <a:avLst/>
                    </a:prstGeom>
                  </pic:spPr>
                </pic:pic>
              </a:graphicData>
            </a:graphic>
          </wp:inline>
        </w:drawing>
      </w:r>
    </w:p>
    <w:p>
      <w:pPr>
        <w:spacing w:before="40" w:after="120"/>
        <w:jc w:val="center"/>
      </w:pPr>
      <w:r>
        <w:rPr>
          <w:rFonts w:ascii="Arial" w:cs="Arial" w:eastAsia="Arial" w:hAnsi="Arial"/>
          <w:i/>
          <w:iCs/>
          <w:color w:val="666666"/>
          <w:sz w:val="18"/>
          <w:szCs w:val="18"/>
        </w:rPr>
        <w:t xml:space="preserve">Figure 3: Zone 2 — Nyerere National Park (Selous Ecosystem), Southern Tanzania</w:t>
      </w:r>
    </w:p>
    <w:p>
      <w:pPr>
        <w:spacing w:before="240" w:after="0"/>
      </w:pPr>
      <w:r>
        <w:rPr>
          <w:rFonts w:ascii="Arial" w:cs="Arial" w:eastAsia="Arial" w:hAnsi="Arial"/>
          <w:color w:val="1C1C1C"/>
          <w:sz w:val="22"/>
          <w:szCs w:val="22"/>
        </w:rPr>
        <w:t xml:space="preserve"/>
      </w:r>
    </w:p>
    <w:p>
      <w:r>
        <w:br/>
      </w:r>
    </w:p>
    <w:p>
      <w:pPr>
        <w:pStyle w:val="Heading1"/>
        <w:pBdr>
          <w:bottom w:val="single" w:color="4A8C5C" w:sz="8" w:space="4"/>
        </w:pBdr>
        <w:spacing w:before="360" w:after="120"/>
      </w:pPr>
      <w:r>
        <w:rPr>
          <w:rFonts w:ascii="Arial" w:cs="Arial" w:eastAsia="Arial" w:hAnsi="Arial"/>
          <w:b/>
          <w:bCs/>
          <w:color w:val="1A4D2E"/>
          <w:sz w:val="28"/>
          <w:szCs w:val="28"/>
        </w:rPr>
        <w:t xml:space="preserve">3.  Dashboard Technical Specification</w:t>
      </w:r>
    </w:p>
    <w:p>
      <w:pPr>
        <w:pStyle w:val="Heading2"/>
        <w:spacing w:before="240" w:after="80"/>
      </w:pPr>
      <w:r>
        <w:rPr>
          <w:rFonts w:ascii="Arial" w:cs="Arial" w:eastAsia="Arial" w:hAnsi="Arial"/>
          <w:b/>
          <w:bCs/>
          <w:color w:val="4A8C5C"/>
          <w:sz w:val="24"/>
          <w:szCs w:val="24"/>
        </w:rPr>
        <w:t xml:space="preserve">3.1  Environmental Indicators</w:t>
      </w:r>
    </w:p>
    <w:p>
      <w:pPr>
        <w:spacing w:before="60" w:after="80"/>
      </w:pPr>
      <w:r>
        <w:rPr>
          <w:rFonts w:ascii="Arial" w:cs="Arial" w:eastAsia="Arial" w:hAnsi="Arial"/>
          <w:color w:val="1C1C1C"/>
          <w:sz w:val="22"/>
          <w:szCs w:val="22"/>
        </w:rPr>
        <w:t xml:space="preserve">The dashboard will track the following satellite-derived landscape health indicators, updated monthly, for each operational zone independently and as a combined Six Rivers Africa landscape:</w:t>
      </w:r>
    </w:p>
    <w:p>
      <w:pPr>
        <w:spacing w:before="80" w:after="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36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20"/>
                <w:szCs w:val="20"/>
              </w:rPr>
              <w:t xml:space="preserve">Scientific Rationale</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NDVI (Vegetation Greenness)</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Courier New" w:cs="Courier New" w:eastAsia="Courier New" w:hAnsi="Courier New"/>
                <w:color w:val="1C1C1C"/>
                <w:sz w:val="19"/>
                <w:szCs w:val="19"/>
              </w:rPr>
              <w:t xml:space="preserve">Sentinel-2 / MODIS</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Proxy for vegetation productivity, grazing pressure, and habitat quality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EVI (Enhanced Vegetation Index)</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1C1C1C"/>
                <w:sz w:val="19"/>
                <w:szCs w:val="19"/>
              </w:rPr>
              <w:t xml:space="preserve">MODIS MOD13Q1</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Reduced canopy saturation bias; superior in dense miombo</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Land Cover Change</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Courier New" w:cs="Courier New" w:eastAsia="Courier New" w:hAnsi="Courier New"/>
                <w:color w:val="1C1C1C"/>
                <w:sz w:val="19"/>
                <w:szCs w:val="19"/>
              </w:rPr>
              <w:t xml:space="preserve">ESA WorldCover / GFC</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Detects deforestation, agricultural expansion, wetland shrinkage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Burn Scar Extent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1C1C1C"/>
                <w:sz w:val="19"/>
                <w:szCs w:val="19"/>
              </w:rPr>
              <w:t xml:space="preserve">NASA FIRMS / MODIS MCD64</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Fire ecology monitoring; illegal burning detection</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Surface Water Dynamics</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Courier New" w:cs="Courier New" w:eastAsia="Courier New" w:hAnsi="Courier New"/>
                <w:color w:val="1C1C1C"/>
                <w:sz w:val="19"/>
                <w:szCs w:val="19"/>
              </w:rPr>
              <w:t xml:space="preserve">JRC Global Surface Water</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Seasonal inundation tracking; Ihefu swamp extent monitoring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Rainfall Anomaly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1C1C1C"/>
                <w:sz w:val="19"/>
                <w:szCs w:val="19"/>
              </w:rPr>
              <w:t xml:space="preserve">CHIRPS v2.0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Contextualise vegetation signals; drought / flood risk</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Land Surface Temperature</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Courier New" w:cs="Courier New" w:eastAsia="Courier New" w:hAnsi="Courier New"/>
                <w:color w:val="1C1C1C"/>
                <w:sz w:val="19"/>
                <w:szCs w:val="19"/>
              </w:rPr>
              <w:t xml:space="preserve">MODIS MOD11A2</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Thermal stress on vegetation and wildlife; heat island detection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NDWI (Water Index)</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color w:val="1C1C1C"/>
                <w:sz w:val="19"/>
                <w:szCs w:val="19"/>
              </w:rPr>
              <w:t xml:space="preserve">Sentinel-2</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color w:val="1C1C1C"/>
                <w:sz w:val="19"/>
                <w:szCs w:val="19"/>
              </w:rPr>
              <w:t xml:space="preserve">Quantify open water and wetland health in Ihefu / riparian zones</w:t>
            </w:r>
          </w:p>
        </w:tc>
      </w:tr>
    </w:tbl>
    <w:p>
      <w:pPr>
        <w:spacing w:before="160" w:after="0"/>
      </w:pPr>
      <w:r>
        <w:rPr>
          <w:rFonts w:ascii="Arial" w:cs="Arial" w:eastAsia="Arial" w:hAnsi="Arial"/>
          <w:color w:val="1C1C1C"/>
          <w:sz w:val="22"/>
          <w:szCs w:val="22"/>
        </w:rPr>
        <w:t xml:space="preserve"/>
      </w:r>
    </w:p>
    <w:p>
      <w:pPr>
        <w:pStyle w:val="Heading2"/>
        <w:spacing w:before="240" w:after="80"/>
      </w:pPr>
      <w:r>
        <w:rPr>
          <w:rFonts w:ascii="Arial" w:cs="Arial" w:eastAsia="Arial" w:hAnsi="Arial"/>
          <w:b/>
          <w:bCs/>
          <w:color w:val="4A8C5C"/>
          <w:sz w:val="24"/>
          <w:szCs w:val="24"/>
        </w:rPr>
        <w:t xml:space="preserve">3.2  Dashboard Architecture</w:t>
      </w:r>
    </w:p>
    <w:p>
      <w:pPr>
        <w:spacing w:before="60" w:after="80"/>
      </w:pPr>
      <w:r>
        <w:rPr>
          <w:rFonts w:ascii="Arial" w:cs="Arial" w:eastAsia="Arial" w:hAnsi="Arial"/>
          <w:color w:val="1C1C1C"/>
          <w:sz w:val="22"/>
          <w:szCs w:val="22"/>
        </w:rPr>
        <w:t xml:space="preserve">The system is built on open-source, maintainable components to ensure long-term operational independence for Six Rivers Africa:</w:t>
      </w:r>
    </w:p>
    <w:p>
      <w:pPr>
        <w:spacing w:before="80" w:after="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D8" w:val="clear"/>
            <w:tcMar>
              <w:top w:type="dxa" w:w="80"/>
              <w:left w:type="dxa" w:w="160"/>
              <w:bottom w:type="dxa" w:w="80"/>
              <w:right w:type="dxa" w:w="160"/>
            </w:tcMar>
          </w:tcPr>
          <w:p>
            <w:pPr>
              <w:spacing w:before="0" w:after="80"/>
            </w:pPr>
            <w:r>
              <w:rPr>
                <w:rFonts w:ascii="Arial" w:cs="Arial" w:eastAsia="Arial" w:hAnsi="Arial"/>
                <w:b/>
                <w:bCs/>
                <w:color w:val="1A4D2E"/>
                <w:sz w:val="20"/>
                <w:szCs w:val="20"/>
              </w:rPr>
              <w:t xml:space="preserve">Data Pipeline</w:t>
            </w:r>
          </w:p>
          <w:p>
            <w:pPr>
              <w:spacing w:before="0" w:after="60"/>
            </w:pPr>
            <w:r>
              <w:rPr>
                <w:rFonts w:ascii="Arial" w:cs="Arial" w:eastAsia="Arial" w:hAnsi="Arial"/>
                <w:b/>
                <w:bCs/>
                <w:color w:val="1A4D2E"/>
                <w:sz w:val="20"/>
                <w:szCs w:val="20"/>
              </w:rPr>
              <w:t xml:space="preserve">Data Pipeline</w:t>
            </w:r>
          </w:p>
          <w:p>
            <w:pPr>
              <w:pStyle w:val="ListParagraph"/>
              <w:numPr>
                <w:ilvl w:val="0"/>
                <w:numId w:val="2"/>
              </w:numPr>
              <w:spacing w:before="40" w:after="40"/>
            </w:pPr>
            <w:r>
              <w:rPr>
                <w:rFonts w:ascii="Arial" w:cs="Arial" w:eastAsia="Arial" w:hAnsi="Arial"/>
                <w:color w:val="1C1C1C"/>
                <w:sz w:val="20"/>
                <w:szCs w:val="20"/>
              </w:rPr>
              <w:t xml:space="preserve">Google Earth Engine (GEE): satellite data extraction, index computation</w:t>
            </w:r>
          </w:p>
          <w:p>
            <w:pPr>
              <w:pStyle w:val="ListParagraph"/>
              <w:numPr>
                <w:ilvl w:val="0"/>
                <w:numId w:val="2"/>
              </w:numPr>
              <w:spacing w:before="40" w:after="40"/>
            </w:pPr>
            <w:r>
              <w:rPr>
                <w:rFonts w:ascii="Arial" w:cs="Arial" w:eastAsia="Arial" w:hAnsi="Arial"/>
                <w:color w:val="1C1C1C"/>
                <w:sz w:val="20"/>
                <w:szCs w:val="20"/>
              </w:rPr>
              <w:t xml:space="preserve">R / Python: statistical processing, anomaly detection, time-series analysis</w:t>
            </w:r>
          </w:p>
          <w:p>
            <w:pPr>
              <w:pStyle w:val="ListParagraph"/>
              <w:numPr>
                <w:ilvl w:val="0"/>
                <w:numId w:val="2"/>
              </w:numPr>
              <w:spacing w:before="40" w:after="40"/>
            </w:pPr>
            <w:r>
              <w:rPr>
                <w:rFonts w:ascii="Arial" w:cs="Arial" w:eastAsia="Arial" w:hAnsi="Arial"/>
                <w:color w:val="1C1C1C"/>
                <w:sz w:val="20"/>
                <w:szCs w:val="20"/>
              </w:rPr>
              <w:t xml:space="preserve">GitHub Actions: automated monthly pipeline execution</w:t>
            </w:r>
          </w:p>
          <w:p>
            <w:pPr>
              <w:pStyle w:val="ListParagraph"/>
              <w:numPr>
                <w:ilvl w:val="0"/>
                <w:numId w:val="2"/>
              </w:numPr>
              <w:spacing w:before="40" w:after="40"/>
            </w:pPr>
            <w:r>
              <w:rPr>
                <w:rFonts w:ascii="Arial" w:cs="Arial" w:eastAsia="Arial" w:hAnsi="Arial"/>
                <w:color w:val="1C1C1C"/>
                <w:sz w:val="20"/>
                <w:szCs w:val="20"/>
              </w:rPr>
              <w:t xml:space="preserve">PostGIS / GeoPackage: spatial data storage</w:t>
            </w:r>
          </w:p>
        </w:tc>
        <w:tc>
          <w:tcPr>
            <w:tcW w:type="dxa" w:w="4680"/>
            <w:tcBorders>
              <w:top w:val="single" w:color="CCCCCC" w:sz="1"/>
              <w:left w:val="single" w:color="CCCCCC" w:sz="1"/>
              <w:bottom w:val="single" w:color="CCCCCC" w:sz="1"/>
              <w:right w:val="single" w:color="CCCCCC" w:sz="1"/>
            </w:tcBorders>
            <w:shd w:fill="FBF0D9" w:val="clear"/>
            <w:tcMar>
              <w:top w:type="dxa" w:w="80"/>
              <w:left w:type="dxa" w:w="160"/>
              <w:bottom w:type="dxa" w:w="80"/>
              <w:right w:type="dxa" w:w="160"/>
            </w:tcMar>
          </w:tcPr>
          <w:p>
            <w:pPr>
              <w:spacing w:before="0" w:after="80"/>
            </w:pPr>
            <w:r>
              <w:rPr>
                <w:rFonts w:ascii="Arial" w:cs="Arial" w:eastAsia="Arial" w:hAnsi="Arial"/>
                <w:b/>
                <w:bCs/>
                <w:color w:val="8B5E00"/>
                <w:sz w:val="20"/>
                <w:szCs w:val="20"/>
              </w:rPr>
              <w:t xml:space="preserve">Reporting &amp; Visualisation</w:t>
            </w:r>
          </w:p>
          <w:p>
            <w:pPr>
              <w:spacing w:before="0" w:after="60"/>
            </w:pPr>
            <w:r>
              <w:rPr>
                <w:rFonts w:ascii="Arial" w:cs="Arial" w:eastAsia="Arial" w:hAnsi="Arial"/>
                <w:b/>
                <w:bCs/>
                <w:color w:val="8B5E00"/>
                <w:sz w:val="20"/>
                <w:szCs w:val="20"/>
              </w:rPr>
              <w:t xml:space="preserve">Reporting &amp; Visualisation</w:t>
            </w:r>
          </w:p>
          <w:p>
            <w:pPr>
              <w:pStyle w:val="ListParagraph"/>
              <w:numPr>
                <w:ilvl w:val="0"/>
                <w:numId w:val="2"/>
              </w:numPr>
              <w:spacing w:before="40" w:after="40"/>
            </w:pPr>
            <w:r>
              <w:rPr>
                <w:rFonts w:ascii="Arial" w:cs="Arial" w:eastAsia="Arial" w:hAnsi="Arial"/>
                <w:color w:val="1C1C1C"/>
                <w:sz w:val="20"/>
                <w:szCs w:val="20"/>
              </w:rPr>
              <w:t xml:space="preserve">R Shiny or Quarto dashboard: interactive web interface</w:t>
            </w:r>
          </w:p>
          <w:p>
            <w:pPr>
              <w:pStyle w:val="ListParagraph"/>
              <w:numPr>
                <w:ilvl w:val="0"/>
                <w:numId w:val="2"/>
              </w:numPr>
              <w:spacing w:before="40" w:after="40"/>
            </w:pPr>
            <w:r>
              <w:rPr>
                <w:rFonts w:ascii="Arial" w:cs="Arial" w:eastAsia="Arial" w:hAnsi="Arial"/>
                <w:color w:val="1C1C1C"/>
                <w:sz w:val="20"/>
                <w:szCs w:val="20"/>
              </w:rPr>
              <w:t xml:space="preserve">Leaflet.js: interactive mapping layer</w:t>
            </w:r>
          </w:p>
          <w:p>
            <w:pPr>
              <w:pStyle w:val="ListParagraph"/>
              <w:numPr>
                <w:ilvl w:val="0"/>
                <w:numId w:val="2"/>
              </w:numPr>
              <w:spacing w:before="40" w:after="40"/>
            </w:pPr>
            <w:r>
              <w:rPr>
                <w:rFonts w:ascii="Arial" w:cs="Arial" w:eastAsia="Arial" w:hAnsi="Arial"/>
                <w:color w:val="1C1C1C"/>
                <w:sz w:val="20"/>
                <w:szCs w:val="20"/>
              </w:rPr>
              <w:t xml:space="preserve">Claude API: automated narrative generation from data outputs</w:t>
            </w:r>
          </w:p>
          <w:p>
            <w:pPr>
              <w:pStyle w:val="ListParagraph"/>
              <w:numPr>
                <w:ilvl w:val="0"/>
                <w:numId w:val="2"/>
              </w:numPr>
              <w:spacing w:before="40" w:after="40"/>
            </w:pPr>
            <w:r>
              <w:rPr>
                <w:rFonts w:ascii="Arial" w:cs="Arial" w:eastAsia="Arial" w:hAnsi="Arial"/>
                <w:color w:val="1C1C1C"/>
                <w:sz w:val="20"/>
                <w:szCs w:val="20"/>
              </w:rPr>
              <w:t xml:space="preserve">PDF/HTML reports: automated monthly donor-ready outputs</w:t>
            </w:r>
          </w:p>
        </w:tc>
      </w:tr>
    </w:tbl>
    <w:p>
      <w:pPr>
        <w:spacing w:before="160" w:after="0"/>
      </w:pPr>
      <w:r>
        <w:rPr>
          <w:rFonts w:ascii="Arial" w:cs="Arial" w:eastAsia="Arial" w:hAnsi="Arial"/>
          <w:color w:val="1C1C1C"/>
          <w:sz w:val="22"/>
          <w:szCs w:val="22"/>
        </w:rPr>
        <w:t xml:space="preserve"/>
      </w:r>
    </w:p>
    <w:p>
      <w:pPr>
        <w:pStyle w:val="Heading2"/>
        <w:spacing w:before="240" w:after="80"/>
      </w:pPr>
      <w:r>
        <w:rPr>
          <w:rFonts w:ascii="Arial" w:cs="Arial" w:eastAsia="Arial" w:hAnsi="Arial"/>
          <w:b/>
          <w:bCs/>
          <w:color w:val="4A8C5C"/>
          <w:sz w:val="24"/>
          <w:szCs w:val="24"/>
        </w:rPr>
        <w:t xml:space="preserve">3.3  Alert &amp; Anomaly Detection</w:t>
      </w:r>
    </w:p>
    <w:p>
      <w:pPr>
        <w:spacing w:before="60" w:after="80"/>
      </w:pPr>
      <w:r>
        <w:rPr>
          <w:rFonts w:ascii="Arial" w:cs="Arial" w:eastAsia="Arial" w:hAnsi="Arial"/>
          <w:color w:val="1C1C1C"/>
          <w:sz w:val="22"/>
          <w:szCs w:val="22"/>
        </w:rPr>
        <w:t xml:space="preserve">The dashboard will trigger alerts when landscape indicators breach defined thresholds within any operational zone shapefile boundary:</w:t>
      </w:r>
    </w:p>
    <w:p>
      <w:pPr>
        <w:pStyle w:val="ListParagraph"/>
        <w:numPr>
          <w:ilvl w:val="0"/>
          <w:numId w:val="2"/>
        </w:numPr>
        <w:spacing w:before="50" w:after="50"/>
      </w:pPr>
      <w:r>
        <w:rPr>
          <w:rFonts w:ascii="Arial" w:cs="Arial" w:eastAsia="Arial" w:hAnsi="Arial"/>
          <w:color w:val="1C1C1C"/>
          <w:sz w:val="22"/>
          <w:szCs w:val="22"/>
        </w:rPr>
        <w:t xml:space="preserve">NDVI decline &gt;15% below 5-year monthly baseline (2+ consecutive pixels, &gt;2 km²) → vegetation stress alert</w:t>
      </w:r>
    </w:p>
    <w:p>
      <w:pPr>
        <w:pStyle w:val="ListParagraph"/>
        <w:numPr>
          <w:ilvl w:val="0"/>
          <w:numId w:val="2"/>
        </w:numPr>
        <w:spacing w:before="50" w:after="50"/>
      </w:pPr>
      <w:r>
        <w:rPr>
          <w:rFonts w:ascii="Arial" w:cs="Arial" w:eastAsia="Arial" w:hAnsi="Arial"/>
          <w:color w:val="1C1C1C"/>
          <w:sz w:val="22"/>
          <w:szCs w:val="22"/>
        </w:rPr>
        <w:t xml:space="preserve">Active fire detected within shapefile boundary → immediate burn alert with coordinates</w:t>
      </w:r>
    </w:p>
    <w:p>
      <w:pPr>
        <w:pStyle w:val="ListParagraph"/>
        <w:numPr>
          <w:ilvl w:val="0"/>
          <w:numId w:val="2"/>
        </w:numPr>
        <w:spacing w:before="50" w:after="50"/>
      </w:pPr>
      <w:r>
        <w:rPr>
          <w:rFonts w:ascii="Arial" w:cs="Arial" w:eastAsia="Arial" w:hAnsi="Arial"/>
          <w:color w:val="1C1C1C"/>
          <w:sz w:val="22"/>
          <w:szCs w:val="22"/>
        </w:rPr>
        <w:t xml:space="preserve">Forest cover loss &gt;0.5 km² in 30-day window → deforestation event logged</w:t>
      </w:r>
    </w:p>
    <w:p>
      <w:pPr>
        <w:pStyle w:val="ListParagraph"/>
        <w:numPr>
          <w:ilvl w:val="0"/>
          <w:numId w:val="2"/>
        </w:numPr>
        <w:spacing w:before="50" w:after="50"/>
      </w:pPr>
      <w:r>
        <w:rPr>
          <w:rFonts w:ascii="Arial" w:cs="Arial" w:eastAsia="Arial" w:hAnsi="Arial"/>
          <w:color w:val="1C1C1C"/>
          <w:sz w:val="22"/>
          <w:szCs w:val="22"/>
        </w:rPr>
        <w:t xml:space="preserve">Surface water area (Ihefu) deviating &gt;25% from seasonal norm → wetland health flag</w:t>
      </w:r>
    </w:p>
    <w:p>
      <w:pPr>
        <w:pStyle w:val="ListParagraph"/>
        <w:numPr>
          <w:ilvl w:val="0"/>
          <w:numId w:val="2"/>
        </w:numPr>
        <w:spacing w:before="50" w:after="50"/>
      </w:pPr>
      <w:r>
        <w:rPr>
          <w:rFonts w:ascii="Arial" w:cs="Arial" w:eastAsia="Arial" w:hAnsi="Arial"/>
          <w:color w:val="1C1C1C"/>
          <w:sz w:val="22"/>
          <w:szCs w:val="22"/>
        </w:rPr>
        <w:t xml:space="preserve">Rainfall deficit &gt;40% of CHIRPS 30-year mean for 3+ consecutive decades → drought watch</w:t>
      </w:r>
    </w:p>
    <w:p>
      <w:pPr>
        <w:spacing w:before="240" w:after="0"/>
      </w:pPr>
      <w:r>
        <w:rPr>
          <w:rFonts w:ascii="Arial" w:cs="Arial" w:eastAsia="Arial" w:hAnsi="Arial"/>
          <w:color w:val="1C1C1C"/>
          <w:sz w:val="22"/>
          <w:szCs w:val="22"/>
        </w:rPr>
        <w:t xml:space="preserve"/>
      </w:r>
    </w:p>
    <w:p>
      <w:r>
        <w:br/>
      </w:r>
    </w:p>
    <w:p>
      <w:pPr>
        <w:pStyle w:val="Heading1"/>
        <w:pBdr>
          <w:bottom w:val="single" w:color="4A8C5C" w:sz="8" w:space="4"/>
        </w:pBdr>
        <w:spacing w:before="360" w:after="120"/>
      </w:pPr>
      <w:r>
        <w:rPr>
          <w:rFonts w:ascii="Arial" w:cs="Arial" w:eastAsia="Arial" w:hAnsi="Arial"/>
          <w:b/>
          <w:bCs/>
          <w:color w:val="1A4D2E"/>
          <w:sz w:val="28"/>
          <w:szCs w:val="28"/>
        </w:rPr>
        <w:t xml:space="preserve">4.  Shapefile Demarcation Framework</w:t>
      </w:r>
    </w:p>
    <w:p>
      <w:pPr>
        <w:pStyle w:val="Heading2"/>
        <w:spacing w:before="240" w:after="80"/>
      </w:pPr>
      <w:r>
        <w:rPr>
          <w:rFonts w:ascii="Arial" w:cs="Arial" w:eastAsia="Arial" w:hAnsi="Arial"/>
          <w:b/>
          <w:bCs/>
          <w:color w:val="4A8C5C"/>
          <w:sz w:val="24"/>
          <w:szCs w:val="24"/>
        </w:rPr>
        <w:t xml:space="preserve">4.1  Overview</w:t>
      </w:r>
    </w:p>
    <w:p>
      <w:pPr>
        <w:spacing w:before="60" w:after="80"/>
      </w:pPr>
      <w:r>
        <w:rPr>
          <w:rFonts w:ascii="Arial" w:cs="Arial" w:eastAsia="Arial" w:hAnsi="Arial"/>
          <w:color w:val="1C1C1C"/>
          <w:sz w:val="22"/>
          <w:szCs w:val="22"/>
        </w:rPr>
        <w:t xml:space="preserve">All spatial analysis will be bounded by and attributed to authoritative GIS shapefiles. These form the analytical units for satellite data extraction (zonal statistics), alert generation, and reporting disaggregation. Shapefiles will be maintained in a version-controlled GeoPackage repository, updated when authoritative boundary revisions are published.</w:t>
      </w:r>
    </w:p>
    <w:p>
      <w:pPr>
        <w:spacing w:before="100" w:after="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D2E"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Core Shapefile Register</w:t>
            </w:r>
          </w:p>
        </w:tc>
      </w:tr>
    </w:tbl>
    <w:p>
      <w:pPr>
        <w:spacing w:before="80" w:after="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c>
          <w:tcPr>
            <w:tcW w:type="dxa" w:w="3000"/>
            <w:tcBorders>
              <w:top w:val="single" w:color="CCCCCC" w:sz="1"/>
              <w:left w:val="single" w:color="CCCCCC" w:sz="1"/>
              <w:bottom w:val="single" w:color="CCCCCC" w:sz="1"/>
              <w:right w:val="single" w:color="CCCCCC" w:sz="1"/>
            </w:tcBorders>
            <w:shd w:fill="1A4D2E" w:val="clear"/>
            <w:tcMar>
              <w:top w:type="dxa" w:w="70"/>
              <w:left w:type="dxa" w:w="120"/>
              <w:bottom w:type="dxa" w:w="70"/>
              <w:right w:type="dxa" w:w="120"/>
            </w:tcMar>
          </w:tcPr>
          <w:p>
            <w:pPr>
              <w:spacing w:before="0" w:after="0"/>
            </w:pPr>
            <w:r>
              <w:rPr>
                <w:rFonts w:ascii="Arial" w:cs="Arial" w:eastAsia="Arial" w:hAnsi="Arial"/>
                <w:b/>
                <w:bCs/>
                <w:color w:val="FFFFFF"/>
                <w:sz w:val="19"/>
                <w:szCs w:val="19"/>
              </w:rPr>
              <w:t xml:space="preserve">Shapefile / Layer</w:t>
            </w:r>
          </w:p>
        </w:tc>
        <w:tc>
          <w:tcPr>
            <w:tcW w:type="dxa" w:w="1440"/>
            <w:tcBorders>
              <w:top w:val="single" w:color="CCCCCC" w:sz="1"/>
              <w:left w:val="single" w:color="CCCCCC" w:sz="1"/>
              <w:bottom w:val="single" w:color="CCCCCC" w:sz="1"/>
              <w:right w:val="single" w:color="CCCCCC" w:sz="1"/>
            </w:tcBorders>
            <w:shd w:fill="1A4D2E" w:val="clear"/>
            <w:tcMar>
              <w:top w:type="dxa" w:w="70"/>
              <w:left w:type="dxa" w:w="120"/>
              <w:bottom w:type="dxa" w:w="70"/>
              <w:right w:type="dxa" w:w="120"/>
            </w:tcMar>
          </w:tcPr>
          <w:p>
            <w:pPr>
              <w:spacing w:before="0" w:after="0"/>
            </w:pPr>
            <w:r>
              <w:rPr>
                <w:rFonts w:ascii="Arial" w:cs="Arial" w:eastAsia="Arial" w:hAnsi="Arial"/>
                <w:b/>
                <w:bCs/>
                <w:color w:val="FFFFFF"/>
                <w:sz w:val="19"/>
                <w:szCs w:val="19"/>
              </w:rPr>
              <w:t xml:space="preserve">Type</w:t>
            </w:r>
          </w:p>
        </w:tc>
        <w:tc>
          <w:tcPr>
            <w:tcW w:type="dxa" w:w="1440"/>
            <w:tcBorders>
              <w:top w:val="single" w:color="CCCCCC" w:sz="1"/>
              <w:left w:val="single" w:color="CCCCCC" w:sz="1"/>
              <w:bottom w:val="single" w:color="CCCCCC" w:sz="1"/>
              <w:right w:val="single" w:color="CCCCCC" w:sz="1"/>
            </w:tcBorders>
            <w:shd w:fill="1A4D2E" w:val="clear"/>
            <w:tcMar>
              <w:top w:type="dxa" w:w="70"/>
              <w:left w:type="dxa" w:w="120"/>
              <w:bottom w:type="dxa" w:w="70"/>
              <w:right w:type="dxa" w:w="120"/>
            </w:tcMar>
          </w:tcPr>
          <w:p>
            <w:pPr>
              <w:spacing w:before="0" w:after="0"/>
            </w:pPr>
            <w:r>
              <w:rPr>
                <w:rFonts w:ascii="Arial" w:cs="Arial" w:eastAsia="Arial" w:hAnsi="Arial"/>
                <w:b/>
                <w:bCs/>
                <w:color w:val="FFFFFF"/>
                <w:sz w:val="19"/>
                <w:szCs w:val="19"/>
              </w:rPr>
              <w:t xml:space="preserve">CRS</w:t>
            </w:r>
          </w:p>
        </w:tc>
        <w:tc>
          <w:tcPr>
            <w:tcW w:type="dxa" w:w="3480"/>
            <w:tcBorders>
              <w:top w:val="single" w:color="CCCCCC" w:sz="1"/>
              <w:left w:val="single" w:color="CCCCCC" w:sz="1"/>
              <w:bottom w:val="single" w:color="CCCCCC" w:sz="1"/>
              <w:right w:val="single" w:color="CCCCCC" w:sz="1"/>
            </w:tcBorders>
            <w:shd w:fill="1A4D2E" w:val="clear"/>
            <w:tcMar>
              <w:top w:type="dxa" w:w="70"/>
              <w:left w:type="dxa" w:w="120"/>
              <w:bottom w:type="dxa" w:w="70"/>
              <w:right w:type="dxa" w:w="120"/>
            </w:tcMar>
          </w:tcPr>
          <w:p>
            <w:pPr>
              <w:spacing w:before="0" w:after="0"/>
            </w:pPr>
            <w:r>
              <w:rPr>
                <w:rFonts w:ascii="Arial" w:cs="Arial" w:eastAsia="Arial" w:hAnsi="Arial"/>
                <w:b/>
                <w:bCs/>
                <w:color w:val="FFFFFF"/>
                <w:sz w:val="19"/>
                <w:szCs w:val="19"/>
              </w:rPr>
              <w:t xml:space="preserve">Source / Method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b w:val="false"/>
                <w:bCs w:val="false"/>
                <w:color w:val="1C1C1C"/>
                <w:sz w:val="19"/>
                <w:szCs w:val="19"/>
              </w:rPr>
              <w:t xml:space="preserve">usangu_game_reserve.shp</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Polygon</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EPSG:4326</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TANAPA / TAWA boundary data; digitised from WDPA</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Courier New" w:cs="Courier New" w:eastAsia="Courier New" w:hAnsi="Courier New"/>
                <w:b w:val="false"/>
                <w:bCs w:val="false"/>
                <w:color w:val="1C1C1C"/>
                <w:sz w:val="19"/>
                <w:szCs w:val="19"/>
              </w:rPr>
              <w:t xml:space="preserve">ihefu_swamp_core.shp</w:t>
            </w:r>
          </w:p>
        </w:tc>
        <w:tc>
          <w:tcPr>
            <w:tcW w:type="dxa" w:w="14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Polygon</w:t>
            </w:r>
          </w:p>
        </w:tc>
        <w:tc>
          <w:tcPr>
            <w:tcW w:type="dxa" w:w="14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EPSG:4326</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Wetlands International / Ramsar database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b w:val="false"/>
                <w:bCs w:val="false"/>
                <w:color w:val="1C1C1C"/>
                <w:sz w:val="19"/>
                <w:szCs w:val="19"/>
              </w:rPr>
              <w:t xml:space="preserve">nyerere_np_boundary.shp</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Polygon</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EPSG:4326</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Protected Planet (WDPA) — IUCN Category II</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Courier New" w:cs="Courier New" w:eastAsia="Courier New" w:hAnsi="Courier New"/>
                <w:b w:val="false"/>
                <w:bCs w:val="false"/>
                <w:color w:val="1C1C1C"/>
                <w:sz w:val="19"/>
                <w:szCs w:val="19"/>
              </w:rPr>
              <w:t xml:space="preserve">great_ruaha_river.shp</w:t>
            </w:r>
          </w:p>
        </w:tc>
        <w:tc>
          <w:tcPr>
            <w:tcW w:type="dxa" w:w="14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LineString</w:t>
            </w:r>
          </w:p>
        </w:tc>
        <w:tc>
          <w:tcPr>
            <w:tcW w:type="dxa" w:w="14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EPSG:4326</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HydroSHEDS / GRDC river network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b w:val="false"/>
                <w:bCs w:val="false"/>
                <w:color w:val="1C1C1C"/>
                <w:sz w:val="19"/>
                <w:szCs w:val="19"/>
              </w:rPr>
              <w:t xml:space="preserve">rufiji_river.shp</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LineString</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EPSG:4326</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HydroSHEDS / GRDC river network</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Courier New" w:cs="Courier New" w:eastAsia="Courier New" w:hAnsi="Courier New"/>
                <w:b w:val="false"/>
                <w:bCs w:val="false"/>
                <w:color w:val="1C1C1C"/>
                <w:sz w:val="19"/>
                <w:szCs w:val="19"/>
              </w:rPr>
              <w:t xml:space="preserve">six_rivers_study_zones.shp</w:t>
            </w:r>
          </w:p>
        </w:tc>
        <w:tc>
          <w:tcPr>
            <w:tcW w:type="dxa" w:w="14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Polygon</w:t>
            </w:r>
          </w:p>
        </w:tc>
        <w:tc>
          <w:tcPr>
            <w:tcW w:type="dxa" w:w="14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EPSG:4326</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Composite: both operational zones merged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Courier New" w:cs="Courier New" w:eastAsia="Courier New" w:hAnsi="Courier New"/>
                <w:b w:val="false"/>
                <w:bCs w:val="false"/>
                <w:color w:val="1C1C1C"/>
                <w:sz w:val="19"/>
                <w:szCs w:val="19"/>
              </w:rPr>
              <w:t xml:space="preserve">tz_admin_regions.shp</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Polygon</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EPSG:4326</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GADM v4.1 — Tanzania regions</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Courier New" w:cs="Courier New" w:eastAsia="Courier New" w:hAnsi="Courier New"/>
                <w:b w:val="false"/>
                <w:bCs w:val="false"/>
                <w:color w:val="1C1C1C"/>
                <w:sz w:val="19"/>
                <w:szCs w:val="19"/>
              </w:rPr>
              <w:t xml:space="preserve">tz_protected_areas.shp</w:t>
            </w:r>
          </w:p>
        </w:tc>
        <w:tc>
          <w:tcPr>
            <w:tcW w:type="dxa" w:w="14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Polygon</w:t>
            </w:r>
          </w:p>
        </w:tc>
        <w:tc>
          <w:tcPr>
            <w:tcW w:type="dxa" w:w="144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EPSG:4326</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pPr>
              <w:spacing w:before="0" w:after="0"/>
            </w:pPr>
            <w:r>
              <w:rPr>
                <w:rFonts w:ascii="Arial" w:cs="Arial" w:eastAsia="Arial" w:hAnsi="Arial"/>
                <w:b w:val="false"/>
                <w:bCs w:val="false"/>
                <w:color w:val="1C1C1C"/>
                <w:sz w:val="19"/>
                <w:szCs w:val="19"/>
              </w:rPr>
              <w:t xml:space="preserve">WDPA / UNEP-WCMC full extract</w:t>
            </w:r>
          </w:p>
        </w:tc>
      </w:tr>
    </w:tbl>
    <w:p>
      <w:pPr>
        <w:spacing w:before="120" w:after="0"/>
      </w:pPr>
      <w:r>
        <w:rPr>
          <w:rFonts w:ascii="Arial" w:cs="Arial" w:eastAsia="Arial" w:hAnsi="Arial"/>
          <w:color w:val="1C1C1C"/>
          <w:sz w:val="22"/>
          <w:szCs w:val="22"/>
        </w:rPr>
        <w:t xml:space="preserve"/>
      </w:r>
    </w:p>
    <w:p>
      <w:pPr>
        <w:spacing w:before="0" w:after="60"/>
      </w:pPr>
      <w:r>
        <w:rPr>
          <w:rFonts w:ascii="Arial" w:cs="Arial" w:eastAsia="Arial" w:hAnsi="Arial"/>
          <w:b/>
          <w:bCs/>
          <w:color w:val="CC4400"/>
          <w:sz w:val="22"/>
          <w:szCs w:val="22"/>
        </w:rPr>
        <w:t xml:space="preserve">⚠  PLACEHOLDER BOUNDARIES NOTICE:  </w:t>
      </w:r>
      <w:r>
        <w:rPr>
          <w:rFonts w:ascii="Arial" w:cs="Arial" w:eastAsia="Arial" w:hAnsi="Arial"/>
          <w:color w:val="1C1C1C"/>
          <w:sz w:val="22"/>
          <w:szCs w:val="22"/>
        </w:rPr>
        <w:t xml:space="preserve">The coordinates and boundary polygons used in the maps on pages 2–4 of this document are indicative only. They are based on published descriptions of these protected areas (WDPA records, press coverage, and publicly available conservation literature) and are NOT derived from authoritative GIS shapefiles. They should not be used for navigation, legal, or operational purposes. All boundaries will be replaced with verified authoritative shapefiles (WDPA / TANAPA / TAWA / Six Rivers Africa’s own operational maps) as soon as these are shared by Six Rivers Africa. The shapefile register in the table above reflects the target architecture, not the current state.</w:t>
      </w:r>
    </w:p>
    <w:p>
      <w:pPr>
        <w:spacing w:before="160" w:after="0"/>
      </w:pPr>
      <w:r>
        <w:rPr>
          <w:rFonts w:ascii="Arial" w:cs="Arial" w:eastAsia="Arial" w:hAnsi="Arial"/>
          <w:color w:val="1C1C1C"/>
          <w:sz w:val="22"/>
          <w:szCs w:val="22"/>
        </w:rPr>
        <w:t xml:space="preserve"/>
      </w:r>
    </w:p>
    <w:p>
      <w:pPr>
        <w:pStyle w:val="Heading2"/>
        <w:spacing w:before="240" w:after="80"/>
      </w:pPr>
      <w:r>
        <w:rPr>
          <w:rFonts w:ascii="Arial" w:cs="Arial" w:eastAsia="Arial" w:hAnsi="Arial"/>
          <w:b/>
          <w:bCs/>
          <w:color w:val="4A8C5C"/>
          <w:sz w:val="24"/>
          <w:szCs w:val="24"/>
        </w:rPr>
        <w:t xml:space="preserve">4.2  Coordinate Reference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C1C1C"/>
                <w:sz w:val="22"/>
                <w:szCs w:val="22"/>
              </w:rPr>
              <w:t xml:space="preserve"/>
            </w:r>
          </w:p>
          <w:p>
            <w:pPr>
              <w:spacing w:before="60" w:after="60"/>
            </w:pPr>
            <w:r>
              <w:rPr>
                <w:rFonts w:ascii="Arial" w:cs="Arial" w:eastAsia="Arial" w:hAnsi="Arial"/>
                <w:b/>
                <w:bCs/>
                <w:color w:val="1A4D2E"/>
                <w:sz w:val="22"/>
                <w:szCs w:val="22"/>
              </w:rPr>
              <w:t xml:space="preserve">Storage CRS:  </w:t>
            </w:r>
            <w:r>
              <w:rPr>
                <w:rFonts w:ascii="Arial" w:cs="Arial" w:eastAsia="Arial" w:hAnsi="Arial"/>
                <w:color w:val="1C1C1C"/>
                <w:sz w:val="22"/>
                <w:szCs w:val="22"/>
              </w:rPr>
              <w:t xml:space="preserve">EPSG:4326 (WGS84 geographic) — all shapefiles</w:t>
            </w:r>
          </w:p>
          <w:p>
            <w:pPr>
              <w:spacing w:before="60" w:after="60"/>
            </w:pPr>
            <w:r>
              <w:rPr>
                <w:rFonts w:ascii="Arial" w:cs="Arial" w:eastAsia="Arial" w:hAnsi="Arial"/>
                <w:b/>
                <w:bCs/>
                <w:color w:val="1A4D2E"/>
                <w:sz w:val="22"/>
                <w:szCs w:val="22"/>
              </w:rPr>
              <w:t xml:space="preserve">Analysis CRS:  </w:t>
            </w:r>
            <w:r>
              <w:rPr>
                <w:rFonts w:ascii="Arial" w:cs="Arial" w:eastAsia="Arial" w:hAnsi="Arial"/>
                <w:color w:val="1C1C1C"/>
                <w:sz w:val="22"/>
                <w:szCs w:val="22"/>
              </w:rPr>
              <w:t xml:space="preserve">EPSG:32736 (WGS84 / UTM Zone 36S) — area &amp; distance</w:t>
            </w:r>
          </w:p>
          <w:p>
            <w:pPr>
              <w:spacing w:before="60" w:after="60"/>
            </w:pPr>
            <w:r>
              <w:rPr>
                <w:rFonts w:ascii="Arial" w:cs="Arial" w:eastAsia="Arial" w:hAnsi="Arial"/>
                <w:b/>
                <w:bCs/>
                <w:color w:val="1A4D2E"/>
                <w:sz w:val="22"/>
                <w:szCs w:val="22"/>
              </w:rPr>
              <w:t xml:space="preserve">GEE export:  </w:t>
            </w:r>
            <w:r>
              <w:rPr>
                <w:rFonts w:ascii="Arial" w:cs="Arial" w:eastAsia="Arial" w:hAnsi="Arial"/>
                <w:color w:val="1C1C1C"/>
                <w:sz w:val="22"/>
                <w:szCs w:val="22"/>
              </w:rPr>
              <w:t xml:space="preserve">EPSG:4326 with 30m pixel resolution</w:t>
            </w:r>
          </w:p>
          <w:p>
            <w:pPr>
              <w:spacing w:before="60" w:after="60"/>
            </w:pPr>
            <w:r>
              <w:rPr>
                <w:rFonts w:ascii="Arial" w:cs="Arial" w:eastAsia="Arial" w:hAnsi="Arial"/>
                <w:b/>
                <w:bCs/>
                <w:color w:val="1A4D2E"/>
                <w:sz w:val="22"/>
                <w:szCs w:val="22"/>
              </w:rPr>
              <w:t xml:space="preserve">Map display:  </w:t>
            </w:r>
            <w:r>
              <w:rPr>
                <w:rFonts w:ascii="Arial" w:cs="Arial" w:eastAsia="Arial" w:hAnsi="Arial"/>
                <w:color w:val="1C1C1C"/>
                <w:sz w:val="22"/>
                <w:szCs w:val="22"/>
              </w:rPr>
              <w:t xml:space="preserve">EPSG:3857 (Web Mercator) — dashboard tiles</w:t>
            </w:r>
          </w:p>
        </w:tc>
        <w:tc>
          <w:tcPr>
            <w:tcW w:type="dxa" w:w="46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C1C1C"/>
                <w:sz w:val="22"/>
                <w:szCs w:val="22"/>
              </w:rPr>
              <w:t xml:space="preserve"/>
            </w:r>
          </w:p>
          <w:p>
            <w:pPr>
              <w:spacing w:before="60" w:after="60"/>
            </w:pPr>
            <w:r>
              <w:rPr>
                <w:rFonts w:ascii="Arial" w:cs="Arial" w:eastAsia="Arial" w:hAnsi="Arial"/>
                <w:b/>
                <w:bCs/>
                <w:color w:val="1A4D2E"/>
                <w:sz w:val="22"/>
                <w:szCs w:val="22"/>
              </w:rPr>
              <w:t xml:space="preserve">File format:  </w:t>
            </w:r>
            <w:r>
              <w:rPr>
                <w:rFonts w:ascii="Arial" w:cs="Arial" w:eastAsia="Arial" w:hAnsi="Arial"/>
                <w:color w:val="1C1C1C"/>
                <w:sz w:val="22"/>
                <w:szCs w:val="22"/>
              </w:rPr>
              <w:t xml:space="preserve">GeoPackage (.gpkg) primary; Shapefile (.shp) for exchange</w:t>
            </w:r>
          </w:p>
          <w:p>
            <w:pPr>
              <w:spacing w:before="60" w:after="60"/>
            </w:pPr>
            <w:r>
              <w:rPr>
                <w:rFonts w:ascii="Arial" w:cs="Arial" w:eastAsia="Arial" w:hAnsi="Arial"/>
                <w:b/>
                <w:bCs/>
                <w:color w:val="1A4D2E"/>
                <w:sz w:val="22"/>
                <w:szCs w:val="22"/>
              </w:rPr>
              <w:t xml:space="preserve">Attribute schema:  </w:t>
            </w:r>
            <w:r>
              <w:rPr>
                <w:rFonts w:ascii="Arial" w:cs="Arial" w:eastAsia="Arial" w:hAnsi="Arial"/>
                <w:color w:val="1C1C1C"/>
                <w:sz w:val="22"/>
                <w:szCs w:val="22"/>
              </w:rPr>
              <w:t xml:space="preserve">name, zone_id, area_km2, source, wdpa_id, date_updated</w:t>
            </w:r>
          </w:p>
          <w:p>
            <w:pPr>
              <w:spacing w:before="60" w:after="60"/>
            </w:pPr>
            <w:r>
              <w:rPr>
                <w:rFonts w:ascii="Arial" w:cs="Arial" w:eastAsia="Arial" w:hAnsi="Arial"/>
                <w:b/>
                <w:bCs/>
                <w:color w:val="1A4D2E"/>
                <w:sz w:val="22"/>
                <w:szCs w:val="22"/>
              </w:rPr>
              <w:t xml:space="preserve">Topology rules:  </w:t>
            </w:r>
            <w:r>
              <w:rPr>
                <w:rFonts w:ascii="Arial" w:cs="Arial" w:eastAsia="Arial" w:hAnsi="Arial"/>
                <w:color w:val="1C1C1C"/>
                <w:sz w:val="22"/>
                <w:szCs w:val="22"/>
              </w:rPr>
              <w:t xml:space="preserve">No overlaps within layer; gaps allowed between zones</w:t>
            </w:r>
          </w:p>
          <w:p>
            <w:pPr>
              <w:spacing w:before="60" w:after="60"/>
            </w:pPr>
            <w:r>
              <w:rPr>
                <w:rFonts w:ascii="Arial" w:cs="Arial" w:eastAsia="Arial" w:hAnsi="Arial"/>
                <w:b/>
                <w:bCs/>
                <w:color w:val="1A4D2E"/>
                <w:sz w:val="22"/>
                <w:szCs w:val="22"/>
              </w:rPr>
              <w:t xml:space="preserve">Version control:  </w:t>
            </w:r>
            <w:r>
              <w:rPr>
                <w:rFonts w:ascii="Arial" w:cs="Arial" w:eastAsia="Arial" w:hAnsi="Arial"/>
                <w:color w:val="1C1C1C"/>
                <w:sz w:val="22"/>
                <w:szCs w:val="22"/>
              </w:rPr>
              <w:t xml:space="preserve">Git-tracked GeoPackage with semantic versioning</w:t>
            </w:r>
          </w:p>
        </w:tc>
      </w:tr>
    </w:tbl>
    <w:p>
      <w:pPr>
        <w:spacing w:before="160" w:after="0"/>
      </w:pPr>
      <w:r>
        <w:rPr>
          <w:rFonts w:ascii="Arial" w:cs="Arial" w:eastAsia="Arial" w:hAnsi="Arial"/>
          <w:color w:val="1C1C1C"/>
          <w:sz w:val="22"/>
          <w:szCs w:val="22"/>
        </w:rPr>
        <w:t xml:space="preserve"/>
      </w:r>
    </w:p>
    <w:p>
      <w:pPr>
        <w:pStyle w:val="Heading2"/>
        <w:spacing w:before="240" w:after="80"/>
      </w:pPr>
      <w:r>
        <w:rPr>
          <w:rFonts w:ascii="Arial" w:cs="Arial" w:eastAsia="Arial" w:hAnsi="Arial"/>
          <w:b/>
          <w:bCs/>
          <w:color w:val="4A8C5C"/>
          <w:sz w:val="24"/>
          <w:szCs w:val="24"/>
        </w:rPr>
        <w:t xml:space="preserve">4.3  Shapefile Preparation Workflow</w:t>
      </w:r>
    </w:p>
    <w:p>
      <w:pPr>
        <w:spacing w:before="0" w:after="80"/>
      </w:pPr>
      <w:r>
        <w:rPr>
          <w:rFonts w:ascii="Arial" w:cs="Arial" w:eastAsia="Arial" w:hAnsi="Arial"/>
          <w:b/>
          <w:bCs/>
          <w:color w:val="CC4400"/>
          <w:sz w:val="22"/>
          <w:szCs w:val="22"/>
        </w:rPr>
        <w:t xml:space="preserve">Current status: </w:t>
      </w:r>
      <w:r>
        <w:rPr>
          <w:rFonts w:ascii="Arial" w:cs="Arial" w:eastAsia="Arial" w:hAnsi="Arial"/>
          <w:color w:val="8B3A00"/>
          <w:sz w:val="22"/>
          <w:szCs w:val="22"/>
        </w:rPr>
        <w:t xml:space="preserve">All boundaries are placeholders pending receipt of authoritative files from Six Rivers Africa. Step 0 below is the prerequisite for all subsequent steps.</w:t>
      </w:r>
    </w:p>
    <w:p>
      <w:pPr>
        <w:pStyle w:val="ListParagraph"/>
        <w:numPr>
          <w:ilvl w:val="0"/>
          <w:numId w:val="2"/>
        </w:numPr>
        <w:spacing w:before="50" w:after="50"/>
      </w:pPr>
      <w:r>
        <w:rPr>
          <w:rFonts w:ascii="Arial" w:cs="Arial" w:eastAsia="Arial" w:hAnsi="Arial"/>
          <w:color w:val="1C1C1C"/>
          <w:sz w:val="22"/>
          <w:szCs w:val="22"/>
        </w:rPr>
        <w:t xml:space="preserve">STEP 0 (prerequisite): Obtain verified operational boundary coordinates or shapefiles directly from Six Rivers Africa. All subsequent steps depend on this. Once received, replace all placeholder polygons in the GeoPackage and regenerate maps.</w:t>
      </w:r>
    </w:p>
    <w:p>
      <w:pPr>
        <w:pStyle w:val="ListParagraph"/>
        <w:numPr>
          <w:ilvl w:val="0"/>
          <w:numId w:val="2"/>
        </w:numPr>
        <w:spacing w:before="50" w:after="50"/>
      </w:pPr>
      <w:r>
        <w:rPr>
          <w:rFonts w:ascii="Arial" w:cs="Arial" w:eastAsia="Arial" w:hAnsi="Arial"/>
          <w:color w:val="1C1C1C"/>
          <w:sz w:val="22"/>
          <w:szCs w:val="22"/>
        </w:rPr>
        <w:t xml:space="preserve">Download WDPA shapefile for Tanzania (Protected Planet) and clip to study regions as a cross-validation reference</w:t>
      </w:r>
    </w:p>
    <w:p>
      <w:pPr>
        <w:pStyle w:val="ListParagraph"/>
        <w:numPr>
          <w:ilvl w:val="0"/>
          <w:numId w:val="2"/>
        </w:numPr>
        <w:spacing w:before="50" w:after="50"/>
      </w:pPr>
      <w:r>
        <w:rPr>
          <w:rFonts w:ascii="Arial" w:cs="Arial" w:eastAsia="Arial" w:hAnsi="Arial"/>
          <w:color w:val="1C1C1C"/>
          <w:sz w:val="22"/>
          <w:szCs w:val="22"/>
        </w:rPr>
        <w:t xml:space="preserve">Cross-validate boundaries against TANAPA / TAWA published maps and aerial imagery</w:t>
      </w:r>
    </w:p>
    <w:p>
      <w:pPr>
        <w:pStyle w:val="ListParagraph"/>
        <w:numPr>
          <w:ilvl w:val="0"/>
          <w:numId w:val="2"/>
        </w:numPr>
        <w:spacing w:before="50" w:after="50"/>
      </w:pPr>
      <w:r>
        <w:rPr>
          <w:rFonts w:ascii="Arial" w:cs="Arial" w:eastAsia="Arial" w:hAnsi="Arial"/>
          <w:color w:val="1C1C1C"/>
          <w:sz w:val="22"/>
          <w:szCs w:val="22"/>
        </w:rPr>
        <w:t xml:space="preserve">Generate simplified versions for web display (Douglas-Peucker, tolerance 0.001°)</w:t>
      </w:r>
    </w:p>
    <w:p>
      <w:pPr>
        <w:pStyle w:val="ListParagraph"/>
        <w:numPr>
          <w:ilvl w:val="0"/>
          <w:numId w:val="2"/>
        </w:numPr>
        <w:spacing w:before="50" w:after="50"/>
      </w:pPr>
      <w:r>
        <w:rPr>
          <w:rFonts w:ascii="Arial" w:cs="Arial" w:eastAsia="Arial" w:hAnsi="Arial"/>
          <w:color w:val="1C1C1C"/>
          <w:sz w:val="22"/>
          <w:szCs w:val="22"/>
        </w:rPr>
        <w:t xml:space="preserve">Compute zonal statistics masks in GEE using each polygon as an extraction unit</w:t>
      </w:r>
    </w:p>
    <w:p>
      <w:pPr>
        <w:pStyle w:val="ListParagraph"/>
        <w:numPr>
          <w:ilvl w:val="0"/>
          <w:numId w:val="2"/>
        </w:numPr>
        <w:spacing w:before="50" w:after="50"/>
      </w:pPr>
      <w:r>
        <w:rPr>
          <w:rFonts w:ascii="Arial" w:cs="Arial" w:eastAsia="Arial" w:hAnsi="Arial"/>
          <w:color w:val="1C1C1C"/>
          <w:sz w:val="22"/>
          <w:szCs w:val="22"/>
        </w:rPr>
        <w:t xml:space="preserve">Store all versions in versioned GeoPackage with provenance metadata</w:t>
      </w:r>
    </w:p>
    <w:p>
      <w:pPr>
        <w:pStyle w:val="ListParagraph"/>
        <w:numPr>
          <w:ilvl w:val="0"/>
          <w:numId w:val="2"/>
        </w:numPr>
        <w:spacing w:before="50" w:after="50"/>
      </w:pPr>
      <w:r>
        <w:rPr>
          <w:rFonts w:ascii="Arial" w:cs="Arial" w:eastAsia="Arial" w:hAnsi="Arial"/>
          <w:color w:val="1C1C1C"/>
          <w:sz w:val="22"/>
          <w:szCs w:val="22"/>
        </w:rPr>
        <w:t xml:space="preserve">Annual review: compare against updated WDPA releases and adjust if boundaries revised</w:t>
      </w:r>
    </w:p>
    <w:p>
      <w:pPr>
        <w:spacing w:before="240" w:after="0"/>
      </w:pPr>
      <w:r>
        <w:rPr>
          <w:rFonts w:ascii="Arial" w:cs="Arial" w:eastAsia="Arial" w:hAnsi="Arial"/>
          <w:color w:val="1C1C1C"/>
          <w:sz w:val="22"/>
          <w:szCs w:val="22"/>
        </w:rPr>
        <w:t xml:space="preserve"/>
      </w:r>
    </w:p>
    <w:p>
      <w:r>
        <w:br/>
      </w:r>
    </w:p>
    <w:p>
      <w:pPr>
        <w:pStyle w:val="Heading1"/>
        <w:pBdr>
          <w:bottom w:val="single" w:color="4A8C5C" w:sz="8" w:space="4"/>
        </w:pBdr>
        <w:spacing w:before="360" w:after="120"/>
      </w:pPr>
      <w:r>
        <w:rPr>
          <w:rFonts w:ascii="Arial" w:cs="Arial" w:eastAsia="Arial" w:hAnsi="Arial"/>
          <w:b/>
          <w:bCs/>
          <w:color w:val="1A4D2E"/>
          <w:sz w:val="28"/>
          <w:szCs w:val="28"/>
        </w:rPr>
        <w:t xml:space="preserve">5.  Deliverables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80"/>
        <w:gridCol w:w="2160"/>
        <w:gridCol w:w="2400"/>
      </w:tblGrid>
      <w:tr>
        <w:tc>
          <w:tcPr>
            <w:tcW w:type="dxa" w:w="720"/>
            <w:tcBorders>
              <w:top w:val="single" w:color="CCCCCC" w:sz="1"/>
              <w:left w:val="single" w:color="CCCCCC" w:sz="1"/>
              <w:bottom w:val="single" w:color="CCCCCC" w:sz="1"/>
              <w:right w:val="single" w:color="CCCCCC" w:sz="1"/>
            </w:tcBorders>
            <w:shd w:fill="1A4D2E"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4080"/>
            <w:tcBorders>
              <w:top w:val="single" w:color="CCCCCC" w:sz="1"/>
              <w:left w:val="single" w:color="CCCCCC" w:sz="1"/>
              <w:bottom w:val="single" w:color="CCCCCC" w:sz="1"/>
              <w:right w:val="single" w:color="CCCCCC" w:sz="1"/>
            </w:tcBorders>
            <w:shd w:fill="1A4D2E" w:val="clear"/>
            <w:tcMar>
              <w:top w:type="dxa" w:w="80"/>
              <w:left w:type="dxa" w:w="100"/>
              <w:bottom w:type="dxa" w:w="80"/>
              <w:right w:type="dxa" w:w="100"/>
            </w:tcMar>
          </w:tcPr>
          <w:p>
            <w:r>
              <w:rPr>
                <w:rFonts w:ascii="Arial" w:cs="Arial" w:eastAsia="Arial" w:hAnsi="Arial"/>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1A4D2E" w:val="clear"/>
            <w:tcMar>
              <w:top w:type="dxa" w:w="80"/>
              <w:left w:type="dxa" w:w="100"/>
              <w:bottom w:type="dxa" w:w="80"/>
              <w:right w:type="dxa" w:w="100"/>
            </w:tcMar>
          </w:tcPr>
          <w:p>
            <w:r>
              <w:rPr>
                <w:rFonts w:ascii="Arial" w:cs="Arial" w:eastAsia="Arial" w:hAnsi="Arial"/>
                <w:b/>
                <w:bCs/>
                <w:color w:val="FFFFFF"/>
                <w:sz w:val="20"/>
                <w:szCs w:val="20"/>
              </w:rPr>
              <w:t xml:space="preserve">Timeline</w:t>
            </w:r>
          </w:p>
        </w:tc>
        <w:tc>
          <w:tcPr>
            <w:tcW w:type="dxa" w:w="2400"/>
            <w:tcBorders>
              <w:top w:val="single" w:color="CCCCCC" w:sz="1"/>
              <w:left w:val="single" w:color="CCCCCC" w:sz="1"/>
              <w:bottom w:val="single" w:color="CCCCCC" w:sz="1"/>
              <w:right w:val="single" w:color="CCCCCC" w:sz="1"/>
            </w:tcBorders>
            <w:shd w:fill="1A4D2E" w:val="clear"/>
            <w:tcMar>
              <w:top w:type="dxa" w:w="80"/>
              <w:left w:type="dxa" w:w="100"/>
              <w:bottom w:type="dxa" w:w="80"/>
              <w:right w:type="dxa" w:w="100"/>
            </w:tcMar>
          </w:tcPr>
          <w:p>
            <w:r>
              <w:rPr>
                <w:rFonts w:ascii="Arial" w:cs="Arial" w:eastAsia="Arial" w:hAnsi="Arial"/>
                <w:b/>
                <w:bCs/>
                <w:color w:val="FFFFFF"/>
                <w:sz w:val="20"/>
                <w:szCs w:val="20"/>
              </w:rPr>
              <w:t xml:space="preserve">Owner</w:t>
            </w:r>
          </w:p>
        </w:tc>
      </w:tr>
      <w:tr>
        <w:tc>
          <w:tcPr>
            <w:tcW w:type="dxa" w:w="72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1</w:t>
            </w:r>
          </w:p>
        </w:tc>
        <w:tc>
          <w:tcPr>
            <w:tcW w:type="dxa" w:w="408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Shapefile register: both zones demarcated &amp; validated</w:t>
            </w:r>
          </w:p>
        </w:tc>
        <w:tc>
          <w:tcPr>
            <w:tcW w:type="dxa" w:w="21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Month 1</w:t>
            </w:r>
          </w:p>
        </w:tc>
        <w:tc>
          <w:tcPr>
            <w:tcW w:type="dxa" w:w="24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Ernest Moyo</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GEE data pipeline: historical baseline (2018–2025)</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Month 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Ernest Moyo</w:t>
            </w:r>
          </w:p>
        </w:tc>
      </w:tr>
      <w:tr>
        <w:tc>
          <w:tcPr>
            <w:tcW w:type="dxa" w:w="72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1</w:t>
            </w:r>
          </w:p>
        </w:tc>
        <w:tc>
          <w:tcPr>
            <w:tcW w:type="dxa" w:w="408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Interactive prototype dashboard (single zone)</w:t>
            </w:r>
          </w:p>
        </w:tc>
        <w:tc>
          <w:tcPr>
            <w:tcW w:type="dxa" w:w="21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Month 2</w:t>
            </w:r>
          </w:p>
        </w:tc>
        <w:tc>
          <w:tcPr>
            <w:tcW w:type="dxa" w:w="24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Ernest Moyo</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2</w:t>
            </w:r>
          </w:p>
        </w:tc>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Full dashboard: both zones, all indicators, alerting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Month 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Ernest Moyo</w:t>
            </w:r>
          </w:p>
        </w:tc>
      </w:tr>
      <w:tr>
        <w:tc>
          <w:tcPr>
            <w:tcW w:type="dxa" w:w="72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2</w:t>
            </w:r>
          </w:p>
        </w:tc>
        <w:tc>
          <w:tcPr>
            <w:tcW w:type="dxa" w:w="408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First automated monthly landscape health report</w:t>
            </w:r>
          </w:p>
        </w:tc>
        <w:tc>
          <w:tcPr>
            <w:tcW w:type="dxa" w:w="21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Month 3</w:t>
            </w:r>
          </w:p>
        </w:tc>
        <w:tc>
          <w:tcPr>
            <w:tcW w:type="dxa" w:w="24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Claude API</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2</w:t>
            </w:r>
          </w:p>
        </w:tc>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Staff training: dashboard interpretation &amp; data query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Month 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Ernest Moyo + SRA team</w:t>
            </w:r>
          </w:p>
        </w:tc>
      </w:tr>
      <w:tr>
        <w:tc>
          <w:tcPr>
            <w:tcW w:type="dxa" w:w="72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3</w:t>
            </w:r>
          </w:p>
        </w:tc>
        <w:tc>
          <w:tcPr>
            <w:tcW w:type="dxa" w:w="408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Integration with SRA annual reporting template</w:t>
            </w:r>
          </w:p>
        </w:tc>
        <w:tc>
          <w:tcPr>
            <w:tcW w:type="dxa" w:w="21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Month 5</w:t>
            </w:r>
          </w:p>
        </w:tc>
        <w:tc>
          <w:tcPr>
            <w:tcW w:type="dxa" w:w="24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C1C1C"/>
                <w:sz w:val="19"/>
                <w:szCs w:val="19"/>
              </w:rPr>
              <w:t xml:space="preserve">Ernest Moyo + SRA team</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3</w:t>
            </w:r>
          </w:p>
        </w:tc>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Community-facing summary brief (Swahili + English)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Month 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C1C1C"/>
                <w:sz w:val="19"/>
                <w:szCs w:val="19"/>
              </w:rPr>
              <w:t xml:space="preserve">Ernest Moyo + SRA team</w:t>
            </w:r>
          </w:p>
        </w:tc>
      </w:tr>
    </w:tbl>
    <w:p>
      <w:pPr>
        <w:spacing w:before="240" w:after="0"/>
      </w:pPr>
      <w:r>
        <w:rPr>
          <w:rFonts w:ascii="Arial" w:cs="Arial" w:eastAsia="Arial" w:hAnsi="Arial"/>
          <w:color w:val="1C1C1C"/>
          <w:sz w:val="22"/>
          <w:szCs w:val="22"/>
        </w:rPr>
        <w:t xml:space="preserve"/>
      </w:r>
    </w:p>
    <w:p>
      <w:r>
        <w:br/>
      </w:r>
    </w:p>
    <w:p>
      <w:pPr>
        <w:pStyle w:val="Heading1"/>
        <w:pBdr>
          <w:bottom w:val="single" w:color="4A8C5C" w:sz="8" w:space="4"/>
        </w:pBdr>
        <w:spacing w:before="360" w:after="120"/>
      </w:pPr>
      <w:r>
        <w:rPr>
          <w:rFonts w:ascii="Arial" w:cs="Arial" w:eastAsia="Arial" w:hAnsi="Arial"/>
          <w:b/>
          <w:bCs/>
          <w:color w:val="1A4D2E"/>
          <w:sz w:val="28"/>
          <w:szCs w:val="28"/>
        </w:rPr>
        <w:t xml:space="preserve">6.  Proposed Next Steps</w:t>
      </w:r>
    </w:p>
    <w:p>
      <w:pPr>
        <w:spacing w:before="60" w:after="80"/>
      </w:pPr>
      <w:r>
        <w:rPr>
          <w:rFonts w:ascii="Arial" w:cs="Arial" w:eastAsia="Arial" w:hAnsi="Arial"/>
          <w:color w:val="1C1C1C"/>
          <w:sz w:val="22"/>
          <w:szCs w:val="22"/>
        </w:rPr>
        <w:t xml:space="preserve">This specification is designed as a working document to be refined through direct engagement with the Six Rivers Africa team. A short scoping call (45–60 minutes) would enable us to:</w:t>
      </w:r>
    </w:p>
    <w:p>
      <w:pPr>
        <w:pStyle w:val="ListParagraph"/>
        <w:numPr>
          <w:ilvl w:val="0"/>
          <w:numId w:val="2"/>
        </w:numPr>
        <w:spacing w:before="50" w:after="50"/>
      </w:pPr>
      <w:r>
        <w:rPr>
          <w:rFonts w:ascii="Arial" w:cs="Arial" w:eastAsia="Arial" w:hAnsi="Arial"/>
          <w:color w:val="1C1C1C"/>
          <w:sz w:val="22"/>
          <w:szCs w:val="22"/>
        </w:rPr>
        <w:t xml:space="preserve">Confirm which landscape zone (Usangu or Selous) represents the highest current monitoring priority</w:t>
      </w:r>
    </w:p>
    <w:p>
      <w:pPr>
        <w:pStyle w:val="ListParagraph"/>
        <w:numPr>
          <w:ilvl w:val="0"/>
          <w:numId w:val="2"/>
        </w:numPr>
        <w:spacing w:before="50" w:after="50"/>
      </w:pPr>
      <w:r>
        <w:rPr>
          <w:rFonts w:ascii="Arial" w:cs="Arial" w:eastAsia="Arial" w:hAnsi="Arial"/>
          <w:color w:val="1C1C1C"/>
          <w:sz w:val="22"/>
          <w:szCs w:val="22"/>
        </w:rPr>
        <w:t xml:space="preserve">Review existing data assets: any historical field monitoring, previous satellite analyses, or boundary shapefiles already held by SRA</w:t>
      </w:r>
    </w:p>
    <w:p>
      <w:pPr>
        <w:pStyle w:val="ListParagraph"/>
        <w:numPr>
          <w:ilvl w:val="0"/>
          <w:numId w:val="2"/>
        </w:numPr>
        <w:spacing w:before="50" w:after="50"/>
      </w:pPr>
      <w:r>
        <w:rPr>
          <w:rFonts w:ascii="Arial" w:cs="Arial" w:eastAsia="Arial" w:hAnsi="Arial"/>
          <w:color w:val="1C1C1C"/>
          <w:sz w:val="22"/>
          <w:szCs w:val="22"/>
        </w:rPr>
        <w:t xml:space="preserve">Agree on the first reporting cycle and audience (internal management vs. donor vs. Tanzanian government)</w:t>
      </w:r>
    </w:p>
    <w:p>
      <w:pPr>
        <w:pStyle w:val="ListParagraph"/>
        <w:numPr>
          <w:ilvl w:val="0"/>
          <w:numId w:val="2"/>
        </w:numPr>
        <w:spacing w:before="50" w:after="50"/>
      </w:pPr>
      <w:r>
        <w:rPr>
          <w:rFonts w:ascii="Arial" w:cs="Arial" w:eastAsia="Arial" w:hAnsi="Arial"/>
          <w:color w:val="1C1C1C"/>
          <w:sz w:val="22"/>
          <w:szCs w:val="22"/>
        </w:rPr>
        <w:t xml:space="preserve">Confirm 7Square Inc. engagement model: technical partnership, advisory, or secondment</w:t>
      </w:r>
    </w:p>
    <w:p>
      <w:pPr>
        <w:spacing w:before="160" w:after="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D8" w:val="clear"/>
            <w:tcMar>
              <w:top w:type="dxa" w:w="80"/>
              <w:left w:type="dxa" w:w="160"/>
              <w:bottom w:type="dxa" w:w="80"/>
              <w:right w:type="dxa" w:w="160"/>
            </w:tcMar>
          </w:tcPr>
          <w:p>
            <w:r>
              <w:rPr>
                <w:rFonts w:ascii="Arial" w:cs="Arial" w:eastAsia="Arial" w:hAnsi="Arial"/>
                <w:color w:val="1C1C1C"/>
                <w:sz w:val="22"/>
                <w:szCs w:val="22"/>
              </w:rPr>
              <w:t xml:space="preserve"/>
            </w:r>
          </w:p>
          <w:p>
            <w:pPr>
              <w:spacing w:before="0" w:after="60"/>
            </w:pPr>
            <w:r>
              <w:rPr>
                <w:rFonts w:ascii="Arial" w:cs="Arial" w:eastAsia="Arial" w:hAnsi="Arial"/>
                <w:b/>
                <w:bCs/>
                <w:color w:val="1A4D2E"/>
                <w:sz w:val="20"/>
                <w:szCs w:val="20"/>
              </w:rPr>
              <w:t xml:space="preserve">Contact</w:t>
            </w:r>
          </w:p>
          <w:p>
            <w:pPr>
              <w:spacing w:before="60" w:after="60"/>
            </w:pPr>
            <w:r>
              <w:rPr>
                <w:rFonts w:ascii="Arial" w:cs="Arial" w:eastAsia="Arial" w:hAnsi="Arial"/>
                <w:b/>
                <w:bCs/>
                <w:color w:val="1A4D2E"/>
                <w:sz w:val="22"/>
                <w:szCs w:val="22"/>
              </w:rPr>
              <w:t xml:space="preserve">Name:  </w:t>
            </w:r>
            <w:r>
              <w:rPr>
                <w:rFonts w:ascii="Arial" w:cs="Arial" w:eastAsia="Arial" w:hAnsi="Arial"/>
                <w:color w:val="1C1C1C"/>
                <w:sz w:val="22"/>
                <w:szCs w:val="22"/>
              </w:rPr>
              <w:t xml:space="preserve">Ernest Moyo</w:t>
            </w:r>
          </w:p>
          <w:p>
            <w:pPr>
              <w:spacing w:before="60" w:after="60"/>
            </w:pPr>
            <w:r>
              <w:rPr>
                <w:rFonts w:ascii="Arial" w:cs="Arial" w:eastAsia="Arial" w:hAnsi="Arial"/>
                <w:b/>
                <w:bCs/>
                <w:color w:val="1A4D2E"/>
                <w:sz w:val="22"/>
                <w:szCs w:val="22"/>
              </w:rPr>
              <w:t xml:space="preserve">Role:  </w:t>
            </w:r>
            <w:r>
              <w:rPr>
                <w:rFonts w:ascii="Arial" w:cs="Arial" w:eastAsia="Arial" w:hAnsi="Arial"/>
                <w:color w:val="1C1C1C"/>
                <w:sz w:val="22"/>
                <w:szCs w:val="22"/>
              </w:rPr>
              <w:t xml:space="preserve">Epidemiologist &amp; Data Scientist, NM-AIST | Co-founder, 7Square Inc.</w:t>
            </w:r>
          </w:p>
          <w:p>
            <w:pPr>
              <w:spacing w:before="60" w:after="60"/>
            </w:pPr>
            <w:r>
              <w:rPr>
                <w:rFonts w:ascii="Arial" w:cs="Arial" w:eastAsia="Arial" w:hAnsi="Arial"/>
                <w:b/>
                <w:bCs/>
                <w:color w:val="1A4D2E"/>
                <w:sz w:val="22"/>
                <w:szCs w:val="22"/>
              </w:rPr>
              <w:t xml:space="preserve">Web:  </w:t>
            </w:r>
            <w:r>
              <w:rPr>
                <w:rFonts w:ascii="Arial" w:cs="Arial" w:eastAsia="Arial" w:hAnsi="Arial"/>
                <w:color w:val="1C1C1C"/>
                <w:sz w:val="22"/>
                <w:szCs w:val="22"/>
              </w:rPr>
              <w:t xml:space="preserve">7squareinc.com</w:t>
            </w:r>
          </w:p>
          <w:p>
            <w:pPr>
              <w:spacing w:before="60" w:after="60"/>
            </w:pPr>
            <w:r>
              <w:rPr>
                <w:rFonts w:ascii="Arial" w:cs="Arial" w:eastAsia="Arial" w:hAnsi="Arial"/>
                <w:b/>
                <w:bCs/>
                <w:color w:val="1A4D2E"/>
                <w:sz w:val="22"/>
                <w:szCs w:val="22"/>
              </w:rPr>
              <w:t xml:space="preserve">Research:  </w:t>
            </w:r>
            <w:r>
              <w:rPr>
                <w:rFonts w:ascii="Arial" w:cs="Arial" w:eastAsia="Arial" w:hAnsi="Arial"/>
                <w:color w:val="1C1C1C"/>
                <w:sz w:val="22"/>
                <w:szCs w:val="22"/>
              </w:rPr>
              <w:t xml:space="preserve">github.com/ernestmoyo</w:t>
            </w:r>
          </w:p>
        </w:tc>
        <w:tc>
          <w:tcPr>
            <w:tcW w:type="dxa" w:w="4680"/>
            <w:tcBorders>
              <w:top w:val="single" w:color="CCCCCC" w:sz="1"/>
              <w:left w:val="single" w:color="CCCCCC" w:sz="1"/>
              <w:bottom w:val="single" w:color="CCCCCC" w:sz="1"/>
              <w:right w:val="single" w:color="CCCCCC" w:sz="1"/>
            </w:tcBorders>
            <w:shd w:fill="FBF0D9" w:val="clear"/>
            <w:tcMar>
              <w:top w:type="dxa" w:w="80"/>
              <w:left w:type="dxa" w:w="160"/>
              <w:bottom w:type="dxa" w:w="80"/>
              <w:right w:type="dxa" w:w="160"/>
            </w:tcMar>
          </w:tcPr>
          <w:p>
            <w:r>
              <w:rPr>
                <w:rFonts w:ascii="Arial" w:cs="Arial" w:eastAsia="Arial" w:hAnsi="Arial"/>
                <w:color w:val="1C1C1C"/>
                <w:sz w:val="22"/>
                <w:szCs w:val="22"/>
              </w:rPr>
              <w:t xml:space="preserve"/>
            </w:r>
          </w:p>
          <w:p>
            <w:pPr>
              <w:spacing w:before="0" w:after="60"/>
            </w:pPr>
            <w:r>
              <w:rPr>
                <w:rFonts w:ascii="Arial" w:cs="Arial" w:eastAsia="Arial" w:hAnsi="Arial"/>
                <w:b/>
                <w:bCs/>
                <w:color w:val="8B5E00"/>
                <w:sz w:val="20"/>
                <w:szCs w:val="20"/>
              </w:rPr>
              <w:t xml:space="preserve">Document Status</w:t>
            </w:r>
          </w:p>
          <w:p>
            <w:pPr>
              <w:spacing w:before="60" w:after="60"/>
            </w:pPr>
            <w:r>
              <w:rPr>
                <w:rFonts w:ascii="Arial" w:cs="Arial" w:eastAsia="Arial" w:hAnsi="Arial"/>
                <w:b/>
                <w:bCs/>
                <w:color w:val="1A4D2E"/>
                <w:sz w:val="22"/>
                <w:szCs w:val="22"/>
              </w:rPr>
              <w:t xml:space="preserve">Version:  </w:t>
            </w:r>
            <w:r>
              <w:rPr>
                <w:rFonts w:ascii="Arial" w:cs="Arial" w:eastAsia="Arial" w:hAnsi="Arial"/>
                <w:color w:val="1C1C1C"/>
                <w:sz w:val="22"/>
                <w:szCs w:val="22"/>
              </w:rPr>
              <w:t xml:space="preserve">v1.0 — Preliminary</w:t>
            </w:r>
          </w:p>
          <w:p>
            <w:pPr>
              <w:spacing w:before="60" w:after="60"/>
            </w:pPr>
            <w:r>
              <w:rPr>
                <w:rFonts w:ascii="Arial" w:cs="Arial" w:eastAsia="Arial" w:hAnsi="Arial"/>
                <w:b/>
                <w:bCs/>
                <w:color w:val="1A4D2E"/>
                <w:sz w:val="22"/>
                <w:szCs w:val="22"/>
              </w:rPr>
              <w:t xml:space="preserve">Date:  </w:t>
            </w:r>
            <w:r>
              <w:rPr>
                <w:rFonts w:ascii="Arial" w:cs="Arial" w:eastAsia="Arial" w:hAnsi="Arial"/>
                <w:color w:val="1C1C1C"/>
                <w:sz w:val="22"/>
                <w:szCs w:val="22"/>
              </w:rPr>
              <w:t xml:space="preserve">February 2026</w:t>
            </w:r>
          </w:p>
          <w:p>
            <w:pPr>
              <w:spacing w:before="60" w:after="60"/>
            </w:pPr>
            <w:r>
              <w:rPr>
                <w:rFonts w:ascii="Arial" w:cs="Arial" w:eastAsia="Arial" w:hAnsi="Arial"/>
                <w:b/>
                <w:bCs/>
                <w:color w:val="1A4D2E"/>
                <w:sz w:val="22"/>
                <w:szCs w:val="22"/>
              </w:rPr>
              <w:t xml:space="preserve">Audience:  </w:t>
            </w:r>
            <w:r>
              <w:rPr>
                <w:rFonts w:ascii="Arial" w:cs="Arial" w:eastAsia="Arial" w:hAnsi="Arial"/>
                <w:color w:val="1C1C1C"/>
                <w:sz w:val="22"/>
                <w:szCs w:val="22"/>
              </w:rPr>
              <w:t xml:space="preserve">Six Rivers Africa Team — Not for Distribution</w:t>
            </w:r>
          </w:p>
          <w:p>
            <w:pPr>
              <w:spacing w:before="60" w:after="60"/>
            </w:pPr>
            <w:r>
              <w:rPr>
                <w:rFonts w:ascii="Arial" w:cs="Arial" w:eastAsia="Arial" w:hAnsi="Arial"/>
                <w:b/>
                <w:bCs/>
                <w:color w:val="1A4D2E"/>
                <w:sz w:val="22"/>
                <w:szCs w:val="22"/>
              </w:rPr>
              <w:t xml:space="preserve">Review:  </w:t>
            </w:r>
            <w:r>
              <w:rPr>
                <w:rFonts w:ascii="Arial" w:cs="Arial" w:eastAsia="Arial" w:hAnsi="Arial"/>
                <w:color w:val="1C1C1C"/>
                <w:sz w:val="22"/>
                <w:szCs w:val="22"/>
              </w:rPr>
              <w:t xml:space="preserve">Pending scoping conversation</w:t>
            </w:r>
          </w:p>
        </w:tc>
      </w:tr>
    </w:tbl>
    <w:p>
      <w:pPr>
        <w:spacing w:before="400" w:after="0"/>
      </w:pPr>
      <w:r>
        <w:rPr>
          <w:rFonts w:ascii="Arial" w:cs="Arial" w:eastAsia="Arial" w:hAnsi="Arial"/>
          <w:color w:val="1C1C1C"/>
          <w:sz w:val="22"/>
          <w:szCs w:val="22"/>
        </w:rPr>
        <w:t xml:space="preserve"/>
      </w:r>
    </w:p>
    <w:p>
      <w:pPr>
        <w:spacing w:before="0" w:after="0"/>
        <w:jc w:val="center"/>
      </w:pPr>
      <w:r>
        <w:rPr>
          <w:rFonts w:ascii="Arial" w:cs="Arial" w:eastAsia="Arial" w:hAnsi="Arial"/>
          <w:i/>
          <w:iCs/>
          <w:color w:val="888888"/>
          <w:sz w:val="18"/>
          <w:szCs w:val="18"/>
        </w:rPr>
        <w:t xml:space="preserve">Prepared by Ernest Moyo / 7Square Inc.  |  February 2026  |  Confidential — Preliminary Concepts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4D2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4A8C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a7be462decb1952fc4fea8869af65b45f750404.png"/><Relationship Id="rId7" Type="http://schemas.openxmlformats.org/officeDocument/2006/relationships/image" Target="media/5c7d9c10565fe5b4f791b316205f693290ef1031.png"/><Relationship Id="rId8" Type="http://schemas.openxmlformats.org/officeDocument/2006/relationships/image" Target="media/4150f30a741ee6490eb96b279980ff68e76bc23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2026-02-21T23:42:37.614Z</dcterms:created>
  <dcterms:modified xsi:type="dcterms:W3CDTF">2026-02-21T23:42:37.615Z</dcterms:modified>
</cp:coreProperties>
</file>

<file path=docProps/custom.xml><?xml version="1.0" encoding="utf-8"?>
<Properties xmlns="http://schemas.openxmlformats.org/officeDocument/2006/custom-properties" xmlns:vt="http://schemas.openxmlformats.org/officeDocument/2006/docPropsVTypes"/>
</file>