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67AD" w14:textId="77777777" w:rsidR="00304C5F" w:rsidRPr="00A06A81" w:rsidRDefault="00304C5F" w:rsidP="00304C5F">
      <w:pPr>
        <w:rPr>
          <w:rFonts w:cs="Arial"/>
          <w:b/>
          <w:bCs/>
          <w:color w:val="000000" w:themeColor="text1"/>
          <w:lang w:val="es-ES"/>
        </w:rPr>
      </w:pPr>
    </w:p>
    <w:p w14:paraId="22FC3759" w14:textId="77777777" w:rsidR="00304C5F" w:rsidRPr="00A06A81" w:rsidRDefault="00304C5F" w:rsidP="00304C5F">
      <w:pPr>
        <w:spacing w:after="0" w:line="240" w:lineRule="auto"/>
        <w:jc w:val="center"/>
        <w:rPr>
          <w:rFonts w:eastAsia="Times New Roman" w:cs="Arial"/>
          <w:b/>
          <w:bCs/>
          <w:color w:val="000000" w:themeColor="text1"/>
          <w:sz w:val="24"/>
          <w:szCs w:val="24"/>
          <w:lang w:val="es-ES" w:eastAsia="es-ES"/>
        </w:rPr>
      </w:pPr>
      <w:r w:rsidRPr="00A06A81">
        <w:rPr>
          <w:rFonts w:cs="Arial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9456CA6" wp14:editId="4765C058">
            <wp:simplePos x="0" y="0"/>
            <wp:positionH relativeFrom="margin">
              <wp:align>left</wp:align>
            </wp:positionH>
            <wp:positionV relativeFrom="paragraph">
              <wp:posOffset>-261620</wp:posOffset>
            </wp:positionV>
            <wp:extent cx="696936" cy="1299226"/>
            <wp:effectExtent l="0" t="0" r="825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36" cy="129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6A81">
        <w:rPr>
          <w:rFonts w:eastAsia="Times New Roman" w:cs="Arial"/>
          <w:b/>
          <w:bCs/>
          <w:color w:val="000000" w:themeColor="text1"/>
          <w:sz w:val="24"/>
          <w:szCs w:val="24"/>
          <w:lang w:val="es-ES" w:eastAsia="es-ES"/>
        </w:rPr>
        <w:t>INSTITUTO DE EDUCACIÓN SUPERIOR PÚBLICO</w:t>
      </w:r>
    </w:p>
    <w:p w14:paraId="40E404E2" w14:textId="77777777" w:rsidR="00304C5F" w:rsidRPr="00A06A81" w:rsidRDefault="00304C5F" w:rsidP="00304C5F">
      <w:pPr>
        <w:spacing w:line="240" w:lineRule="auto"/>
        <w:jc w:val="center"/>
        <w:rPr>
          <w:rFonts w:eastAsia="Times New Roman" w:cs="Arial"/>
          <w:b/>
          <w:bCs/>
          <w:color w:val="000000" w:themeColor="text1"/>
          <w:lang w:val="es-ES" w:eastAsia="es-ES"/>
        </w:rPr>
      </w:pPr>
      <w:r w:rsidRPr="00A06A81"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  <w:t>“CAP. FAP JOSÉ ABELARDO QUIÑONES”</w:t>
      </w:r>
    </w:p>
    <w:p w14:paraId="069C2ABF" w14:textId="77777777" w:rsidR="00304C5F" w:rsidRPr="00A06A81" w:rsidRDefault="00304C5F" w:rsidP="00304C5F">
      <w:pPr>
        <w:spacing w:after="0" w:line="240" w:lineRule="auto"/>
        <w:jc w:val="center"/>
        <w:rPr>
          <w:rFonts w:eastAsia="Times New Roman" w:cs="Arial"/>
          <w:b/>
          <w:bCs/>
          <w:color w:val="000000" w:themeColor="text1"/>
          <w:sz w:val="24"/>
          <w:szCs w:val="24"/>
          <w:lang w:val="es-ES" w:eastAsia="es-ES"/>
        </w:rPr>
      </w:pPr>
      <w:r w:rsidRPr="00A06A81">
        <w:rPr>
          <w:rFonts w:cs="Arial"/>
          <w:b/>
          <w:bCs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2590D7F9" wp14:editId="40BA236E">
            <wp:simplePos x="0" y="0"/>
            <wp:positionH relativeFrom="margin">
              <wp:posOffset>2404110</wp:posOffset>
            </wp:positionH>
            <wp:positionV relativeFrom="paragraph">
              <wp:posOffset>262255</wp:posOffset>
            </wp:positionV>
            <wp:extent cx="1362075" cy="1362075"/>
            <wp:effectExtent l="0" t="0" r="9525" b="952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6A81">
        <w:rPr>
          <w:rFonts w:eastAsia="Times New Roman" w:cs="Arial"/>
          <w:b/>
          <w:bCs/>
          <w:color w:val="000000" w:themeColor="text1"/>
          <w:lang w:val="es-ES" w:eastAsia="es-ES"/>
        </w:rPr>
        <w:t>PROGRAMA DE ESTUDIOS:</w:t>
      </w:r>
    </w:p>
    <w:p w14:paraId="3020904B" w14:textId="77777777" w:rsidR="00304C5F" w:rsidRPr="00A06A81" w:rsidRDefault="00304C5F" w:rsidP="00304C5F">
      <w:pPr>
        <w:spacing w:before="206" w:after="0" w:line="240" w:lineRule="auto"/>
        <w:jc w:val="center"/>
        <w:rPr>
          <w:rFonts w:eastAsia="Times New Roman" w:cs="Arial"/>
          <w:b/>
          <w:bCs/>
          <w:color w:val="000000" w:themeColor="text1"/>
          <w:sz w:val="6"/>
          <w:szCs w:val="6"/>
          <w:lang w:val="es-ES" w:eastAsia="es-ES"/>
        </w:rPr>
      </w:pPr>
    </w:p>
    <w:p w14:paraId="6C4C5BD8" w14:textId="77777777" w:rsidR="00304C5F" w:rsidRPr="00A06A81" w:rsidRDefault="00304C5F" w:rsidP="00304C5F">
      <w:pPr>
        <w:spacing w:after="0" w:line="240" w:lineRule="auto"/>
        <w:jc w:val="center"/>
        <w:rPr>
          <w:rFonts w:eastAsia="Times New Roman" w:cs="Arial"/>
          <w:b/>
          <w:bCs/>
          <w:color w:val="000000" w:themeColor="text1"/>
          <w:sz w:val="24"/>
          <w:szCs w:val="24"/>
          <w:lang w:val="es-ES" w:eastAsia="es-ES"/>
        </w:rPr>
      </w:pPr>
      <w:r w:rsidRPr="00A06A81"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  <w:t>ARQUITECTURA DE PLATAFORMAS Y SERVICIOS DE</w:t>
      </w:r>
    </w:p>
    <w:p w14:paraId="486C5C10" w14:textId="77777777" w:rsidR="00304C5F" w:rsidRPr="00A06A81" w:rsidRDefault="00304C5F" w:rsidP="00304C5F">
      <w:pPr>
        <w:spacing w:before="42" w:after="0" w:line="240" w:lineRule="auto"/>
        <w:jc w:val="center"/>
        <w:rPr>
          <w:rFonts w:eastAsia="Times New Roman" w:cs="Arial"/>
          <w:b/>
          <w:bCs/>
          <w:color w:val="000000" w:themeColor="text1"/>
          <w:sz w:val="24"/>
          <w:szCs w:val="24"/>
          <w:lang w:val="es-ES" w:eastAsia="es-ES"/>
        </w:rPr>
      </w:pPr>
      <w:r w:rsidRPr="00A06A81"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  <w:t>TECNOLOGÍAS DE LA INFORMACIÓN</w:t>
      </w:r>
    </w:p>
    <w:p w14:paraId="0014AF8D" w14:textId="77777777" w:rsidR="00304C5F" w:rsidRPr="00A06A81" w:rsidRDefault="00304C5F" w:rsidP="00304C5F">
      <w:pPr>
        <w:spacing w:before="496" w:after="0" w:line="240" w:lineRule="auto"/>
        <w:jc w:val="center"/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</w:pPr>
      <w:r w:rsidRPr="00A06A81"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  <w:t>MÓDULO FORMATIVO II:</w:t>
      </w:r>
    </w:p>
    <w:p w14:paraId="349F709E" w14:textId="77777777" w:rsidR="00304C5F" w:rsidRPr="00A06A81" w:rsidRDefault="00304C5F" w:rsidP="00304C5F">
      <w:pPr>
        <w:spacing w:before="153" w:after="0" w:line="240" w:lineRule="auto"/>
        <w:jc w:val="center"/>
        <w:rPr>
          <w:rFonts w:eastAsia="Times New Roman" w:cs="Arial"/>
          <w:b/>
          <w:bCs/>
          <w:color w:val="000000" w:themeColor="text1"/>
          <w:lang w:val="es-ES" w:eastAsia="es-ES"/>
        </w:rPr>
      </w:pPr>
      <w:r w:rsidRPr="00A06A81">
        <w:rPr>
          <w:rFonts w:eastAsia="Times New Roman" w:cs="Arial"/>
          <w:b/>
          <w:bCs/>
          <w:color w:val="000000" w:themeColor="text1"/>
          <w:lang w:val="es-ES" w:eastAsia="es-ES"/>
        </w:rPr>
        <w:t>ASISTENCIA EN LA PUESTA EN PRODUCCIÓN DE LOS SISTEMAS DE TI</w:t>
      </w:r>
    </w:p>
    <w:p w14:paraId="63B0204F" w14:textId="77777777" w:rsidR="00304C5F" w:rsidRPr="00A06A81" w:rsidRDefault="00304C5F" w:rsidP="00304C5F">
      <w:pPr>
        <w:spacing w:before="494" w:after="0" w:line="240" w:lineRule="auto"/>
        <w:jc w:val="center"/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</w:pPr>
      <w:r w:rsidRPr="00A06A81"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  <w:t>UNIDAD DIDÁCTICA:</w:t>
      </w:r>
    </w:p>
    <w:p w14:paraId="76D4660A" w14:textId="77777777" w:rsidR="00304C5F" w:rsidRPr="00A06A81" w:rsidRDefault="00304C5F" w:rsidP="00304C5F">
      <w:pPr>
        <w:spacing w:before="150" w:after="0" w:line="240" w:lineRule="auto"/>
        <w:jc w:val="center"/>
        <w:rPr>
          <w:rFonts w:eastAsia="Times New Roman" w:cs="Arial"/>
          <w:b/>
          <w:bCs/>
          <w:color w:val="000000" w:themeColor="text1"/>
          <w:sz w:val="24"/>
          <w:szCs w:val="24"/>
          <w:lang w:val="es-ES" w:eastAsia="es-ES"/>
        </w:rPr>
      </w:pPr>
      <w:r w:rsidRPr="00A06A81">
        <w:rPr>
          <w:rFonts w:cs="Arial"/>
          <w:b/>
          <w:bCs/>
          <w:color w:val="000000" w:themeColor="text1"/>
          <w:lang w:val="es-ES"/>
        </w:rPr>
        <w:t>FUNDAMENTOS DE DESARROLLO WEB</w:t>
      </w:r>
    </w:p>
    <w:p w14:paraId="4D5B8AB0" w14:textId="77777777" w:rsidR="00304C5F" w:rsidRPr="00A06A81" w:rsidRDefault="00304C5F" w:rsidP="00304C5F">
      <w:pPr>
        <w:spacing w:before="518" w:line="240" w:lineRule="auto"/>
        <w:jc w:val="center"/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</w:pPr>
      <w:r w:rsidRPr="00A06A81"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  <w:t>TEMA:</w:t>
      </w:r>
    </w:p>
    <w:p w14:paraId="4BE461EC" w14:textId="4F88DD16" w:rsidR="00304C5F" w:rsidRDefault="00696079" w:rsidP="00304C5F">
      <w:pPr>
        <w:spacing w:after="0" w:line="240" w:lineRule="auto"/>
        <w:jc w:val="center"/>
        <w:rPr>
          <w:rFonts w:eastAsia="Times New Roman" w:cs="Arial"/>
          <w:b/>
          <w:bCs/>
          <w:color w:val="000000" w:themeColor="text1"/>
          <w:lang w:val="es-ES" w:eastAsia="es-ES"/>
        </w:rPr>
      </w:pPr>
      <w:r>
        <w:rPr>
          <w:rFonts w:eastAsia="Times New Roman" w:cs="Arial"/>
          <w:b/>
          <w:bCs/>
          <w:color w:val="000000" w:themeColor="text1"/>
          <w:lang w:val="es-ES" w:eastAsia="es-ES"/>
        </w:rPr>
        <w:t xml:space="preserve">PRACTICA DE MODAL </w:t>
      </w:r>
      <w:r w:rsidR="00EF1BBE" w:rsidRPr="00C27FDC">
        <w:rPr>
          <w:rFonts w:cs="Arial"/>
          <w:b/>
          <w:bCs/>
          <w:color w:val="000000" w:themeColor="text1"/>
          <w:lang w:val="es-ES"/>
        </w:rPr>
        <w:t>–</w:t>
      </w:r>
      <w:r w:rsidRPr="00C27FDC">
        <w:rPr>
          <w:rFonts w:cs="Arial"/>
          <w:b/>
          <w:bCs/>
          <w:color w:val="000000" w:themeColor="text1"/>
          <w:lang w:val="es-ES"/>
        </w:rPr>
        <w:t xml:space="preserve"> </w:t>
      </w:r>
      <w:r w:rsidR="00C27FDC" w:rsidRPr="00C27FDC">
        <w:rPr>
          <w:rFonts w:cs="Arial"/>
          <w:b/>
          <w:bCs/>
          <w:color w:val="000000" w:themeColor="text1"/>
          <w:lang w:val="es-ES"/>
        </w:rPr>
        <w:t>Inventario TI Adaptable</w:t>
      </w:r>
    </w:p>
    <w:p w14:paraId="138D685D" w14:textId="77777777" w:rsidR="00304C5F" w:rsidRPr="00A06A81" w:rsidRDefault="00304C5F" w:rsidP="00304C5F">
      <w:pPr>
        <w:spacing w:after="0" w:line="240" w:lineRule="auto"/>
        <w:jc w:val="center"/>
        <w:rPr>
          <w:rFonts w:eastAsia="Times New Roman" w:cs="Arial"/>
          <w:b/>
          <w:bCs/>
          <w:color w:val="000000" w:themeColor="text1"/>
          <w:lang w:val="es-ES" w:eastAsia="es-ES"/>
        </w:rPr>
      </w:pPr>
    </w:p>
    <w:p w14:paraId="32E97228" w14:textId="77777777" w:rsidR="00304C5F" w:rsidRPr="00A06A81" w:rsidRDefault="00304C5F" w:rsidP="00304C5F">
      <w:pPr>
        <w:spacing w:before="513" w:after="0" w:line="240" w:lineRule="auto"/>
        <w:jc w:val="center"/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</w:pPr>
      <w:r w:rsidRPr="00A06A81"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  <w:t>DOCENTE:</w:t>
      </w:r>
    </w:p>
    <w:p w14:paraId="40CD2F1D" w14:textId="77777777" w:rsidR="00304C5F" w:rsidRDefault="00304C5F" w:rsidP="00304C5F">
      <w:pPr>
        <w:spacing w:before="153" w:after="0" w:line="240" w:lineRule="auto"/>
        <w:jc w:val="center"/>
        <w:rPr>
          <w:rFonts w:cs="Arial"/>
          <w:b/>
          <w:bCs/>
          <w:color w:val="000000" w:themeColor="text1"/>
          <w:lang w:val="es-ES"/>
        </w:rPr>
      </w:pPr>
      <w:r w:rsidRPr="00A06A81">
        <w:rPr>
          <w:rFonts w:cs="Arial"/>
          <w:b/>
          <w:bCs/>
          <w:color w:val="000000" w:themeColor="text1"/>
          <w:lang w:val="es-ES"/>
        </w:rPr>
        <w:t>ING. MG. JONATHAN MERINO FARÍAS</w:t>
      </w:r>
    </w:p>
    <w:p w14:paraId="1A95496C" w14:textId="77777777" w:rsidR="00304C5F" w:rsidRPr="00A06A81" w:rsidRDefault="00304C5F" w:rsidP="00304C5F">
      <w:pPr>
        <w:spacing w:before="153" w:after="0" w:line="240" w:lineRule="auto"/>
        <w:jc w:val="center"/>
        <w:rPr>
          <w:rFonts w:eastAsia="Times New Roman" w:cs="Arial"/>
          <w:b/>
          <w:bCs/>
          <w:color w:val="000000" w:themeColor="text1"/>
          <w:sz w:val="24"/>
          <w:szCs w:val="24"/>
          <w:lang w:val="es-ES" w:eastAsia="es-ES"/>
        </w:rPr>
      </w:pPr>
    </w:p>
    <w:p w14:paraId="6C2E7E90" w14:textId="77777777" w:rsidR="00304C5F" w:rsidRPr="00A06A81" w:rsidRDefault="00304C5F" w:rsidP="00304C5F">
      <w:pPr>
        <w:spacing w:before="153" w:after="0" w:line="240" w:lineRule="auto"/>
        <w:jc w:val="center"/>
        <w:rPr>
          <w:rFonts w:eastAsia="Times New Roman" w:cs="Arial"/>
          <w:b/>
          <w:bCs/>
          <w:color w:val="000000" w:themeColor="text1"/>
          <w:sz w:val="8"/>
          <w:szCs w:val="8"/>
          <w:lang w:val="es-ES" w:eastAsia="es-ES"/>
        </w:rPr>
      </w:pPr>
    </w:p>
    <w:p w14:paraId="4EBA3B58" w14:textId="77777777" w:rsidR="00304C5F" w:rsidRPr="00A06A81" w:rsidRDefault="00304C5F" w:rsidP="00304C5F">
      <w:pPr>
        <w:spacing w:before="153" w:after="0" w:line="240" w:lineRule="auto"/>
        <w:jc w:val="center"/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  <w:t>ALUMNO</w:t>
      </w:r>
      <w:r w:rsidRPr="00A06A81">
        <w:rPr>
          <w:rFonts w:eastAsia="Times New Roman" w:cs="Arial"/>
          <w:b/>
          <w:bCs/>
          <w:color w:val="000000" w:themeColor="text1"/>
          <w:sz w:val="28"/>
          <w:szCs w:val="28"/>
          <w:lang w:val="es-ES" w:eastAsia="es-ES"/>
        </w:rPr>
        <w:t>:</w:t>
      </w:r>
    </w:p>
    <w:p w14:paraId="250BDFDF" w14:textId="718CDE4E" w:rsidR="00304C5F" w:rsidRPr="00A06A81" w:rsidRDefault="0019315B" w:rsidP="00304C5F">
      <w:pPr>
        <w:spacing w:before="153" w:after="0" w:line="240" w:lineRule="auto"/>
        <w:rPr>
          <w:rFonts w:eastAsia="Times New Roman" w:cs="Arial"/>
          <w:b/>
          <w:bCs/>
          <w:color w:val="000000" w:themeColor="text1"/>
          <w:lang w:val="es-ES" w:eastAsia="es-ES"/>
        </w:rPr>
      </w:pPr>
      <w:r>
        <w:rPr>
          <w:rFonts w:eastAsia="Times New Roman" w:cs="Arial"/>
          <w:b/>
          <w:bCs/>
          <w:color w:val="000000" w:themeColor="text1"/>
          <w:lang w:val="es-ES" w:eastAsia="es-ES"/>
        </w:rPr>
        <w:t xml:space="preserve">                                                 ERNESTO BENITO ANCAJIMA YACILA</w:t>
      </w:r>
    </w:p>
    <w:p w14:paraId="539835B8" w14:textId="77777777" w:rsidR="00304C5F" w:rsidRPr="00A06A81" w:rsidRDefault="00304C5F" w:rsidP="00304C5F">
      <w:pPr>
        <w:spacing w:before="518" w:after="0" w:line="240" w:lineRule="auto"/>
        <w:jc w:val="center"/>
        <w:rPr>
          <w:rFonts w:eastAsia="Times New Roman" w:cs="Arial"/>
          <w:b/>
          <w:bCs/>
          <w:color w:val="000000" w:themeColor="text1"/>
          <w:sz w:val="26"/>
          <w:szCs w:val="26"/>
          <w:lang w:val="es-ES" w:eastAsia="es-ES"/>
        </w:rPr>
      </w:pPr>
      <w:r w:rsidRPr="00A06A81">
        <w:rPr>
          <w:rFonts w:eastAsia="Times New Roman" w:cs="Arial"/>
          <w:b/>
          <w:bCs/>
          <w:color w:val="000000" w:themeColor="text1"/>
          <w:sz w:val="26"/>
          <w:szCs w:val="26"/>
          <w:lang w:val="es-ES" w:eastAsia="es-ES"/>
        </w:rPr>
        <w:t>TUMBES – 202</w:t>
      </w:r>
      <w:r>
        <w:rPr>
          <w:rFonts w:eastAsia="Times New Roman" w:cs="Arial"/>
          <w:b/>
          <w:bCs/>
          <w:color w:val="000000" w:themeColor="text1"/>
          <w:sz w:val="26"/>
          <w:szCs w:val="26"/>
          <w:lang w:val="es-ES" w:eastAsia="es-ES"/>
        </w:rPr>
        <w:t>6</w:t>
      </w:r>
    </w:p>
    <w:p w14:paraId="1151A72B" w14:textId="77777777" w:rsidR="00304C5F" w:rsidRPr="00A06A81" w:rsidRDefault="00304C5F" w:rsidP="00304C5F">
      <w:pPr>
        <w:rPr>
          <w:rFonts w:cs="Arial"/>
          <w:color w:val="000000" w:themeColor="text1"/>
          <w:lang w:val="es-ES"/>
        </w:rPr>
      </w:pPr>
    </w:p>
    <w:p w14:paraId="0486CF80" w14:textId="77777777" w:rsidR="00304C5F" w:rsidRPr="00A06A81" w:rsidRDefault="00304C5F" w:rsidP="00304C5F">
      <w:pPr>
        <w:rPr>
          <w:rFonts w:cs="Arial"/>
          <w:color w:val="000000" w:themeColor="text1"/>
          <w:lang w:val="es-ES"/>
        </w:rPr>
      </w:pPr>
      <w:r w:rsidRPr="00A06A81">
        <w:rPr>
          <w:rFonts w:cs="Arial"/>
          <w:color w:val="000000" w:themeColor="text1"/>
          <w:lang w:val="es-ES"/>
        </w:rPr>
        <w:br w:type="page"/>
      </w:r>
    </w:p>
    <w:p w14:paraId="5AB03020" w14:textId="77777777" w:rsidR="00A67AE7" w:rsidRPr="00A67AE7" w:rsidRDefault="00A67AE7" w:rsidP="00A67AE7">
      <w:p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lastRenderedPageBreak/>
        <w:t>Fases de la Programación Extrema (XP)</w:t>
      </w:r>
    </w:p>
    <w:p w14:paraId="34332C78" w14:textId="77777777" w:rsidR="00A67AE7" w:rsidRPr="00A67AE7" w:rsidRDefault="00A67AE7" w:rsidP="00A67AE7">
      <w:p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Proyecto: Sistema de Gestión Académica y Administrativa (SGAC)</w:t>
      </w:r>
    </w:p>
    <w:p w14:paraId="2A3DC033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Institución Educativa: N.º 001 José Lishner Tudela</w:t>
      </w:r>
    </w:p>
    <w:p w14:paraId="1E033EBE" w14:textId="77777777" w:rsidR="00A67AE7" w:rsidRPr="00A67AE7" w:rsidRDefault="00A67AE7" w:rsidP="00A67AE7">
      <w:p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Fase 0: Infraestructura y Modelado de Base de Datos</w:t>
      </w:r>
    </w:p>
    <w:p w14:paraId="7D8ACD2C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Implementación previa del esquema de datos mediante las Tablas Maestras institucionales: INSTITUCION, NIVEL, GRADO, ANIO_ESCOLAR y PERIODO.</w:t>
      </w:r>
    </w:p>
    <w:p w14:paraId="50EDFC22" w14:textId="77777777" w:rsidR="00A67AE7" w:rsidRPr="00A67AE7" w:rsidRDefault="00A67AE7" w:rsidP="00A67AE7">
      <w:p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1. Planeación (Planning)</w:t>
      </w:r>
    </w:p>
    <w:p w14:paraId="54EE7499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El equipo de desarrollo se reúne con la Dirección, Secretaría Académica y Plana Docente para estructurar el Product Backlog en iteraciones (Sprints) de 2 semanas basados en las Historias de Usuario:</w:t>
      </w:r>
    </w:p>
    <w:p w14:paraId="5AFC0006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HU-01 y HU-02: Gestión de usuarios y acceso por roles (Administrador, Docente, Estudiante, Apoderado).</w:t>
      </w:r>
    </w:p>
    <w:p w14:paraId="1099DC58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HU-03: Registro y vinculación de apoderados con estudiantes.</w:t>
      </w:r>
    </w:p>
    <w:p w14:paraId="79A6E09A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HU-04 y HU-05: Registro y consulta de Matrícula administrativa.</w:t>
      </w:r>
    </w:p>
    <w:p w14:paraId="12035C79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HU-06 y HU-07: Validación y Habilitación Académica.</w:t>
      </w:r>
    </w:p>
    <w:p w14:paraId="25FF506C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HU-08 y HU-09: Evaluación bajo escala CNEB (AD, A, B, C) con conclusiones descriptivas.</w:t>
      </w:r>
    </w:p>
    <w:p w14:paraId="4EBCF721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HU-10 y HU-11: Control de asistencia diaria y alerta de deserción al superar el 30% de faltas.</w:t>
      </w:r>
    </w:p>
    <w:p w14:paraId="42619A29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HU-12 a HU-15: Generación de libretas bimestrales en PDF y reportes institucionales.</w:t>
      </w:r>
    </w:p>
    <w:p w14:paraId="3563E353" w14:textId="77777777" w:rsidR="00A67AE7" w:rsidRPr="00A67AE7" w:rsidRDefault="00A67AE7" w:rsidP="00A67AE7">
      <w:p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2. Diseño (Design)</w:t>
      </w:r>
    </w:p>
    <w:p w14:paraId="5414A51E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 xml:space="preserve">Diseño simple e intuitivo enfocado en los procesos reales de la institución bajo la metáfora: </w:t>
      </w:r>
      <w:r w:rsidRPr="00A67AE7">
        <w:rPr>
          <w:b/>
          <w:bCs/>
          <w:i/>
          <w:iCs/>
          <w:lang w:val="es-PE"/>
        </w:rPr>
        <w:t>"El SGAC como la Secretaría Virtual del Colegio"</w:t>
      </w:r>
      <w:r w:rsidRPr="00A67AE7">
        <w:rPr>
          <w:b/>
          <w:bCs/>
          <w:lang w:val="es-PE"/>
        </w:rPr>
        <w:t>.</w:t>
      </w:r>
    </w:p>
    <w:p w14:paraId="370F520E" w14:textId="77777777" w:rsidR="00A67AE7" w:rsidRPr="00A67AE7" w:rsidRDefault="00A67AE7" w:rsidP="00A67AE7">
      <w:pPr>
        <w:numPr>
          <w:ilvl w:val="0"/>
          <w:numId w:val="11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Creación de wireframes en Figma vinculados a las tablas de SQL Server.</w:t>
      </w:r>
    </w:p>
    <w:p w14:paraId="61CBBAFA" w14:textId="77777777" w:rsidR="00A67AE7" w:rsidRPr="00A67AE7" w:rsidRDefault="00A67AE7" w:rsidP="00A67AE7">
      <w:pPr>
        <w:numPr>
          <w:ilvl w:val="0"/>
          <w:numId w:val="11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Organización de interfaz por módulos: Seguridad, Admisión, Matrícula, Evaluaciones CNEB, Asistencia y Reportes.</w:t>
      </w:r>
    </w:p>
    <w:p w14:paraId="5FD0E521" w14:textId="77777777" w:rsidR="00A67AE7" w:rsidRPr="00A67AE7" w:rsidRDefault="00A67AE7" w:rsidP="00A67AE7">
      <w:p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3. Codificación (Coding)</w:t>
      </w:r>
    </w:p>
    <w:p w14:paraId="6BF31ACC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Desarrollo en ciclos cortos estructurados por subtareas técnicas (Base de Datos, Backend, Frontend y QA).</w:t>
      </w:r>
    </w:p>
    <w:p w14:paraId="6857EEF4" w14:textId="77777777" w:rsidR="00A67AE7" w:rsidRPr="00A67AE7" w:rsidRDefault="00A67AE7" w:rsidP="00A67AE7">
      <w:pPr>
        <w:numPr>
          <w:ilvl w:val="0"/>
          <w:numId w:val="12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Programación en Pareja (Pair Programming): Trabajo colaborativo para la calidad de backend y procedimientos almacenados en SQL.</w:t>
      </w:r>
    </w:p>
    <w:p w14:paraId="107707BF" w14:textId="77777777" w:rsidR="00A67AE7" w:rsidRPr="00A67AE7" w:rsidRDefault="00A67AE7" w:rsidP="00A67AE7">
      <w:pPr>
        <w:numPr>
          <w:ilvl w:val="0"/>
          <w:numId w:val="12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Desarrollo Guiado por Pruebas (TDD): Redacción de pruebas unitarias previo al código.</w:t>
      </w:r>
    </w:p>
    <w:p w14:paraId="4170DC97" w14:textId="77777777" w:rsidR="00A67AE7" w:rsidRPr="00A67AE7" w:rsidRDefault="00A67AE7" w:rsidP="00A67AE7">
      <w:pPr>
        <w:numPr>
          <w:ilvl w:val="1"/>
          <w:numId w:val="12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i/>
          <w:iCs/>
          <w:lang w:val="es-PE"/>
        </w:rPr>
        <w:lastRenderedPageBreak/>
        <w:t>Ejemplo:</w:t>
      </w:r>
      <w:r w:rsidRPr="00A67AE7">
        <w:rPr>
          <w:b/>
          <w:bCs/>
          <w:lang w:val="es-PE"/>
        </w:rPr>
        <w:t xml:space="preserve"> Probar que el sistema rechace notas fuera de la escala CNEB o impida matricular al superar la capacidad máxima del aula antes de programar la lógica.</w:t>
      </w:r>
    </w:p>
    <w:p w14:paraId="21CB5B28" w14:textId="77777777" w:rsidR="00A67AE7" w:rsidRPr="00A67AE7" w:rsidRDefault="00A67AE7" w:rsidP="00A67AE7">
      <w:p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4. Pruebas (Testing)</w:t>
      </w:r>
    </w:p>
    <w:p w14:paraId="1174E041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Verificación continua del cumplimiento de reglas de negocio:</w:t>
      </w:r>
    </w:p>
    <w:p w14:paraId="4BCBE578" w14:textId="77777777" w:rsidR="00A67AE7" w:rsidRPr="00A67AE7" w:rsidRDefault="00A67AE7" w:rsidP="00A67AE7">
      <w:pPr>
        <w:numPr>
          <w:ilvl w:val="0"/>
          <w:numId w:val="13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Unitarias: Encriptación de credenciales, conteo de vacantes por aula y cálculo automático del 30% de inasistencias.</w:t>
      </w:r>
    </w:p>
    <w:p w14:paraId="682F0DD9" w14:textId="77777777" w:rsidR="00A67AE7" w:rsidRPr="00A67AE7" w:rsidRDefault="00A67AE7" w:rsidP="00A67AE7">
      <w:pPr>
        <w:numPr>
          <w:ilvl w:val="0"/>
          <w:numId w:val="13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De Aceptación: Validación de matrículas con Secretaría, registro de conclusiones descriptivas con Docentes y emisión de libretas CNEB en PDF con Dirección.</w:t>
      </w:r>
    </w:p>
    <w:p w14:paraId="70333531" w14:textId="77777777" w:rsidR="00A67AE7" w:rsidRPr="00A67AE7" w:rsidRDefault="00A67AE7" w:rsidP="00A67AE7">
      <w:pPr>
        <w:numPr>
          <w:ilvl w:val="0"/>
          <w:numId w:val="13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Integración: Sincronización inmediata entre la asistencia diaria, las alertas y los reportes.</w:t>
      </w:r>
    </w:p>
    <w:p w14:paraId="778C8033" w14:textId="77777777" w:rsidR="00A67AE7" w:rsidRPr="00A67AE7" w:rsidRDefault="00A67AE7" w:rsidP="00A67AE7">
      <w:p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5. Integración y Entrega (Integration &amp; Release)</w:t>
      </w:r>
    </w:p>
    <w:p w14:paraId="641F17D7" w14:textId="77777777" w:rsidR="00A67AE7" w:rsidRPr="00A67AE7" w:rsidRDefault="00A67AE7" w:rsidP="00A67AE7">
      <w:pPr>
        <w:numPr>
          <w:ilvl w:val="0"/>
          <w:numId w:val="14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Unificación de módulos en la base de datos central en un producto funcional.</w:t>
      </w:r>
    </w:p>
    <w:p w14:paraId="17E281ED" w14:textId="77777777" w:rsidR="00A67AE7" w:rsidRPr="00A67AE7" w:rsidRDefault="00A67AE7" w:rsidP="00A67AE7">
      <w:pPr>
        <w:numPr>
          <w:ilvl w:val="0"/>
          <w:numId w:val="14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Despliegue incremental por versiones beta (primero Seguridad y Matrícula; luego Notas y Asistencia) para recoger retroalimentación de los usuarios finales.</w:t>
      </w:r>
    </w:p>
    <w:p w14:paraId="679F2D5F" w14:textId="77777777" w:rsidR="00A67AE7" w:rsidRPr="00A67AE7" w:rsidRDefault="00A67AE7" w:rsidP="00A67AE7">
      <w:p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6. Retroalimentación y Mejora Continua</w:t>
      </w:r>
    </w:p>
    <w:p w14:paraId="609C9244" w14:textId="77777777" w:rsidR="00A67AE7" w:rsidRPr="00A67AE7" w:rsidRDefault="00A67AE7" w:rsidP="00A67AE7">
      <w:pPr>
        <w:numPr>
          <w:ilvl w:val="0"/>
          <w:numId w:val="15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Evaluación del rendimiento en entorno real (tiempos en consultas SQL y generación de PDF).</w:t>
      </w:r>
    </w:p>
    <w:p w14:paraId="71A42519" w14:textId="77777777" w:rsidR="00A67AE7" w:rsidRPr="00A67AE7" w:rsidRDefault="00A67AE7" w:rsidP="00A67AE7">
      <w:pPr>
        <w:numPr>
          <w:ilvl w:val="0"/>
          <w:numId w:val="15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Optimización de flujos y pantallas para iniciar una nueva iteración de mejoras.</w:t>
      </w:r>
    </w:p>
    <w:p w14:paraId="41302D96" w14:textId="77777777" w:rsidR="00A67AE7" w:rsidRPr="00A67AE7" w:rsidRDefault="00A67AE7" w:rsidP="00A67AE7">
      <w:p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Conclusión</w:t>
      </w:r>
    </w:p>
    <w:p w14:paraId="7051B6EB" w14:textId="77777777" w:rsidR="00A67AE7" w:rsidRPr="00A67AE7" w:rsidRDefault="00A67AE7" w:rsidP="00A67AE7">
      <w:pPr>
        <w:numPr>
          <w:ilvl w:val="0"/>
          <w:numId w:val="10"/>
        </w:numPr>
        <w:spacing w:after="191" w:line="259" w:lineRule="auto"/>
        <w:rPr>
          <w:b/>
          <w:bCs/>
          <w:lang w:val="es-PE"/>
        </w:rPr>
      </w:pPr>
      <w:r w:rsidRPr="00A67AE7">
        <w:rPr>
          <w:b/>
          <w:bCs/>
          <w:lang w:val="es-PE"/>
        </w:rPr>
        <w:t>La metodología XP permite desarrollar el SGAC de la I.E. N.º 001 José Lishner Tudela de forma ágil, ordenada y alineada al CNEB del MINEDU, asegurando entregas continuas, software libre de errores y alta calidad para la institución.</w:t>
      </w:r>
    </w:p>
    <w:p w14:paraId="137873AE" w14:textId="58001013" w:rsidR="0019315B" w:rsidRPr="0019315B" w:rsidRDefault="0019315B" w:rsidP="00A67AE7">
      <w:pPr>
        <w:spacing w:after="191" w:line="259" w:lineRule="auto"/>
        <w:rPr>
          <w:lang w:val="es-ES"/>
        </w:rPr>
      </w:pPr>
    </w:p>
    <w:sectPr w:rsidR="0019315B" w:rsidRPr="0019315B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91C60" w14:textId="77777777" w:rsidR="000913D2" w:rsidRDefault="000913D2" w:rsidP="0019315B">
      <w:pPr>
        <w:spacing w:after="0" w:line="240" w:lineRule="auto"/>
      </w:pPr>
      <w:r>
        <w:separator/>
      </w:r>
    </w:p>
  </w:endnote>
  <w:endnote w:type="continuationSeparator" w:id="0">
    <w:p w14:paraId="15F5EF48" w14:textId="77777777" w:rsidR="000913D2" w:rsidRDefault="000913D2" w:rsidP="00193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2BE86" w14:textId="77777777" w:rsidR="000913D2" w:rsidRDefault="000913D2" w:rsidP="0019315B">
      <w:pPr>
        <w:spacing w:after="0" w:line="240" w:lineRule="auto"/>
      </w:pPr>
      <w:r>
        <w:separator/>
      </w:r>
    </w:p>
  </w:footnote>
  <w:footnote w:type="continuationSeparator" w:id="0">
    <w:p w14:paraId="3C7EC137" w14:textId="77777777" w:rsidR="000913D2" w:rsidRDefault="000913D2" w:rsidP="00193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EC826D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52574"/>
    <w:multiLevelType w:val="multilevel"/>
    <w:tmpl w:val="045E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43086"/>
    <w:multiLevelType w:val="multilevel"/>
    <w:tmpl w:val="931E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06764"/>
    <w:multiLevelType w:val="multilevel"/>
    <w:tmpl w:val="7C14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5878"/>
    <w:multiLevelType w:val="multilevel"/>
    <w:tmpl w:val="925A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D214C"/>
    <w:multiLevelType w:val="multilevel"/>
    <w:tmpl w:val="3932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C5C96"/>
    <w:multiLevelType w:val="multilevel"/>
    <w:tmpl w:val="817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D7B72"/>
    <w:multiLevelType w:val="multilevel"/>
    <w:tmpl w:val="2B9A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F3DB4"/>
    <w:multiLevelType w:val="multilevel"/>
    <w:tmpl w:val="B79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A43A7"/>
    <w:multiLevelType w:val="multilevel"/>
    <w:tmpl w:val="247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C3539"/>
    <w:multiLevelType w:val="multilevel"/>
    <w:tmpl w:val="2C5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15AED"/>
    <w:multiLevelType w:val="multilevel"/>
    <w:tmpl w:val="1076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322F0"/>
    <w:multiLevelType w:val="multilevel"/>
    <w:tmpl w:val="2BC8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54BF0"/>
    <w:multiLevelType w:val="multilevel"/>
    <w:tmpl w:val="F984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52708"/>
    <w:multiLevelType w:val="multilevel"/>
    <w:tmpl w:val="4BA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115977">
    <w:abstractNumId w:val="0"/>
  </w:num>
  <w:num w:numId="2" w16cid:durableId="22557435">
    <w:abstractNumId w:val="10"/>
  </w:num>
  <w:num w:numId="3" w16cid:durableId="2008248144">
    <w:abstractNumId w:val="12"/>
  </w:num>
  <w:num w:numId="4" w16cid:durableId="1949388004">
    <w:abstractNumId w:val="13"/>
  </w:num>
  <w:num w:numId="5" w16cid:durableId="1503592869">
    <w:abstractNumId w:val="2"/>
  </w:num>
  <w:num w:numId="6" w16cid:durableId="653722110">
    <w:abstractNumId w:val="11"/>
  </w:num>
  <w:num w:numId="7" w16cid:durableId="41447936">
    <w:abstractNumId w:val="3"/>
  </w:num>
  <w:num w:numId="8" w16cid:durableId="2088574128">
    <w:abstractNumId w:val="5"/>
  </w:num>
  <w:num w:numId="9" w16cid:durableId="92629376">
    <w:abstractNumId w:val="8"/>
  </w:num>
  <w:num w:numId="10" w16cid:durableId="615063023">
    <w:abstractNumId w:val="9"/>
  </w:num>
  <w:num w:numId="11" w16cid:durableId="126555213">
    <w:abstractNumId w:val="4"/>
  </w:num>
  <w:num w:numId="12" w16cid:durableId="922297834">
    <w:abstractNumId w:val="1"/>
  </w:num>
  <w:num w:numId="13" w16cid:durableId="235405891">
    <w:abstractNumId w:val="6"/>
  </w:num>
  <w:num w:numId="14" w16cid:durableId="460611491">
    <w:abstractNumId w:val="14"/>
  </w:num>
  <w:num w:numId="15" w16cid:durableId="1260262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76"/>
    <w:rsid w:val="000913D2"/>
    <w:rsid w:val="000E578C"/>
    <w:rsid w:val="001011A3"/>
    <w:rsid w:val="0019315B"/>
    <w:rsid w:val="00214E3D"/>
    <w:rsid w:val="00283FE4"/>
    <w:rsid w:val="002B01BB"/>
    <w:rsid w:val="002C3647"/>
    <w:rsid w:val="002D6313"/>
    <w:rsid w:val="00304C5F"/>
    <w:rsid w:val="00323E9A"/>
    <w:rsid w:val="003A0DA7"/>
    <w:rsid w:val="00404A3B"/>
    <w:rsid w:val="00431177"/>
    <w:rsid w:val="00444A92"/>
    <w:rsid w:val="00490EB3"/>
    <w:rsid w:val="004D30A2"/>
    <w:rsid w:val="00502E6E"/>
    <w:rsid w:val="00523EC5"/>
    <w:rsid w:val="00524733"/>
    <w:rsid w:val="00696079"/>
    <w:rsid w:val="006C6ED5"/>
    <w:rsid w:val="006C6F13"/>
    <w:rsid w:val="00737476"/>
    <w:rsid w:val="007A22C3"/>
    <w:rsid w:val="007A3B2F"/>
    <w:rsid w:val="0087482E"/>
    <w:rsid w:val="00885FFE"/>
    <w:rsid w:val="0088789E"/>
    <w:rsid w:val="008D3270"/>
    <w:rsid w:val="009A66FA"/>
    <w:rsid w:val="009B3AC9"/>
    <w:rsid w:val="009E313C"/>
    <w:rsid w:val="00A64E03"/>
    <w:rsid w:val="00A67AE7"/>
    <w:rsid w:val="00A91BDF"/>
    <w:rsid w:val="00C20AF5"/>
    <w:rsid w:val="00C27FDC"/>
    <w:rsid w:val="00C61B49"/>
    <w:rsid w:val="00D52D52"/>
    <w:rsid w:val="00DC232C"/>
    <w:rsid w:val="00E77469"/>
    <w:rsid w:val="00EF1BBE"/>
    <w:rsid w:val="00F45D9B"/>
    <w:rsid w:val="00F62416"/>
    <w:rsid w:val="00F70A3E"/>
    <w:rsid w:val="00FA7180"/>
    <w:rsid w:val="00FF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393F0"/>
  <w15:chartTrackingRefBased/>
  <w15:docId w15:val="{AAAEF7D9-C8BE-4F69-A6FC-C21AAA67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C5F"/>
    <w:pPr>
      <w:spacing w:after="200" w:line="276" w:lineRule="auto"/>
    </w:pPr>
    <w:rPr>
      <w:rFonts w:ascii="Arial" w:eastAsiaTheme="minorEastAsia" w:hAnsi="Arial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04C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4C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F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4C5F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04C5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aconvietas">
    <w:name w:val="List Bullet"/>
    <w:basedOn w:val="Normal"/>
    <w:uiPriority w:val="99"/>
    <w:unhideWhenUsed/>
    <w:rsid w:val="00304C5F"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931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315B"/>
    <w:rPr>
      <w:rFonts w:ascii="Arial" w:eastAsiaTheme="minorEastAsia" w:hAnsi="Arial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1931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315B"/>
    <w:rPr>
      <w:rFonts w:ascii="Arial" w:eastAsiaTheme="minorEastAsia" w:hAnsi="Arial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FD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561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erosrances2005@gmail.com</dc:creator>
  <cp:keywords/>
  <dc:description/>
  <cp:lastModifiedBy>APSTI-III-M</cp:lastModifiedBy>
  <cp:revision>2</cp:revision>
  <dcterms:created xsi:type="dcterms:W3CDTF">2026-10-21T16:38:00Z</dcterms:created>
  <dcterms:modified xsi:type="dcterms:W3CDTF">2026-10-21T16:38:00Z</dcterms:modified>
</cp:coreProperties>
</file>