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i5windou8ask" w:id="0"/>
    <w:bookmarkEnd w:id="0"/>
    <w:p w:rsidR="00000000" w:rsidDel="00000000" w:rsidP="00000000" w:rsidRDefault="00000000" w:rsidRPr="00000000" w14:paraId="00000001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Resumen de Reunión y Plan de Acción – 7 de Octubre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Ernesto Buttó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Gabriel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Enza Lazio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Cindy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Resumen de Decisiones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Principal: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Poner en marcha un fondo de inversión familiar gestionado por Gabriel para rentabilizar el capital de los participantes.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Estructura de Cuentas Acordada: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Ernesto y Cindy: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Abrirán una cuenta de inversión conjunta en Interactive Brokers. Se le dará acceso a Gabriel como gestor para que opere en la cuenta.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Enza Lazio: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Continuará con su cuenta individual actual, también gestionada por Gabriel.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(Nota: El portafolio de Enza se distribuye en aproximadamente 90,000 $ en índices y bonos, y 60,000 $ en una cuenta para operaciones con acciones, opciones y margen).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Comisión para el Gestor (Gabriel):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acuerda un modelo de comisiones basado en el rendimiento que exceda al S&amp;P 500.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definirá una cuota operativa para gastos de gestión.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(Nota: Los porcentajes exactos se formalizarán en un documento simple más adelante).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Estrategia de Inversión: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Gabriel aplicará una estrategia conservadora pero apalancada (20-30%), utilizando su experiencia en opciones y cuenta margen para optimizar el rendimiento y controlar el riesgo.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Planes a Futuro: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pospone la creación de una figura jurídica más formal para el fondo, pero se retomará la idea más adelante.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Plan de Acción (Próximos Pasos)</w:t>
      </w: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-108.0" w:type="dxa"/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Responsable(s)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Apertura de cuenta en Interactive Brokers.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Ernesto y Cindy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Iniciar y completar el proceso de apertura de la cuenta conjunta.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Añadir a Gabriel como usuario gestor.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Ernesto y Cindy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Una vez activa la cuenta, configurar el acceso para Gabriel.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Definir y transferir el capital inicial.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Ernesto y Cindy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Decidir el monto a invertir, considerando mantener una reserva de efectivo de 4 meses de gases a 3500 eu al mes = 14,000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Redactar acuerdo simple de comisiones.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 y Ernesto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Crear un borrador con los términos de la comisión de Gabriel para que todos lo tengan claro.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Investigar figura jurídica (a futuro).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Investigar de manera preliminar los requisitos para una estructura legal formal para el fondo.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Definir proceso de grabación y transcripción.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 y Ernesto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Establecer el formato, la herramienta y la frecuencia para las grabaciones semanales de Gabriel.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Decisiones de Inversión y Proyecciones (Ernesto y Cindy)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sección detalla la distribución de capital acordada y las proyecciones de rendimiento actualizadas.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Distribución de Capital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Capital Total Asignado:</w:t>
      </w:r>
      <w:r w:rsidDel="00000000" w:rsidR="00000000" w:rsidRPr="00000000">
        <w:rPr>
          <w:rtl w:val="0"/>
        </w:rPr>
        <w:t xml:space="preserve"> 80,000 €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Cuenta en Interactive Brokers: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50,000 €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Cuenta de opciones y margen gestionada por Gabriel.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Cuenta en MyInvestor: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30,000 €</w:t>
      </w:r>
      <w:r w:rsidDel="00000000" w:rsidR="00000000" w:rsidRPr="00000000">
        <w:rPr>
          <w:rtl w:val="0"/>
        </w:rPr>
        <w:t xml:space="preserve">, distribuidos de la siguiente manera: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Reserva (Cash/Oro):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14,000 €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 Mundial (sin EE.UU.):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4,000 € (en un ETF)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S&amp;P 500: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12,000 € (de Vanguard)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Proyección de Rendimiento Mensual (Capital en Interactive Brokers)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Capital gestionado: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50,000 €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Supuesto de rendimiento anual: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35%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Rendimiento mensual promedio: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~1,458 €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Fórmula: (50,000 € * 0.35) / 12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Proyección de Crecimiento con Reinversión (Interés Compuesto)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escenario asume que los rendimientos mensuales del capital en Interactive Brokers no se retiran y se reinvierten.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Capital Inicial: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50,000 €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Aumento a los 6 meses: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capital aumentaría en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~9,385 €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alcanzando un total de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~59,385 €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Fórmula: 50,000 € * (1 + 0.35 / 12)^6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Aumento a los 12 meses: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capital aumentaría en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~20,650 €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alcanzando un total de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~70,650 €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Fórmula: 50,000 € * (1 + 0.35 / 12)^12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 Todas las proyecciones de esta sección son un promedio y se basan en un rendimiento supuesto para el capital gestionado activamente. El rendimiento real puede variar.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Creación de Base de Conocimiento y Propiedad Intelectual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acuerda la creación de una base de conocimiento a partir de la experiencia y decisiones de Gabriel como gestor del fondo.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Grabación Semanal: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Gabriel se </w:t>
      </w:r>
      <w:r w:rsidDel="00000000" w:rsidR="00000000" w:rsidRPr="00000000">
        <w:rPr>
          <w:rtl w:val="0"/>
        </w:rPr>
        <w:t xml:space="preserve">intentará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grabar un audio semanal (mínimo) donde explicará las decisiones de inversión tomadas, su criterio y su análisis del mercado.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Transcripción: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Estos audios serán transcritos para facilitar su análisis y uso.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a Medio/Largo Plazo (6-12 meses):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Conocimiento: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Crear un archivo estructurado con la filosofía y estrategia de inversión.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Soporte con IA: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Utilizar este conocimiento para entrenar agentes de IA que puedan asistir a Gabriel en la toma de decisiones y análisis.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Propiedad Intelectual: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Generar material para la posible redacción de un libro y establecer por escrito las reglas y principios del método de inversión.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 de Herramientas de Trading (Bots) por Cindy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Implicación de Cindy: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Cindy dedicará 2-3 horas semanales para estudiar el portafolio y colaborar con Gabriel para entender la estrategia.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programadora, Cindy explorará la creación de “robots” (bots de trading).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Estrategia de los Bots: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enfocarán en operaciones 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corto plazo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Tendrán objetivos de ganancias diarias (ej. 100 €/día).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Sinergia: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Esta iniciativa complementa la creación de la base de conocimiento, permitiendo automatizar y probar estrategias específicas.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FyasVG9AGLM4QlbGAK9eSdJzbA==">CgMxLjAyD2lkLmk1d2luZG91OGFzazgAciExajVYSm1OYThvelNkWF9XSVA4WE1BNkh2bVNVWEhUNzQ=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