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1B3A6B" w:val="clear"/>
            <w:tcMar>
              <w:top w:type="dxa" w:w="180"/>
              <w:left w:type="dxa" w:w="200"/>
              <w:bottom w:type="dxa" w:w="180"/>
              <w:right w:type="dxa" w:w="200"/>
            </w:tcMar>
            <w:vAlign w:val="center"/>
          </w:tcPr>
          <w:p>
            <w:pPr>
              <w:spacing w:before="0" w:after="0"/>
              <w:jc w:val="center"/>
            </w:pPr>
            <w:r>
              <w:rPr>
                <w:rFonts w:ascii="Arial" w:cs="Arial" w:eastAsia="Arial" w:hAnsi="Arial"/>
                <w:b/>
                <w:bCs/>
                <w:color w:val="FFFFFF"/>
                <w:sz w:val="28"/>
                <w:szCs w:val="28"/>
              </w:rPr>
              <w:t xml:space="preserve">Dr. Lorenzo Otaño</w:t>
            </w:r>
          </w:p>
          <w:p>
            <w:pPr>
              <w:spacing w:before="40" w:after="0"/>
              <w:jc w:val="center"/>
            </w:pPr>
            <w:r>
              <w:rPr>
                <w:rFonts w:ascii="Arial" w:cs="Arial" w:eastAsia="Arial" w:hAnsi="Arial"/>
                <w:color w:val="C9962F"/>
                <w:sz w:val="20"/>
                <w:szCs w:val="20"/>
              </w:rPr>
              <w:t xml:space="preserve">Cirujano Pediatra</w:t>
            </w:r>
          </w:p>
          <w:p>
            <w:pPr>
              <w:spacing w:before="20" w:after="0"/>
              <w:jc w:val="center"/>
            </w:pPr>
            <w:r>
              <w:rPr>
                <w:rFonts w:ascii="Arial" w:cs="Arial" w:eastAsia="Arial" w:hAnsi="Arial"/>
                <w:color w:val="C9962F"/>
                <w:sz w:val="18"/>
                <w:szCs w:val="18"/>
              </w:rPr>
              <w:t xml:space="preserve">Neonatal · Laparoscopista</w:t>
            </w:r>
          </w:p>
          <w:p>
            <w:pPr>
              <w:pBdr>
                <w:top w:val="single" w:color="C9962F" w:sz="4"/>
              </w:pBdr>
              <w:spacing w:before="60" w:after="0"/>
              <w:jc w:val="center"/>
            </w:pPr>
            <w:r>
              <w:rPr>
                <w:rFonts w:ascii="Arial" w:cs="Arial" w:eastAsia="Arial" w:hAnsi="Arial"/>
                <w:color w:val="FFFFFF"/>
                <w:sz w:val="18"/>
                <w:szCs w:val="18"/>
              </w:rPr>
              <w:t xml:space="preserve">(829) 383-4449</w:t>
            </w:r>
          </w:p>
        </w:tc>
        <w:tc>
          <w:tcPr>
            <w:tcW w:type="dxa" w:w="6160"/>
            <w:tcBorders>
              <w:top w:val="none" w:color="FFFFFF" w:sz="0"/>
              <w:left w:val="single" w:color="C9962F" w:sz="1"/>
              <w:bottom w:val="none" w:color="FFFFFF" w:sz="0"/>
              <w:right w:val="none" w:color="FFFFFF" w:sz="0"/>
            </w:tcBorders>
            <w:shd w:fill="EEF2F8" w:val="clear"/>
            <w:tcMar>
              <w:top w:type="dxa" w:w="160"/>
              <w:left w:type="dxa" w:w="240"/>
              <w:bottom w:type="dxa" w:w="160"/>
              <w:right w:type="dxa" w:w="160"/>
            </w:tcMar>
            <w:vAlign w:val="center"/>
          </w:tcPr>
          <w:p>
            <w:pPr>
              <w:spacing w:before="0" w:after="60"/>
              <w:jc w:val="center"/>
            </w:pPr>
            <w:r>
              <w:rPr>
                <w:rFonts w:ascii="Arial" w:cs="Arial" w:eastAsia="Arial" w:hAnsi="Arial"/>
                <w:b/>
                <w:bCs/>
                <w:color w:val="1B3A6B"/>
                <w:sz w:val="30"/>
                <w:szCs w:val="30"/>
              </w:rPr>
              <w:t xml:space="preserve">NOTA DE EGRESO</w:t>
            </w:r>
          </w:p>
          <w:p>
            <w:pPr>
              <w:spacing w:before="0" w:after="40"/>
              <w:jc w:val="center"/>
            </w:pPr>
            <w:r>
              <w:rPr>
                <w:rFonts w:ascii="Arial" w:cs="Arial" w:eastAsia="Arial" w:hAnsi="Arial"/>
                <w:color w:val="444444"/>
                <w:sz w:val="20"/>
                <w:szCs w:val="20"/>
              </w:rPr>
              <w:t xml:space="preserve">Cirugía Pediátrica — CMEM</w:t>
            </w:r>
          </w:p>
          <w:p>
            <w:pPr>
              <w:spacing w:before="0" w:after="0"/>
              <w:jc w:val="center"/>
            </w:pPr>
            <w:r>
              <w:rPr>
                <w:rFonts w:ascii="Arial" w:cs="Arial" w:eastAsia="Arial" w:hAnsi="Arial"/>
                <w:i/>
                <w:iCs/>
                <w:color w:val="666666"/>
                <w:sz w:val="18"/>
                <w:szCs w:val="18"/>
              </w:rPr>
              <w:t xml:space="preserve">26 de marzo de 2026</w:t>
            </w:r>
          </w:p>
        </w:tc>
      </w:tr>
    </w:tbl>
    <w:p>
      <w:pPr>
        <w:spacing w:before="120" w:after="0"/>
      </w:pPr>
    </w:p>
    <w:p>
      <w:pPr>
        <w:pBdr>
          <w:bottom w:val="single" w:color="C9962F" w:sz="4"/>
        </w:pBdr>
        <w:shd w:fill="1B3A6B" w:val="clear"/>
        <w:spacing w:before="220" w:after="80"/>
      </w:pPr>
      <w:r>
        <w:rPr>
          <w:rFonts w:ascii="Arial" w:cs="Arial" w:eastAsia="Arial" w:hAnsi="Arial"/>
          <w:b/>
          <w:bCs/>
          <w:color w:val="FFFFFF"/>
          <w:sz w:val="22"/>
          <w:szCs w:val="22"/>
        </w:rPr>
        <w:t xml:space="preserve">  I. DATOS DE IDENTIFICACIÓN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Paciente</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Xavier Franco García</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Edad / Peso</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12 años / 55 kg</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Fecha de ingreso</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25 de marzo de 2026</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Fecha de egreso</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26 de marzo de 2026</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Días de hospitalización</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1 día (régimen ambulatorio / 23 horas)</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Centro médico</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CMEM — Centro Médico de Especialidades Médicas</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Servicio</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Cirugía Pediátrica</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Médico tratante</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Dr. Lorenzo Otaño</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No. de expediente</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____________________</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ARS / Seguro</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____________________</w:t>
            </w:r>
          </w:p>
        </w:tc>
      </w:tr>
    </w:tbl>
    <w:p>
      <w:pPr>
        <w:spacing w:before="120" w:after="0"/>
      </w:pPr>
    </w:p>
    <w:p>
      <w:pPr>
        <w:pBdr>
          <w:bottom w:val="single" w:color="C9962F" w:sz="4"/>
        </w:pBdr>
        <w:shd w:fill="1B3A6B" w:val="clear"/>
        <w:spacing w:before="220" w:after="80"/>
      </w:pPr>
      <w:r>
        <w:rPr>
          <w:rFonts w:ascii="Arial" w:cs="Arial" w:eastAsia="Arial" w:hAnsi="Arial"/>
          <w:b/>
          <w:bCs/>
          <w:color w:val="FFFFFF"/>
          <w:sz w:val="22"/>
          <w:szCs w:val="22"/>
        </w:rPr>
        <w:t xml:space="preserve">  II. DIAGNÓSTICOS AL EGRESO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Diagnóstico principal</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Hernias umbilical e inguinal izquierda — postoperatorio inmediato</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Diagnóstico 2</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Varicocele izquierdo — postoperatorio (Palomo)</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Diagnóstico 3</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Hidrocele derecho — postoperatorio (hidrocelectomía)</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Diagnóstico 4</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Fimosis — postoperatorio (circuncisión)</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Estado al egreso</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Estable, afebril, tolera vía oral, heridas sin complicaciones</w:t>
            </w:r>
          </w:p>
        </w:tc>
      </w:tr>
    </w:tbl>
    <w:p>
      <w:pPr>
        <w:spacing w:before="120" w:after="0"/>
      </w:pPr>
    </w:p>
    <w:p>
      <w:pPr>
        <w:pBdr>
          <w:bottom w:val="single" w:color="C9962F" w:sz="4"/>
        </w:pBdr>
        <w:shd w:fill="1B3A6B" w:val="clear"/>
        <w:spacing w:before="220" w:after="80"/>
      </w:pPr>
      <w:r>
        <w:rPr>
          <w:rFonts w:ascii="Arial" w:cs="Arial" w:eastAsia="Arial" w:hAnsi="Arial"/>
          <w:b/>
          <w:bCs/>
          <w:color w:val="FFFFFF"/>
          <w:sz w:val="22"/>
          <w:szCs w:val="22"/>
        </w:rPr>
        <w:t xml:space="preserve">  III. RESUMEN DE LA HOSPITALIZACIÓN</w:t>
      </w:r>
    </w:p>
    <w:p>
      <w:pPr>
        <w:spacing w:before="80" w:after="0"/>
      </w:pPr>
    </w:p>
    <w:p>
      <w:pPr>
        <w:spacing w:before="60" w:after="60"/>
        <w:jc w:val="both"/>
      </w:pPr>
      <w:r>
        <w:rPr>
          <w:rFonts w:ascii="Arial" w:cs="Arial" w:eastAsia="Arial" w:hAnsi="Arial"/>
          <w:b w:val="false"/>
          <w:bCs w:val="false"/>
          <w:color w:val="111111"/>
          <w:sz w:val="20"/>
          <w:szCs w:val="20"/>
        </w:rPr>
        <w:t xml:space="preserve">El paciente ingresó en forma electiva y programada el 25 de marzo de 2026 para la corrección quirúrgica simultánea de cinco condiciones: hernia umbilical, hernia inguinal indirecta izquierda, varicocele izquierdo, hidrocele derecho y fimosis. El procedimiento fue llevado a cabo bajo anestesia general inalatoria (Sevoflurano) administrada por la Dra. Portes, con una duración total de 2 horas y 30 minutos, sin complicaciones intraoperatorias y con sangrado estimado mínimo.</w:t>
      </w:r>
    </w:p>
    <w:p>
      <w:pPr>
        <w:spacing w:before="60" w:after="0"/>
      </w:pPr>
    </w:p>
    <w:p>
      <w:pPr>
        <w:spacing w:before="60" w:after="60"/>
        <w:jc w:val="both"/>
      </w:pPr>
      <w:r>
        <w:rPr>
          <w:rFonts w:ascii="Arial" w:cs="Arial" w:eastAsia="Arial" w:hAnsi="Arial"/>
          <w:b w:val="false"/>
          <w:bCs w:val="false"/>
          <w:color w:val="111111"/>
          <w:sz w:val="20"/>
          <w:szCs w:val="20"/>
        </w:rPr>
        <w:t xml:space="preserve">En el postoperatorio inmediato el paciente presentó evolución clínica satisfactoria: afebrile, con signos vitales estables, dolor postoperatorio controlado con analgesia multimodal, tolerando progresivamente la vía oral. No se reportaron eventos adversos, ni complicaciones anestésicas ni quirúrgicas durante la hospitalización. Las heridas quirúrgicas se observaron limpias, sin signos de infección ni sangrado activo al momento del alta.</w:t>
      </w:r>
    </w:p>
    <w:p>
      <w:pPr>
        <w:spacing w:before="120" w:after="0"/>
      </w:pPr>
    </w:p>
    <w:p>
      <w:pPr>
        <w:pBdr>
          <w:bottom w:val="single" w:color="C9962F" w:sz="4"/>
        </w:pBdr>
        <w:shd w:fill="1B3A6B" w:val="clear"/>
        <w:spacing w:before="220" w:after="80"/>
      </w:pPr>
      <w:r>
        <w:rPr>
          <w:rFonts w:ascii="Arial" w:cs="Arial" w:eastAsia="Arial" w:hAnsi="Arial"/>
          <w:b/>
          <w:bCs/>
          <w:color w:val="FFFFFF"/>
          <w:sz w:val="22"/>
          <w:szCs w:val="22"/>
        </w:rPr>
        <w:t xml:space="preserve">  IV. CONDICIÓN AL EGRESO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Estado general</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Buenas condiciones generales, afebril, colaborador</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Signos vitales</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TA: ___/___ mmHg · FC: ___ lpm · FR: ___ rpm · SpO₂: ___% · T°: ___°C</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Dolor</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EVA ≤ 3/10, controlado con analgesia oral</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Tolerancia oral</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Acepta líquidos y dieta blanda sin náuseas ni vómitos</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Heridas quirúrgicas</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Limpias, con apósitos íntegros, sin signos de infección ni dehiscencia</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Diuresis</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Presente, sin hematuria</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Genitales externos</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Edema escrotal leve postoperatorio esperado, sin signos de alarma</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Movilidad</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Deambula asistido con leve limitación por molestias locales</w:t>
            </w:r>
          </w:p>
        </w:tc>
      </w:tr>
    </w:tbl>
    <w:p>
      <w:pPr>
        <w:spacing w:before="120" w:after="0"/>
      </w:pPr>
    </w:p>
    <w:p>
      <w:pPr>
        <w:pBdr>
          <w:bottom w:val="single" w:color="C9962F" w:sz="4"/>
        </w:pBdr>
        <w:shd w:fill="1B3A6B" w:val="clear"/>
        <w:spacing w:before="220" w:after="80"/>
      </w:pPr>
      <w:r>
        <w:rPr>
          <w:rFonts w:ascii="Arial" w:cs="Arial" w:eastAsia="Arial" w:hAnsi="Arial"/>
          <w:b/>
          <w:bCs/>
          <w:color w:val="FFFFFF"/>
          <w:sz w:val="22"/>
          <w:szCs w:val="22"/>
        </w:rPr>
        <w:t xml:space="preserve">  V. INDICACIONES AL EGRESO</w:t>
      </w:r>
    </w:p>
    <w:p>
      <w:pPr>
        <w:spacing w:before="80" w:after="0"/>
      </w:pPr>
    </w:p>
    <w:p>
      <w:pPr>
        <w:spacing w:before="50" w:after="50"/>
        <w:ind w:left="480" w:hanging="360"/>
      </w:pPr>
      <w:r>
        <w:rPr>
          <w:rFonts w:ascii="Arial" w:cs="Arial" w:eastAsia="Arial" w:hAnsi="Arial"/>
          <w:b/>
          <w:bCs/>
          <w:color w:val="1B3A6B"/>
          <w:sz w:val="20"/>
          <w:szCs w:val="20"/>
        </w:rPr>
        <w:t xml:space="preserve">1.  </w:t>
      </w:r>
      <w:r>
        <w:rPr>
          <w:rFonts w:ascii="Arial" w:cs="Arial" w:eastAsia="Arial" w:hAnsi="Arial"/>
          <w:sz w:val="20"/>
          <w:szCs w:val="20"/>
        </w:rPr>
        <w:t xml:space="preserve">Dieta blanda por 48 horas; luego dieta normal a tolerancia.</w:t>
      </w:r>
    </w:p>
    <w:p>
      <w:pPr>
        <w:spacing w:before="50" w:after="50"/>
        <w:ind w:left="480" w:hanging="360"/>
      </w:pPr>
      <w:r>
        <w:rPr>
          <w:rFonts w:ascii="Arial" w:cs="Arial" w:eastAsia="Arial" w:hAnsi="Arial"/>
          <w:b/>
          <w:bCs/>
          <w:color w:val="1B3A6B"/>
          <w:sz w:val="20"/>
          <w:szCs w:val="20"/>
        </w:rPr>
        <w:t xml:space="preserve">2.  </w:t>
      </w:r>
      <w:r>
        <w:rPr>
          <w:rFonts w:ascii="Arial" w:cs="Arial" w:eastAsia="Arial" w:hAnsi="Arial"/>
          <w:sz w:val="20"/>
          <w:szCs w:val="20"/>
        </w:rPr>
        <w:t xml:space="preserve">Ibuprofeno 400 mg vía oral cada 8 horas por 5 días (con alimentos).</w:t>
      </w:r>
    </w:p>
    <w:p>
      <w:pPr>
        <w:spacing w:before="50" w:after="50"/>
        <w:ind w:left="480" w:hanging="360"/>
      </w:pPr>
      <w:r>
        <w:rPr>
          <w:rFonts w:ascii="Arial" w:cs="Arial" w:eastAsia="Arial" w:hAnsi="Arial"/>
          <w:b/>
          <w:bCs/>
          <w:color w:val="1B3A6B"/>
          <w:sz w:val="20"/>
          <w:szCs w:val="20"/>
        </w:rPr>
        <w:t xml:space="preserve">3.  </w:t>
      </w:r>
      <w:r>
        <w:rPr>
          <w:rFonts w:ascii="Arial" w:cs="Arial" w:eastAsia="Arial" w:hAnsi="Arial"/>
          <w:sz w:val="20"/>
          <w:szCs w:val="20"/>
        </w:rPr>
        <w:t xml:space="preserve">Acetaminofén 500 mg vía oral cada 6 horas como rescate si dolor irruptivo.</w:t>
      </w:r>
    </w:p>
    <w:p>
      <w:pPr>
        <w:spacing w:before="50" w:after="50"/>
        <w:ind w:left="480" w:hanging="360"/>
      </w:pPr>
      <w:r>
        <w:rPr>
          <w:rFonts w:ascii="Arial" w:cs="Arial" w:eastAsia="Arial" w:hAnsi="Arial"/>
          <w:b/>
          <w:bCs/>
          <w:color w:val="1B3A6B"/>
          <w:sz w:val="20"/>
          <w:szCs w:val="20"/>
        </w:rPr>
        <w:t xml:space="preserve">4.  </w:t>
      </w:r>
      <w:r>
        <w:rPr>
          <w:rFonts w:ascii="Arial" w:cs="Arial" w:eastAsia="Arial" w:hAnsi="Arial"/>
          <w:sz w:val="20"/>
          <w:szCs w:val="20"/>
        </w:rPr>
        <w:t xml:space="preserve">Cefalexina 500 mg vía oral cada 8 horas por 5 días (completar ciclo).</w:t>
      </w:r>
    </w:p>
    <w:p>
      <w:pPr>
        <w:spacing w:before="50" w:after="50"/>
        <w:ind w:left="480" w:hanging="360"/>
      </w:pPr>
      <w:r>
        <w:rPr>
          <w:rFonts w:ascii="Arial" w:cs="Arial" w:eastAsia="Arial" w:hAnsi="Arial"/>
          <w:b/>
          <w:bCs/>
          <w:color w:val="1B3A6B"/>
          <w:sz w:val="20"/>
          <w:szCs w:val="20"/>
        </w:rPr>
        <w:t xml:space="preserve">5.  </w:t>
      </w:r>
      <w:r>
        <w:rPr>
          <w:rFonts w:ascii="Arial" w:cs="Arial" w:eastAsia="Arial" w:hAnsi="Arial"/>
          <w:sz w:val="20"/>
          <w:szCs w:val="20"/>
        </w:rPr>
        <w:t xml:space="preserve">Reposo relativo en casa por 7 días. Evitar actividad física intensa por 3 semanas.</w:t>
      </w:r>
    </w:p>
    <w:p>
      <w:pPr>
        <w:spacing w:before="50" w:after="50"/>
        <w:ind w:left="480" w:hanging="360"/>
      </w:pPr>
      <w:r>
        <w:rPr>
          <w:rFonts w:ascii="Arial" w:cs="Arial" w:eastAsia="Arial" w:hAnsi="Arial"/>
          <w:b/>
          <w:bCs/>
          <w:color w:val="1B3A6B"/>
          <w:sz w:val="20"/>
          <w:szCs w:val="20"/>
        </w:rPr>
        <w:t xml:space="preserve">6.  </w:t>
      </w:r>
      <w:r>
        <w:rPr>
          <w:rFonts w:ascii="Arial" w:cs="Arial" w:eastAsia="Arial" w:hAnsi="Arial"/>
          <w:sz w:val="20"/>
          <w:szCs w:val="20"/>
        </w:rPr>
        <w:t xml:space="preserve">Aseo de heridas con solución salina fisiológica dos veces al día. Mantener secas.</w:t>
      </w:r>
    </w:p>
    <w:p>
      <w:pPr>
        <w:spacing w:before="50" w:after="50"/>
        <w:ind w:left="480" w:hanging="360"/>
      </w:pPr>
      <w:r>
        <w:rPr>
          <w:rFonts w:ascii="Arial" w:cs="Arial" w:eastAsia="Arial" w:hAnsi="Arial"/>
          <w:b/>
          <w:bCs/>
          <w:color w:val="1B3A6B"/>
          <w:sz w:val="20"/>
          <w:szCs w:val="20"/>
        </w:rPr>
        <w:t xml:space="preserve">7.  </w:t>
      </w:r>
      <w:r>
        <w:rPr>
          <w:rFonts w:ascii="Arial" w:cs="Arial" w:eastAsia="Arial" w:hAnsi="Arial"/>
          <w:sz w:val="20"/>
          <w:szCs w:val="20"/>
        </w:rPr>
        <w:t xml:space="preserve">Evitar baños de inmersión (tina, piscina, playa) por un mínimo de 2 semanas.</w:t>
      </w:r>
    </w:p>
    <w:p>
      <w:pPr>
        <w:spacing w:before="50" w:after="50"/>
        <w:ind w:left="480" w:hanging="360"/>
      </w:pPr>
      <w:r>
        <w:rPr>
          <w:rFonts w:ascii="Arial" w:cs="Arial" w:eastAsia="Arial" w:hAnsi="Arial"/>
          <w:b/>
          <w:bCs/>
          <w:color w:val="1B3A6B"/>
          <w:sz w:val="20"/>
          <w:szCs w:val="20"/>
        </w:rPr>
        <w:t xml:space="preserve">8.  </w:t>
      </w:r>
      <w:r>
        <w:rPr>
          <w:rFonts w:ascii="Arial" w:cs="Arial" w:eastAsia="Arial" w:hAnsi="Arial"/>
          <w:sz w:val="20"/>
          <w:szCs w:val="20"/>
        </w:rPr>
        <w:t xml:space="preserve">Protección peniana con gasa no adherente para circuncisión hasta próxima consulta.</w:t>
      </w:r>
    </w:p>
    <w:p>
      <w:pPr>
        <w:spacing w:before="50" w:after="50"/>
        <w:ind w:left="480" w:hanging="360"/>
      </w:pPr>
      <w:r>
        <w:rPr>
          <w:rFonts w:ascii="Arial" w:cs="Arial" w:eastAsia="Arial" w:hAnsi="Arial"/>
          <w:b/>
          <w:bCs/>
          <w:color w:val="1B3A6B"/>
          <w:sz w:val="20"/>
          <w:szCs w:val="20"/>
        </w:rPr>
        <w:t xml:space="preserve">9.  </w:t>
      </w:r>
      <w:r>
        <w:rPr>
          <w:rFonts w:ascii="Arial" w:cs="Arial" w:eastAsia="Arial" w:hAnsi="Arial"/>
          <w:sz w:val="20"/>
          <w:szCs w:val="20"/>
        </w:rPr>
        <w:t xml:space="preserve">Control postoperatorio en consulta externa con el Dr. Lorenzo Otaño a los 7 días (Tel: 829-383-4449).</w:t>
      </w:r>
    </w:p>
    <w:p>
      <w:pPr>
        <w:spacing w:before="50" w:after="50"/>
        <w:ind w:left="480" w:hanging="360"/>
      </w:pPr>
      <w:r>
        <w:rPr>
          <w:rFonts w:ascii="Arial" w:cs="Arial" w:eastAsia="Arial" w:hAnsi="Arial"/>
          <w:b/>
          <w:bCs/>
          <w:color w:val="1B3A6B"/>
          <w:sz w:val="20"/>
          <w:szCs w:val="20"/>
        </w:rPr>
        <w:t xml:space="preserve">10.  </w:t>
      </w:r>
      <w:r>
        <w:rPr>
          <w:rFonts w:ascii="Arial" w:cs="Arial" w:eastAsia="Arial" w:hAnsi="Arial"/>
          <w:sz w:val="20"/>
          <w:szCs w:val="20"/>
        </w:rPr>
        <w:t xml:space="preserve">Acudir de inmediato a urgencias ante: fiebre &gt;38.5°C, sangrado activo, edema escrotal severo o progresivo, retención urinaria o dolor de difícil control.</w:t>
      </w:r>
    </w:p>
    <w:p>
      <w:pPr>
        <w:spacing w:before="120" w:after="0"/>
      </w:pPr>
    </w:p>
    <w:p>
      <w:pPr>
        <w:pBdr>
          <w:bottom w:val="single" w:color="C9962F" w:sz="4"/>
        </w:pBdr>
        <w:shd w:fill="1B3A6B" w:val="clear"/>
        <w:spacing w:before="220" w:after="80"/>
      </w:pPr>
      <w:r>
        <w:rPr>
          <w:rFonts w:ascii="Arial" w:cs="Arial" w:eastAsia="Arial" w:hAnsi="Arial"/>
          <w:b/>
          <w:bCs/>
          <w:color w:val="FFFFFF"/>
          <w:sz w:val="22"/>
          <w:szCs w:val="22"/>
        </w:rPr>
        <w:t xml:space="preserve">  VI. TIPO DE EGRESO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Tipo de egreso</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Alta médica voluntaria con indicaciones</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Condición al alta</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Estable — Mejoría clínica satisfactoria</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Destino</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Domicilio con acompañante adulto responsable</w:t>
            </w:r>
          </w:p>
        </w:tc>
      </w:tr>
      <w:tr>
        <w:tc>
          <w:tcPr>
            <w:tcW w:type="dxa" w:w="2800"/>
            <w:tcBorders>
              <w:top w:val="single" w:color="B8C4D6" w:sz="1"/>
              <w:left w:val="single" w:color="B8C4D6" w:sz="1"/>
              <w:bottom w:val="single" w:color="B8C4D6" w:sz="1"/>
              <w:right w:val="single" w:color="B8C4D6" w:sz="1"/>
            </w:tcBorders>
            <w:shd w:fill="EEF2F8" w:val="clear"/>
            <w:tcMar>
              <w:top w:type="dxa" w:w="80"/>
              <w:left w:type="dxa" w:w="160"/>
              <w:bottom w:type="dxa" w:w="80"/>
              <w:right w:type="dxa" w:w="120"/>
            </w:tcMar>
          </w:tcPr>
          <w:p>
            <w:r>
              <w:rPr>
                <w:rFonts w:ascii="Arial" w:cs="Arial" w:eastAsia="Arial" w:hAnsi="Arial"/>
                <w:b/>
                <w:bCs/>
                <w:color w:val="1B3A6B"/>
                <w:sz w:val="19"/>
                <w:szCs w:val="19"/>
              </w:rPr>
              <w:t xml:space="preserve">Próxima cita</w:t>
            </w:r>
          </w:p>
        </w:tc>
        <w:tc>
          <w:tcPr>
            <w:tcW w:type="dxa" w:w="6560"/>
            <w:tcBorders>
              <w:top w:val="single" w:color="B8C4D6" w:sz="1"/>
              <w:left w:val="single" w:color="B8C4D6" w:sz="1"/>
              <w:bottom w:val="single" w:color="B8C4D6" w:sz="1"/>
              <w:right w:val="single" w:color="B8C4D6" w:sz="1"/>
            </w:tcBorders>
            <w:tcMar>
              <w:top w:type="dxa" w:w="80"/>
              <w:left w:type="dxa" w:w="160"/>
              <w:bottom w:type="dxa" w:w="80"/>
              <w:right w:type="dxa" w:w="120"/>
            </w:tcMar>
          </w:tcPr>
          <w:p>
            <w:r>
              <w:rPr>
                <w:rFonts w:ascii="Arial" w:cs="Arial" w:eastAsia="Arial" w:hAnsi="Arial"/>
                <w:sz w:val="19"/>
                <w:szCs w:val="19"/>
              </w:rPr>
              <w:t xml:space="preserve">7 días postoperatorios — Consulta externa de Cirugía Pediátrica</w:t>
            </w:r>
          </w:p>
        </w:tc>
      </w:tr>
    </w:tbl>
    <w:p>
      <w:pPr>
        <w:spacing w:before="120" w:after="0"/>
      </w:pPr>
    </w:p>
    <w:p>
      <w:pPr>
        <w:pBdr>
          <w:bottom w:val="single" w:color="C9962F" w:sz="4"/>
        </w:pBdr>
        <w:shd w:fill="1B3A6B" w:val="clear"/>
        <w:spacing w:before="220" w:after="80"/>
      </w:pPr>
      <w:r>
        <w:rPr>
          <w:rFonts w:ascii="Arial" w:cs="Arial" w:eastAsia="Arial" w:hAnsi="Arial"/>
          <w:b/>
          <w:bCs/>
          <w:color w:val="FFFFFF"/>
          <w:sz w:val="22"/>
          <w:szCs w:val="22"/>
        </w:rPr>
        <w:t xml:space="preserve">  VII. FIRMAS</w:t>
      </w:r>
    </w:p>
    <w:p>
      <w:pPr>
        <w:spacing w:before="1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40"/>
        <w:gridCol w:w="480"/>
        <w:gridCol w:w="4440"/>
      </w:tblGrid>
      <w:tr>
        <w:tc>
          <w:tcPr>
            <w:tcW w:type="dxa" w:w="4440"/>
            <w:tcBorders>
              <w:top w:val="none" w:color="FFFFFF" w:sz="0"/>
              <w:left w:val="none" w:color="FFFFFF" w:sz="0"/>
              <w:bottom w:val="none" w:color="FFFFFF" w:sz="0"/>
              <w:right w:val="none" w:color="FFFFFF" w:sz="0"/>
            </w:tcBorders>
            <w:shd w:fill="EEF2F8" w:val="clear"/>
            <w:tcMar>
              <w:top w:type="dxa" w:w="120"/>
              <w:left w:type="dxa" w:w="160"/>
              <w:bottom w:type="dxa" w:w="120"/>
              <w:right w:type="dxa" w:w="160"/>
            </w:tcMar>
          </w:tcPr>
          <w:p>
            <w:pPr>
              <w:pBdr>
                <w:bottom w:val="single" w:color="1B3A6B" w:sz="4"/>
              </w:pBdr>
              <w:spacing w:before="60" w:after="0"/>
              <w:jc w:val="center"/>
            </w:pPr>
            <w:r>
              <w:rPr>
                <w:rFonts w:ascii="Arial" w:cs="Arial" w:eastAsia="Arial" w:hAnsi="Arial"/>
                <w:sz w:val="44"/>
                <w:szCs w:val="44"/>
              </w:rPr>
              <w:t xml:space="preserve"> </w:t>
            </w:r>
          </w:p>
          <w:p>
            <w:pPr>
              <w:spacing w:before="80" w:after="20"/>
              <w:jc w:val="center"/>
            </w:pPr>
            <w:r>
              <w:rPr>
                <w:rFonts w:ascii="Arial" w:cs="Arial" w:eastAsia="Arial" w:hAnsi="Arial"/>
                <w:b/>
                <w:bCs/>
                <w:color w:val="1B3A6B"/>
                <w:sz w:val="19"/>
                <w:szCs w:val="19"/>
              </w:rPr>
              <w:t xml:space="preserve">Dr. Lorenzo Otaño</w:t>
            </w:r>
          </w:p>
          <w:p>
            <w:pPr>
              <w:spacing w:before="0" w:after="20"/>
              <w:jc w:val="center"/>
            </w:pPr>
            <w:r>
              <w:rPr>
                <w:rFonts w:ascii="Arial" w:cs="Arial" w:eastAsia="Arial" w:hAnsi="Arial"/>
                <w:color w:val="666666"/>
                <w:sz w:val="18"/>
                <w:szCs w:val="18"/>
              </w:rPr>
              <w:t xml:space="preserve">Cirujano Pediatra · Neonatal · Laparoscopista</w:t>
            </w:r>
          </w:p>
          <w:p>
            <w:pPr>
              <w:spacing w:before="0" w:after="40"/>
              <w:jc w:val="center"/>
            </w:pPr>
            <w:r>
              <w:rPr>
                <w:rFonts w:ascii="Arial" w:cs="Arial" w:eastAsia="Arial" w:hAnsi="Arial"/>
                <w:i/>
                <w:iCs/>
                <w:color w:val="888888"/>
                <w:sz w:val="17"/>
                <w:szCs w:val="17"/>
              </w:rPr>
              <w:t xml:space="preserve">Exequátur: __________</w:t>
            </w:r>
          </w:p>
        </w:tc>
        <w:tc>
          <w:tcPr>
            <w:tcW w:type="dxa" w:w="480"/>
            <w:tcBorders>
              <w:top w:val="none" w:color="FFFFFF" w:sz="0"/>
              <w:left w:val="none" w:color="FFFFFF" w:sz="0"/>
              <w:bottom w:val="none" w:color="FFFFFF" w:sz="0"/>
              <w:right w:val="none" w:color="FFFFFF" w:sz="0"/>
            </w:tcBorders>
          </w:tcPr>
          <w:p/>
        </w:tc>
        <w:tc>
          <w:tcPr>
            <w:tcW w:type="dxa" w:w="4440"/>
            <w:tcBorders>
              <w:top w:val="none" w:color="FFFFFF" w:sz="0"/>
              <w:left w:val="none" w:color="FFFFFF" w:sz="0"/>
              <w:bottom w:val="none" w:color="FFFFFF" w:sz="0"/>
              <w:right w:val="none" w:color="FFFFFF" w:sz="0"/>
            </w:tcBorders>
            <w:shd w:fill="EEF2F8" w:val="clear"/>
            <w:tcMar>
              <w:top w:type="dxa" w:w="120"/>
              <w:left w:type="dxa" w:w="160"/>
              <w:bottom w:type="dxa" w:w="120"/>
              <w:right w:type="dxa" w:w="160"/>
            </w:tcMar>
          </w:tcPr>
          <w:p>
            <w:pPr>
              <w:pBdr>
                <w:bottom w:val="single" w:color="1B3A6B" w:sz="4"/>
              </w:pBdr>
              <w:spacing w:before="60" w:after="0"/>
              <w:jc w:val="center"/>
            </w:pPr>
            <w:r>
              <w:rPr>
                <w:rFonts w:ascii="Arial" w:cs="Arial" w:eastAsia="Arial" w:hAnsi="Arial"/>
                <w:sz w:val="44"/>
                <w:szCs w:val="44"/>
              </w:rPr>
              <w:t xml:space="preserve"> </w:t>
            </w:r>
          </w:p>
          <w:p>
            <w:pPr>
              <w:spacing w:before="80" w:after="20"/>
              <w:jc w:val="center"/>
            </w:pPr>
            <w:r>
              <w:rPr>
                <w:rFonts w:ascii="Arial" w:cs="Arial" w:eastAsia="Arial" w:hAnsi="Arial"/>
                <w:b/>
                <w:bCs/>
                <w:color w:val="1B3A6B"/>
                <w:sz w:val="19"/>
                <w:szCs w:val="19"/>
              </w:rPr>
              <w:t xml:space="preserve">Representante Legal</w:t>
            </w:r>
          </w:p>
          <w:p>
            <w:pPr>
              <w:spacing w:before="0" w:after="20"/>
              <w:jc w:val="center"/>
            </w:pPr>
            <w:r>
              <w:rPr>
                <w:rFonts w:ascii="Arial" w:cs="Arial" w:eastAsia="Arial" w:hAnsi="Arial"/>
                <w:color w:val="666666"/>
                <w:sz w:val="18"/>
                <w:szCs w:val="18"/>
              </w:rPr>
              <w:t xml:space="preserve">Nombre: ______________________________</w:t>
            </w:r>
          </w:p>
          <w:p>
            <w:pPr>
              <w:spacing w:before="0" w:after="40"/>
              <w:jc w:val="center"/>
            </w:pPr>
            <w:r>
              <w:rPr>
                <w:rFonts w:ascii="Arial" w:cs="Arial" w:eastAsia="Arial" w:hAnsi="Arial"/>
                <w:i/>
                <w:iCs/>
                <w:color w:val="888888"/>
                <w:sz w:val="17"/>
                <w:szCs w:val="17"/>
              </w:rPr>
              <w:t xml:space="preserve">Cédula: ______________</w:t>
            </w:r>
          </w:p>
        </w:tc>
      </w:tr>
    </w:tbl>
    <w:p>
      <w:pPr>
        <w:spacing w:before="100" w:after="0"/>
      </w:pPr>
    </w:p>
    <w:p>
      <w:pPr>
        <w:pBdr>
          <w:top w:val="single" w:color="C9962F" w:sz="4"/>
        </w:pBdr>
        <w:spacing w:before="140" w:after="0"/>
        <w:jc w:val="center"/>
      </w:pPr>
      <w:r>
        <w:rPr>
          <w:rFonts w:ascii="Arial" w:cs="Arial" w:eastAsia="Arial" w:hAnsi="Arial"/>
          <w:i/>
          <w:iCs/>
          <w:color w:val="888888"/>
          <w:sz w:val="17"/>
          <w:szCs w:val="17"/>
        </w:rPr>
        <w:t xml:space="preserve">Documento confidencial · Cirugía Pediátrica y Neonatal · Dr. Lorenzo Otaño · (829) 383-4449</w:t>
      </w:r>
    </w:p>
    <w:sectPr>
      <w:pgSz w:w="12240" w:h="15840"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2026-03-25T00:56:03.996Z</dcterms:created>
  <dcterms:modified xsi:type="dcterms:W3CDTF">2026-03-25T00:56:04.010Z</dcterms:modified>
</cp:coreProperties>
</file>

<file path=docProps/custom.xml><?xml version="1.0" encoding="utf-8"?>
<Properties xmlns="http://schemas.openxmlformats.org/officeDocument/2006/custom-properties" xmlns:vt="http://schemas.openxmlformats.org/officeDocument/2006/docPropsVTypes"/>
</file>