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Computational Investigation of Quantum Tunneling Through Finite Potential Barriers</w:t>
      </w:r>
    </w:p>
    <w:p>
      <w:pPr>
        <w:jc w:val="center"/>
      </w:pPr>
      <w:r>
        <w:rPr>
          <w:b w:val="0"/>
          <w:i/>
          <w:sz w:val="22"/>
        </w:rPr>
        <w:t>An independent computational investigation</w:t>
      </w:r>
    </w:p>
    <w:p>
      <w:pPr>
        <w:jc w:val="center"/>
      </w:pPr>
      <w:r>
        <w:rPr>
          <w:b w:val="0"/>
          <w:i w:val="0"/>
          <w:sz w:val="20"/>
        </w:rPr>
        <w:t>[Author name]  |  Generated 2026-10-15 from the project repository</w:t>
      </w:r>
    </w:p>
    <w:p>
      <w:pPr>
        <w:pStyle w:val="Heading1"/>
      </w:pPr>
      <w:r>
        <w:t>Abstract</w:t>
      </w:r>
    </w:p>
    <w:p>
      <w:pPr>
        <w:jc w:val="both"/>
      </w:pPr>
      <w:r>
        <w:rPr>
          <w:b w:val="0"/>
          <w:i w:val="0"/>
        </w:rPr>
        <w:t>This report describes an independent computational investigation of quantum tunneling of a single electron through a one-dimensional finite rectangular potential barrier with 0 &lt; E &lt; V</w:t>
      </w:r>
      <w:r>
        <w:rPr>
          <w:b w:val="0"/>
          <w:i w:val="0"/>
          <w:vertAlign w:val="subscript"/>
        </w:rPr>
        <w:t>0</w:t>
      </w:r>
      <w:r>
        <w:rPr>
          <w:b w:val="0"/>
          <w:i w:val="0"/>
        </w:rPr>
        <w:t>. The transmission probability T is computed in two separate ways: from the closed-form expression T = [1 + V</w:t>
      </w:r>
      <w:r>
        <w:rPr>
          <w:b w:val="0"/>
          <w:i w:val="0"/>
          <w:vertAlign w:val="subscript"/>
        </w:rPr>
        <w:t>0</w:t>
      </w:r>
      <w:r>
        <w:rPr>
          <w:b w:val="0"/>
          <w:i w:val="0"/>
          <w:vertAlign w:val="superscript"/>
        </w:rPr>
        <w:t>2</w:t>
      </w:r>
      <w:r>
        <w:rPr>
          <w:b w:val="0"/>
          <w:i w:val="0"/>
        </w:rPr>
        <w:t xml:space="preserve"> sinh</w:t>
      </w:r>
      <w:r>
        <w:rPr>
          <w:b w:val="0"/>
          <w:i w:val="0"/>
          <w:vertAlign w:val="superscript"/>
        </w:rPr>
        <w:t>2</w:t>
      </w:r>
      <w:r>
        <w:rPr>
          <w:b w:val="0"/>
          <w:i w:val="0"/>
        </w:rPr>
        <w:t>(κa) / (4E(V</w:t>
      </w:r>
      <w:r>
        <w:rPr>
          <w:b w:val="0"/>
          <w:i w:val="0"/>
          <w:vertAlign w:val="subscript"/>
        </w:rPr>
        <w:t>0</w:t>
      </w:r>
      <w:r>
        <w:rPr>
          <w:b w:val="0"/>
          <w:i w:val="0"/>
        </w:rPr>
        <w:t xml:space="preserve"> − E))]</w:t>
      </w:r>
      <w:r>
        <w:rPr>
          <w:b w:val="0"/>
          <w:i w:val="0"/>
          <w:vertAlign w:val="superscript"/>
        </w:rPr>
        <w:t>−1</w:t>
      </w:r>
      <w:r>
        <w:rPr>
          <w:b w:val="0"/>
          <w:i w:val="0"/>
        </w:rPr>
        <w:t>, and by directly solving the four boundary-matching conditions as a 4×4 complex linear system. The two implementations were compared on a fixed grid of 125 parameter combinations spanning κa from 0.181 to 96.72. The largest absolute difference in T was 5.55×10</w:t>
      </w:r>
      <w:r>
        <w:rPr>
          <w:b w:val="0"/>
          <w:i w:val="0"/>
          <w:vertAlign w:val="superscript"/>
        </w:rPr>
        <w:t>−16</w:t>
      </w:r>
      <w:r>
        <w:rPr>
          <w:b w:val="0"/>
          <w:i w:val="0"/>
        </w:rPr>
        <w:t xml:space="preserve"> and the largest relative difference was 1.09×10</w:t>
      </w:r>
      <w:r>
        <w:rPr>
          <w:b w:val="0"/>
          <w:i w:val="0"/>
          <w:vertAlign w:val="superscript"/>
        </w:rPr>
        <w:t>−14</w:t>
      </w:r>
      <w:r>
        <w:rPr>
          <w:b w:val="0"/>
          <w:i w:val="0"/>
        </w:rPr>
        <w:t>, at the level of double-precision round-off. For fixed V</w:t>
      </w:r>
      <w:r>
        <w:rPr>
          <w:b w:val="0"/>
          <w:i w:val="0"/>
          <w:vertAlign w:val="subscript"/>
        </w:rPr>
        <w:t>0</w:t>
      </w:r>
      <w:r>
        <w:rPr>
          <w:b w:val="0"/>
          <w:i w:val="0"/>
        </w:rPr>
        <w:t xml:space="preserve"> = 5 eV, T decreases monotonically with barrier width and with barrier height, and increases with particle energy, as the closed-form expression requires. Because both methods solve the same equations, their agreement validates the implementation and the algebra; it does not test whether the rectangular-barrier model describes any physical system. No experimental data are used and no novel result is claimed.</w:t>
      </w:r>
    </w:p>
    <w:p>
      <w:pPr>
        <w:pStyle w:val="Heading1"/>
      </w:pPr>
      <w:r>
        <w:t>1  Introduction</w:t>
      </w:r>
    </w:p>
    <w:p>
      <w:pPr>
        <w:jc w:val="both"/>
      </w:pPr>
      <w:r>
        <w:rPr>
          <w:b w:val="0"/>
          <w:i w:val="0"/>
        </w:rPr>
        <w:t>A classical particle with energy E below a potential barrier of height V</w:t>
      </w:r>
      <w:r>
        <w:rPr>
          <w:b w:val="0"/>
          <w:i w:val="0"/>
          <w:vertAlign w:val="subscript"/>
        </w:rPr>
        <w:t>0</w:t>
      </w:r>
      <w:r>
        <w:rPr>
          <w:b w:val="0"/>
          <w:i w:val="0"/>
        </w:rPr>
        <w:t xml:space="preserve"> cannot cross it. A quantum particle can: its wavefunction decays inside the barrier but does not vanish, so there is a nonzero probability of finding the particle on the far side. The finite rectangular barrier is the standard textbook example of this effect [1] and has an exact solution.</w:t>
      </w:r>
    </w:p>
    <w:p>
      <w:pPr>
        <w:jc w:val="both"/>
      </w:pPr>
      <w:r>
        <w:rPr>
          <w:b w:val="0"/>
          <w:i w:val="0"/>
        </w:rPr>
        <w:t>The question investigated here is: how does the tunneling probability change with barrier width, barrier height and particle energy, and do an analytic formula and a direct numerical solution of the boundary conditions agree across barriers from thin to very thick? The aim is a reproducible, tested implementation with honestly reported numerical behaviour. This is a re-derivation and numerical verification of well-known results; it is not a novel discovery.</w:t>
      </w:r>
    </w:p>
    <w:p>
      <w:pPr>
        <w:jc w:val="both"/>
      </w:pPr>
      <w:r>
        <w:rPr>
          <w:b w:val="0"/>
          <w:i w:val="0"/>
        </w:rPr>
        <w:t>Section 2 gives the theory. Section 3 describes the units, the two implementations, the parameter sweep and the automated tests. Section 4 reports results, Section 5 states limitations, and Section 6 concludes. The Appendix describes the repository so that the report can be rebuilt.</w:t>
      </w:r>
    </w:p>
    <w:p>
      <w:pPr>
        <w:pStyle w:val="Heading1"/>
      </w:pPr>
      <w:r>
        <w:t>2  Theory</w:t>
      </w:r>
    </w:p>
    <w:p>
      <w:pPr>
        <w:pStyle w:val="Heading2"/>
      </w:pPr>
      <w:r>
        <w:t>2.1  Schrödinger equation in one dimension</w:t>
      </w:r>
    </w:p>
    <w:p>
      <w:pPr>
        <w:jc w:val="both"/>
      </w:pPr>
      <w:r>
        <w:rPr>
          <w:b w:val="0"/>
          <w:i w:val="0"/>
        </w:rPr>
        <w:t>A particle of mass m moves in the potential V(x) = 0 for x &lt; 0, V(x) = V</w:t>
      </w:r>
      <w:r>
        <w:rPr>
          <w:b w:val="0"/>
          <w:i w:val="0"/>
          <w:vertAlign w:val="subscript"/>
        </w:rPr>
        <w:t>0</w:t>
      </w:r>
      <w:r>
        <w:rPr>
          <w:b w:val="0"/>
          <w:i w:val="0"/>
        </w:rPr>
        <w:t xml:space="preserve"> for 0 &lt; x &lt; a, and V(x) = 0 for x &gt; a. The time-independent Schrödinger equation is</w:t>
      </w:r>
    </w:p>
    <w:p>
      <w:pPr>
        <w:spacing w:after="80"/>
        <w:jc w:val="center"/>
      </w:pPr>
      <w:r>
        <w:rPr>
          <w:b w:val="0"/>
          <w:i w:val="0"/>
        </w:rPr>
        <w:t>−(ħ</w:t>
      </w:r>
      <w:r>
        <w:rPr>
          <w:b w:val="0"/>
          <w:i w:val="0"/>
          <w:vertAlign w:val="superscript"/>
        </w:rPr>
        <w:t>2</w:t>
      </w:r>
      <w:r>
        <w:rPr>
          <w:b w:val="0"/>
          <w:i w:val="0"/>
        </w:rPr>
        <w:t xml:space="preserve"> / 2m) ψ″(x) + V(x) ψ(x) = E ψ(x)        (1)</w:t>
      </w:r>
    </w:p>
    <w:p>
      <w:pPr>
        <w:jc w:val="both"/>
      </w:pPr>
      <w:r>
        <w:rPr>
          <w:b w:val="0"/>
          <w:i w:val="0"/>
        </w:rPr>
        <w:t>with ħ the reduced Planck constant. The model is non-relativistic, one-dimensional, and describes a single particle (here an electron) incident from the left with energy 0 &lt; E &lt; V</w:t>
      </w:r>
      <w:r>
        <w:rPr>
          <w:b w:val="0"/>
          <w:i w:val="0"/>
          <w:vertAlign w:val="subscript"/>
        </w:rPr>
        <w:t>0</w:t>
      </w:r>
      <w:r>
        <w:rPr>
          <w:b w:val="0"/>
          <w:i w:val="0"/>
        </w:rPr>
        <w:t>.</w:t>
      </w:r>
    </w:p>
    <w:p>
      <w:pPr>
        <w:pStyle w:val="Heading2"/>
      </w:pPr>
      <w:r>
        <w:t>2.2  Wavefunctions in the three regions</w:t>
      </w:r>
    </w:p>
    <w:p>
      <w:pPr>
        <w:jc w:val="both"/>
      </w:pPr>
      <w:r>
        <w:rPr>
          <w:b w:val="0"/>
          <w:i w:val="0"/>
        </w:rPr>
        <w:t>Define the wavenumber outside the barrier and the decay constant inside it:</w:t>
      </w:r>
    </w:p>
    <w:p>
      <w:pPr>
        <w:spacing w:after="80"/>
        <w:jc w:val="center"/>
      </w:pPr>
      <w:r>
        <w:rPr>
          <w:b w:val="0"/>
          <w:i w:val="0"/>
        </w:rPr>
        <w:t>k = √(2mE) / ħ,        κ = √(2m(V</w:t>
      </w:r>
      <w:r>
        <w:rPr>
          <w:b w:val="0"/>
          <w:i w:val="0"/>
          <w:vertAlign w:val="subscript"/>
        </w:rPr>
        <w:t>0</w:t>
      </w:r>
      <w:r>
        <w:rPr>
          <w:b w:val="0"/>
          <w:i w:val="0"/>
        </w:rPr>
        <w:t xml:space="preserve"> − E)) / ħ        (2)</w:t>
      </w:r>
    </w:p>
    <w:p>
      <w:pPr>
        <w:jc w:val="both"/>
      </w:pPr>
      <w:r>
        <w:rPr>
          <w:b w:val="0"/>
          <w:i w:val="0"/>
        </w:rPr>
        <w:t>The general solution in each region, with unit incident amplitude, is</w:t>
      </w:r>
    </w:p>
    <w:p>
      <w:pPr>
        <w:spacing w:after="80"/>
        <w:jc w:val="center"/>
      </w:pPr>
      <w:r>
        <w:rPr>
          <w:b w:val="0"/>
          <w:i w:val="0"/>
        </w:rPr>
        <w:t>ψ</w:t>
      </w:r>
      <w:r>
        <w:rPr>
          <w:b w:val="0"/>
          <w:i w:val="0"/>
          <w:vertAlign w:val="subscript"/>
        </w:rPr>
        <w:t>I</w:t>
      </w:r>
      <w:r>
        <w:rPr>
          <w:b w:val="0"/>
          <w:i w:val="0"/>
        </w:rPr>
        <w:t>(x) = e</w:t>
      </w:r>
      <w:r>
        <w:rPr>
          <w:b w:val="0"/>
          <w:i w:val="0"/>
          <w:vertAlign w:val="superscript"/>
        </w:rPr>
        <w:t>ikx</w:t>
      </w:r>
      <w:r>
        <w:rPr>
          <w:b w:val="0"/>
          <w:i w:val="0"/>
        </w:rPr>
        <w:t xml:space="preserve"> + r e</w:t>
      </w:r>
      <w:r>
        <w:rPr>
          <w:b w:val="0"/>
          <w:i w:val="0"/>
          <w:vertAlign w:val="superscript"/>
        </w:rPr>
        <w:t>−ikx</w:t>
      </w:r>
      <w:r>
        <w:rPr>
          <w:b w:val="0"/>
          <w:i w:val="0"/>
        </w:rPr>
        <w:t xml:space="preserve">     (x &lt; 0)        (3)</w:t>
      </w:r>
    </w:p>
    <w:p>
      <w:pPr>
        <w:spacing w:after="80"/>
        <w:jc w:val="center"/>
      </w:pPr>
      <w:r>
        <w:rPr>
          <w:b w:val="0"/>
          <w:i w:val="0"/>
        </w:rPr>
        <w:t>ψ</w:t>
      </w:r>
      <w:r>
        <w:rPr>
          <w:b w:val="0"/>
          <w:i w:val="0"/>
          <w:vertAlign w:val="subscript"/>
        </w:rPr>
        <w:t>II</w:t>
      </w:r>
      <w:r>
        <w:rPr>
          <w:b w:val="0"/>
          <w:i w:val="0"/>
        </w:rPr>
        <w:t>(x) = A e</w:t>
      </w:r>
      <w:r>
        <w:rPr>
          <w:b w:val="0"/>
          <w:i w:val="0"/>
          <w:vertAlign w:val="superscript"/>
        </w:rPr>
        <w:t>κx</w:t>
      </w:r>
      <w:r>
        <w:rPr>
          <w:b w:val="0"/>
          <w:i w:val="0"/>
        </w:rPr>
        <w:t xml:space="preserve"> + B e</w:t>
      </w:r>
      <w:r>
        <w:rPr>
          <w:b w:val="0"/>
          <w:i w:val="0"/>
          <w:vertAlign w:val="superscript"/>
        </w:rPr>
        <w:t>−κx</w:t>
      </w:r>
      <w:r>
        <w:rPr>
          <w:b w:val="0"/>
          <w:i w:val="0"/>
        </w:rPr>
        <w:t xml:space="preserve">     (0 &lt; x &lt; a)        (4)</w:t>
      </w:r>
    </w:p>
    <w:p>
      <w:pPr>
        <w:spacing w:after="80"/>
        <w:jc w:val="center"/>
      </w:pPr>
      <w:r>
        <w:rPr>
          <w:b w:val="0"/>
          <w:i w:val="0"/>
        </w:rPr>
        <w:t>ψ</w:t>
      </w:r>
      <w:r>
        <w:rPr>
          <w:b w:val="0"/>
          <w:i w:val="0"/>
          <w:vertAlign w:val="subscript"/>
        </w:rPr>
        <w:t>III</w:t>
      </w:r>
      <w:r>
        <w:rPr>
          <w:b w:val="0"/>
          <w:i w:val="0"/>
        </w:rPr>
        <w:t>(x) = t e</w:t>
      </w:r>
      <w:r>
        <w:rPr>
          <w:b w:val="0"/>
          <w:i w:val="0"/>
          <w:vertAlign w:val="superscript"/>
        </w:rPr>
        <w:t>ikx</w:t>
      </w:r>
      <w:r>
        <w:rPr>
          <w:b w:val="0"/>
          <w:i w:val="0"/>
        </w:rPr>
        <w:t xml:space="preserve">     (x &gt; a)        (5)</w:t>
      </w:r>
    </w:p>
    <w:p>
      <w:pPr>
        <w:jc w:val="both"/>
      </w:pPr>
      <w:r>
        <w:rPr>
          <w:b w:val="0"/>
          <w:i w:val="0"/>
        </w:rPr>
        <w:t>Region III contains only a transmitted, right-moving wave. The transmission and reflection probabilities are T = |t|</w:t>
      </w:r>
      <w:r>
        <w:rPr>
          <w:b w:val="0"/>
          <w:i w:val="0"/>
          <w:vertAlign w:val="superscript"/>
        </w:rPr>
        <w:t>2</w:t>
      </w:r>
      <w:r>
        <w:rPr>
          <w:b w:val="0"/>
          <w:i w:val="0"/>
        </w:rPr>
        <w:t xml:space="preserve"> and R = |r|</w:t>
      </w:r>
      <w:r>
        <w:rPr>
          <w:b w:val="0"/>
          <w:i w:val="0"/>
          <w:vertAlign w:val="superscript"/>
        </w:rPr>
        <w:t>2</w:t>
      </w:r>
      <w:r>
        <w:rPr>
          <w:b w:val="0"/>
          <w:i w:val="0"/>
        </w:rPr>
        <w:t>. Because the particle has the same wavenumber on both sides, no velocity factor is needed, and probability conservation requires R + T = 1.</w:t>
      </w:r>
    </w:p>
    <w:p>
      <w:pPr>
        <w:pStyle w:val="Heading2"/>
      </w:pPr>
      <w:r>
        <w:t>2.3  Boundary conditions</w:t>
      </w:r>
    </w:p>
    <w:p>
      <w:pPr>
        <w:jc w:val="both"/>
      </w:pPr>
      <w:r>
        <w:rPr>
          <w:b w:val="0"/>
          <w:i w:val="0"/>
        </w:rPr>
        <w:t>ψ and ψ′ must be continuous at x = 0 and x = a, which gives four linear equations for r, A, B and t:</w:t>
      </w:r>
    </w:p>
    <w:p>
      <w:pPr>
        <w:spacing w:after="80"/>
        <w:jc w:val="center"/>
      </w:pPr>
      <w:r>
        <w:rPr>
          <w:b w:val="0"/>
          <w:i w:val="0"/>
        </w:rPr>
        <w:t>1 + r = A + B        (6)</w:t>
      </w:r>
    </w:p>
    <w:p>
      <w:pPr>
        <w:spacing w:after="80"/>
        <w:jc w:val="center"/>
      </w:pPr>
      <w:r>
        <w:rPr>
          <w:b w:val="0"/>
          <w:i w:val="0"/>
        </w:rPr>
        <w:t>ik(1 − r) = κ(A − B)        (7)</w:t>
      </w:r>
    </w:p>
    <w:p>
      <w:pPr>
        <w:spacing w:after="80"/>
        <w:jc w:val="center"/>
      </w:pPr>
      <w:r>
        <w:rPr>
          <w:b w:val="0"/>
          <w:i w:val="0"/>
        </w:rPr>
        <w:t>A e</w:t>
      </w:r>
      <w:r>
        <w:rPr>
          <w:b w:val="0"/>
          <w:i w:val="0"/>
          <w:vertAlign w:val="superscript"/>
        </w:rPr>
        <w:t>κa</w:t>
      </w:r>
      <w:r>
        <w:rPr>
          <w:b w:val="0"/>
          <w:i w:val="0"/>
        </w:rPr>
        <w:t xml:space="preserve"> + B e</w:t>
      </w:r>
      <w:r>
        <w:rPr>
          <w:b w:val="0"/>
          <w:i w:val="0"/>
          <w:vertAlign w:val="superscript"/>
        </w:rPr>
        <w:t>−κa</w:t>
      </w:r>
      <w:r>
        <w:rPr>
          <w:b w:val="0"/>
          <w:i w:val="0"/>
        </w:rPr>
        <w:t xml:space="preserve"> = t e</w:t>
      </w:r>
      <w:r>
        <w:rPr>
          <w:b w:val="0"/>
          <w:i w:val="0"/>
          <w:vertAlign w:val="superscript"/>
        </w:rPr>
        <w:t>ika</w:t>
      </w:r>
      <w:r>
        <w:rPr>
          <w:b w:val="0"/>
          <w:i w:val="0"/>
        </w:rPr>
        <w:t xml:space="preserve">        (8)</w:t>
      </w:r>
    </w:p>
    <w:p>
      <w:pPr>
        <w:spacing w:after="80"/>
        <w:jc w:val="center"/>
      </w:pPr>
      <w:r>
        <w:rPr>
          <w:b w:val="0"/>
          <w:i w:val="0"/>
        </w:rPr>
        <w:t>κ(A e</w:t>
      </w:r>
      <w:r>
        <w:rPr>
          <w:b w:val="0"/>
          <w:i w:val="0"/>
          <w:vertAlign w:val="superscript"/>
        </w:rPr>
        <w:t>κa</w:t>
      </w:r>
      <w:r>
        <w:rPr>
          <w:b w:val="0"/>
          <w:i w:val="0"/>
        </w:rPr>
        <w:t xml:space="preserve"> − B e</w:t>
      </w:r>
      <w:r>
        <w:rPr>
          <w:b w:val="0"/>
          <w:i w:val="0"/>
          <w:vertAlign w:val="superscript"/>
        </w:rPr>
        <w:t>−κa</w:t>
      </w:r>
      <w:r>
        <w:rPr>
          <w:b w:val="0"/>
          <w:i w:val="0"/>
        </w:rPr>
        <w:t>) = ik t e</w:t>
      </w:r>
      <w:r>
        <w:rPr>
          <w:b w:val="0"/>
          <w:i w:val="0"/>
          <w:vertAlign w:val="superscript"/>
        </w:rPr>
        <w:t>ika</w:t>
      </w:r>
      <w:r>
        <w:rPr>
          <w:b w:val="0"/>
          <w:i w:val="0"/>
        </w:rPr>
        <w:t xml:space="preserve">        (9)</w:t>
      </w:r>
    </w:p>
    <w:p>
      <w:pPr>
        <w:pStyle w:val="Heading2"/>
      </w:pPr>
      <w:r>
        <w:t>2.4  Algebra leading to the transmission probability</w:t>
      </w:r>
    </w:p>
    <w:p>
      <w:pPr>
        <w:jc w:val="both"/>
      </w:pPr>
      <w:r>
        <w:rPr>
          <w:b w:val="0"/>
          <w:i w:val="0"/>
        </w:rPr>
        <w:t>Equations (8) and (9) give A and B in terms of t. Adding and subtracting them,</w:t>
      </w:r>
    </w:p>
    <w:p>
      <w:pPr>
        <w:spacing w:after="80"/>
        <w:jc w:val="center"/>
      </w:pPr>
      <w:r>
        <w:rPr>
          <w:b w:val="0"/>
          <w:i w:val="0"/>
        </w:rPr>
        <w:t>A e</w:t>
      </w:r>
      <w:r>
        <w:rPr>
          <w:b w:val="0"/>
          <w:i w:val="0"/>
          <w:vertAlign w:val="superscript"/>
        </w:rPr>
        <w:t>κa</w:t>
      </w:r>
      <w:r>
        <w:rPr>
          <w:b w:val="0"/>
          <w:i w:val="0"/>
        </w:rPr>
        <w:t xml:space="preserve"> = (t e</w:t>
      </w:r>
      <w:r>
        <w:rPr>
          <w:b w:val="0"/>
          <w:i w:val="0"/>
          <w:vertAlign w:val="superscript"/>
        </w:rPr>
        <w:t>ika</w:t>
      </w:r>
      <w:r>
        <w:rPr>
          <w:b w:val="0"/>
          <w:i w:val="0"/>
        </w:rPr>
        <w:t xml:space="preserve"> / 2)(1 + ik/κ),        B e</w:t>
      </w:r>
      <w:r>
        <w:rPr>
          <w:b w:val="0"/>
          <w:i w:val="0"/>
          <w:vertAlign w:val="superscript"/>
        </w:rPr>
        <w:t>−κa</w:t>
      </w:r>
      <w:r>
        <w:rPr>
          <w:b w:val="0"/>
          <w:i w:val="0"/>
        </w:rPr>
        <w:t xml:space="preserve"> = (t e</w:t>
      </w:r>
      <w:r>
        <w:rPr>
          <w:b w:val="0"/>
          <w:i w:val="0"/>
          <w:vertAlign w:val="superscript"/>
        </w:rPr>
        <w:t>ika</w:t>
      </w:r>
      <w:r>
        <w:rPr>
          <w:b w:val="0"/>
          <w:i w:val="0"/>
        </w:rPr>
        <w:t xml:space="preserve"> / 2)(1 − ik/κ)        (10)</w:t>
      </w:r>
    </w:p>
    <w:p>
      <w:pPr>
        <w:jc w:val="both"/>
      </w:pPr>
      <w:r>
        <w:rPr>
          <w:b w:val="0"/>
          <w:i w:val="0"/>
        </w:rPr>
        <w:t>Adding (6) to (7) divided by ik eliminates r: 2 = A(1 − iκ/k) + B(1 + iκ/k). Substituting (10), and using (1 + ik/κ)(1 − iκ/k) = 2 − i(κ</w:t>
      </w:r>
      <w:r>
        <w:rPr>
          <w:b w:val="0"/>
          <w:i w:val="0"/>
          <w:vertAlign w:val="superscript"/>
        </w:rPr>
        <w:t>2</w:t>
      </w:r>
      <w:r>
        <w:rPr>
          <w:b w:val="0"/>
          <w:i w:val="0"/>
        </w:rPr>
        <w:t xml:space="preserve"> − k</w:t>
      </w:r>
      <w:r>
        <w:rPr>
          <w:b w:val="0"/>
          <w:i w:val="0"/>
          <w:vertAlign w:val="superscript"/>
        </w:rPr>
        <w:t>2</w:t>
      </w:r>
      <w:r>
        <w:rPr>
          <w:b w:val="0"/>
          <w:i w:val="0"/>
        </w:rPr>
        <w:t>)/(kκ) together with its complex conjugate, gives</w:t>
      </w:r>
    </w:p>
    <w:p>
      <w:pPr>
        <w:spacing w:after="80"/>
        <w:jc w:val="center"/>
      </w:pPr>
      <w:r>
        <w:rPr>
          <w:b w:val="0"/>
          <w:i w:val="0"/>
        </w:rPr>
        <w:t>t e</w:t>
      </w:r>
      <w:r>
        <w:rPr>
          <w:b w:val="0"/>
          <w:i w:val="0"/>
          <w:vertAlign w:val="superscript"/>
        </w:rPr>
        <w:t>ika</w:t>
      </w:r>
      <w:r>
        <w:rPr>
          <w:b w:val="0"/>
          <w:i w:val="0"/>
        </w:rPr>
        <w:t xml:space="preserve"> = 1 / [cosh(κa) + i ((κ</w:t>
      </w:r>
      <w:r>
        <w:rPr>
          <w:b w:val="0"/>
          <w:i w:val="0"/>
          <w:vertAlign w:val="superscript"/>
        </w:rPr>
        <w:t>2</w:t>
      </w:r>
      <w:r>
        <w:rPr>
          <w:b w:val="0"/>
          <w:i w:val="0"/>
        </w:rPr>
        <w:t xml:space="preserve"> − k</w:t>
      </w:r>
      <w:r>
        <w:rPr>
          <w:b w:val="0"/>
          <w:i w:val="0"/>
          <w:vertAlign w:val="superscript"/>
        </w:rPr>
        <w:t>2</w:t>
      </w:r>
      <w:r>
        <w:rPr>
          <w:b w:val="0"/>
          <w:i w:val="0"/>
        </w:rPr>
        <w:t>) / (2kκ)) sinh(κa)]        (11)</w:t>
      </w:r>
    </w:p>
    <w:p>
      <w:pPr>
        <w:jc w:val="both"/>
      </w:pPr>
      <w:r>
        <w:rPr>
          <w:b w:val="0"/>
          <w:i w:val="0"/>
        </w:rPr>
        <w:t>Taking the squared modulus and using cosh</w:t>
      </w:r>
      <w:r>
        <w:rPr>
          <w:b w:val="0"/>
          <w:i w:val="0"/>
          <w:vertAlign w:val="superscript"/>
        </w:rPr>
        <w:t>2</w:t>
      </w:r>
      <w:r>
        <w:rPr>
          <w:b w:val="0"/>
          <w:i w:val="0"/>
        </w:rPr>
        <w:t xml:space="preserve"> = 1 + sinh</w:t>
      </w:r>
      <w:r>
        <w:rPr>
          <w:b w:val="0"/>
          <w:i w:val="0"/>
          <w:vertAlign w:val="superscript"/>
        </w:rPr>
        <w:t>2</w:t>
      </w:r>
      <w:r>
        <w:rPr>
          <w:b w:val="0"/>
          <w:i w:val="0"/>
        </w:rPr>
        <w:t>,</w:t>
      </w:r>
    </w:p>
    <w:p>
      <w:pPr>
        <w:spacing w:after="80"/>
        <w:jc w:val="center"/>
      </w:pPr>
      <w:r>
        <w:rPr>
          <w:b w:val="0"/>
          <w:i w:val="0"/>
        </w:rPr>
        <w:t>T = |t|</w:t>
      </w:r>
      <w:r>
        <w:rPr>
          <w:b w:val="0"/>
          <w:i w:val="0"/>
          <w:vertAlign w:val="superscript"/>
        </w:rPr>
        <w:t>2</w:t>
      </w:r>
      <w:r>
        <w:rPr>
          <w:b w:val="0"/>
          <w:i w:val="0"/>
        </w:rPr>
        <w:t xml:space="preserve"> = 1 / [1 + ((κ</w:t>
      </w:r>
      <w:r>
        <w:rPr>
          <w:b w:val="0"/>
          <w:i w:val="0"/>
          <w:vertAlign w:val="superscript"/>
        </w:rPr>
        <w:t>2</w:t>
      </w:r>
      <w:r>
        <w:rPr>
          <w:b w:val="0"/>
          <w:i w:val="0"/>
        </w:rPr>
        <w:t xml:space="preserve"> + k</w:t>
      </w:r>
      <w:r>
        <w:rPr>
          <w:b w:val="0"/>
          <w:i w:val="0"/>
          <w:vertAlign w:val="superscript"/>
        </w:rPr>
        <w:t>2</w:t>
      </w:r>
      <w:r>
        <w:rPr>
          <w:b w:val="0"/>
          <w:i w:val="0"/>
        </w:rPr>
        <w:t>)</w:t>
      </w:r>
      <w:r>
        <w:rPr>
          <w:b w:val="0"/>
          <w:i w:val="0"/>
          <w:vertAlign w:val="superscript"/>
        </w:rPr>
        <w:t>2</w:t>
      </w:r>
      <w:r>
        <w:rPr>
          <w:b w:val="0"/>
          <w:i w:val="0"/>
        </w:rPr>
        <w:t xml:space="preserve"> / (4k</w:t>
      </w:r>
      <w:r>
        <w:rPr>
          <w:b w:val="0"/>
          <w:i w:val="0"/>
          <w:vertAlign w:val="superscript"/>
        </w:rPr>
        <w:t>2</w:t>
      </w:r>
      <w:r>
        <w:rPr>
          <w:b w:val="0"/>
          <w:i w:val="0"/>
        </w:rPr>
        <w:t>κ</w:t>
      </w:r>
      <w:r>
        <w:rPr>
          <w:b w:val="0"/>
          <w:i w:val="0"/>
          <w:vertAlign w:val="superscript"/>
        </w:rPr>
        <w:t>2</w:t>
      </w:r>
      <w:r>
        <w:rPr>
          <w:b w:val="0"/>
          <w:i w:val="0"/>
        </w:rPr>
        <w:t>)) sinh</w:t>
      </w:r>
      <w:r>
        <w:rPr>
          <w:b w:val="0"/>
          <w:i w:val="0"/>
          <w:vertAlign w:val="superscript"/>
        </w:rPr>
        <w:t>2</w:t>
      </w:r>
      <w:r>
        <w:rPr>
          <w:b w:val="0"/>
          <w:i w:val="0"/>
        </w:rPr>
        <w:t>(κa)]        (12)</w:t>
      </w:r>
    </w:p>
    <w:p>
      <w:pPr>
        <w:jc w:val="both"/>
      </w:pPr>
      <w:r>
        <w:rPr>
          <w:b w:val="0"/>
          <w:i w:val="0"/>
        </w:rPr>
        <w:t>Finally, k</w:t>
      </w:r>
      <w:r>
        <w:rPr>
          <w:b w:val="0"/>
          <w:i w:val="0"/>
          <w:vertAlign w:val="superscript"/>
        </w:rPr>
        <w:t>2</w:t>
      </w:r>
      <w:r>
        <w:rPr>
          <w:b w:val="0"/>
          <w:i w:val="0"/>
        </w:rPr>
        <w:t xml:space="preserve"> = 2mE/ħ</w:t>
      </w:r>
      <w:r>
        <w:rPr>
          <w:b w:val="0"/>
          <w:i w:val="0"/>
          <w:vertAlign w:val="superscript"/>
        </w:rPr>
        <w:t>2</w:t>
      </w:r>
      <w:r>
        <w:rPr>
          <w:b w:val="0"/>
          <w:i w:val="0"/>
        </w:rPr>
        <w:t xml:space="preserve"> and κ</w:t>
      </w:r>
      <w:r>
        <w:rPr>
          <w:b w:val="0"/>
          <w:i w:val="0"/>
          <w:vertAlign w:val="superscript"/>
        </w:rPr>
        <w:t>2</w:t>
      </w:r>
      <w:r>
        <w:rPr>
          <w:b w:val="0"/>
          <w:i w:val="0"/>
        </w:rPr>
        <w:t xml:space="preserve"> = 2m(V</w:t>
      </w:r>
      <w:r>
        <w:rPr>
          <w:b w:val="0"/>
          <w:i w:val="0"/>
          <w:vertAlign w:val="subscript"/>
        </w:rPr>
        <w:t>0</w:t>
      </w:r>
      <w:r>
        <w:rPr>
          <w:b w:val="0"/>
          <w:i w:val="0"/>
        </w:rPr>
        <w:t xml:space="preserve"> − E)/ħ</w:t>
      </w:r>
      <w:r>
        <w:rPr>
          <w:b w:val="0"/>
          <w:i w:val="0"/>
          <w:vertAlign w:val="superscript"/>
        </w:rPr>
        <w:t>2</w:t>
      </w:r>
      <w:r>
        <w:rPr>
          <w:b w:val="0"/>
          <w:i w:val="0"/>
        </w:rPr>
        <w:t xml:space="preserve"> give κ</w:t>
      </w:r>
      <w:r>
        <w:rPr>
          <w:b w:val="0"/>
          <w:i w:val="0"/>
          <w:vertAlign w:val="superscript"/>
        </w:rPr>
        <w:t>2</w:t>
      </w:r>
      <w:r>
        <w:rPr>
          <w:b w:val="0"/>
          <w:i w:val="0"/>
        </w:rPr>
        <w:t xml:space="preserve"> + k</w:t>
      </w:r>
      <w:r>
        <w:rPr>
          <w:b w:val="0"/>
          <w:i w:val="0"/>
          <w:vertAlign w:val="superscript"/>
        </w:rPr>
        <w:t>2</w:t>
      </w:r>
      <w:r>
        <w:rPr>
          <w:b w:val="0"/>
          <w:i w:val="0"/>
        </w:rPr>
        <w:t xml:space="preserve"> = 2mV</w:t>
      </w:r>
      <w:r>
        <w:rPr>
          <w:b w:val="0"/>
          <w:i w:val="0"/>
          <w:vertAlign w:val="subscript"/>
        </w:rPr>
        <w:t>0</w:t>
      </w:r>
      <w:r>
        <w:rPr>
          <w:b w:val="0"/>
          <w:i w:val="0"/>
        </w:rPr>
        <w:t>/ħ</w:t>
      </w:r>
      <w:r>
        <w:rPr>
          <w:b w:val="0"/>
          <w:i w:val="0"/>
          <w:vertAlign w:val="superscript"/>
        </w:rPr>
        <w:t>2</w:t>
      </w:r>
      <w:r>
        <w:rPr>
          <w:b w:val="0"/>
          <w:i w:val="0"/>
        </w:rPr>
        <w:t xml:space="preserve"> and k</w:t>
      </w:r>
      <w:r>
        <w:rPr>
          <w:b w:val="0"/>
          <w:i w:val="0"/>
          <w:vertAlign w:val="superscript"/>
        </w:rPr>
        <w:t>2</w:t>
      </w:r>
      <w:r>
        <w:rPr>
          <w:b w:val="0"/>
          <w:i w:val="0"/>
        </w:rPr>
        <w:t>κ</w:t>
      </w:r>
      <w:r>
        <w:rPr>
          <w:b w:val="0"/>
          <w:i w:val="0"/>
          <w:vertAlign w:val="superscript"/>
        </w:rPr>
        <w:t>2</w:t>
      </w:r>
      <w:r>
        <w:rPr>
          <w:b w:val="0"/>
          <w:i w:val="0"/>
        </w:rPr>
        <w:t xml:space="preserve"> = (2m/ħ</w:t>
      </w:r>
      <w:r>
        <w:rPr>
          <w:b w:val="0"/>
          <w:i w:val="0"/>
          <w:vertAlign w:val="superscript"/>
        </w:rPr>
        <w:t>2</w:t>
      </w:r>
      <w:r>
        <w:rPr>
          <w:b w:val="0"/>
          <w:i w:val="0"/>
        </w:rPr>
        <w:t>)</w:t>
      </w:r>
      <w:r>
        <w:rPr>
          <w:b w:val="0"/>
          <w:i w:val="0"/>
          <w:vertAlign w:val="superscript"/>
        </w:rPr>
        <w:t>2</w:t>
      </w:r>
      <w:r>
        <w:rPr>
          <w:b w:val="0"/>
          <w:i w:val="0"/>
        </w:rPr>
        <w:t xml:space="preserve"> E(V</w:t>
      </w:r>
      <w:r>
        <w:rPr>
          <w:b w:val="0"/>
          <w:i w:val="0"/>
          <w:vertAlign w:val="subscript"/>
        </w:rPr>
        <w:t>0</w:t>
      </w:r>
      <w:r>
        <w:rPr>
          <w:b w:val="0"/>
          <w:i w:val="0"/>
        </w:rPr>
        <w:t xml:space="preserve"> − E), so</w:t>
      </w:r>
    </w:p>
    <w:p>
      <w:pPr>
        <w:spacing w:after="80"/>
        <w:jc w:val="center"/>
      </w:pPr>
      <w:r>
        <w:rPr>
          <w:b w:val="0"/>
          <w:i w:val="0"/>
        </w:rPr>
        <w:t>T = [ 1 + V</w:t>
      </w:r>
      <w:r>
        <w:rPr>
          <w:b w:val="0"/>
          <w:i w:val="0"/>
          <w:vertAlign w:val="subscript"/>
        </w:rPr>
        <w:t>0</w:t>
      </w:r>
      <w:r>
        <w:rPr>
          <w:b w:val="0"/>
          <w:i w:val="0"/>
          <w:vertAlign w:val="superscript"/>
        </w:rPr>
        <w:t>2</w:t>
      </w:r>
      <w:r>
        <w:rPr>
          <w:b w:val="0"/>
          <w:i w:val="0"/>
        </w:rPr>
        <w:t xml:space="preserve"> sinh</w:t>
      </w:r>
      <w:r>
        <w:rPr>
          <w:b w:val="0"/>
          <w:i w:val="0"/>
          <w:vertAlign w:val="superscript"/>
        </w:rPr>
        <w:t>2</w:t>
      </w:r>
      <w:r>
        <w:rPr>
          <w:b w:val="0"/>
          <w:i w:val="0"/>
        </w:rPr>
        <w:t>(κa) / (4E(V</w:t>
      </w:r>
      <w:r>
        <w:rPr>
          <w:b w:val="0"/>
          <w:i w:val="0"/>
          <w:vertAlign w:val="subscript"/>
        </w:rPr>
        <w:t>0</w:t>
      </w:r>
      <w:r>
        <w:rPr>
          <w:b w:val="0"/>
          <w:i w:val="0"/>
        </w:rPr>
        <w:t xml:space="preserve"> − E)) ]</w:t>
      </w:r>
      <w:r>
        <w:rPr>
          <w:b w:val="0"/>
          <w:i w:val="0"/>
          <w:vertAlign w:val="superscript"/>
        </w:rPr>
        <w:t>−1</w:t>
      </w:r>
      <w:r>
        <w:rPr>
          <w:b w:val="0"/>
          <w:i w:val="0"/>
        </w:rPr>
        <w:t xml:space="preserve">        (13)</w:t>
      </w:r>
    </w:p>
    <w:p>
      <w:pPr>
        <w:pStyle w:val="Heading2"/>
      </w:pPr>
      <w:r>
        <w:t>2.5  Limiting cases</w:t>
      </w:r>
    </w:p>
    <w:p>
      <w:pPr>
        <w:pStyle w:val="ListBullet"/>
        <w:spacing w:after="40"/>
      </w:pPr>
      <w:r>
        <w:rPr>
          <w:b w:val="0"/>
          <w:i w:val="0"/>
        </w:rPr>
        <w:t>Thin barrier, a → 0: sinh(κa) → 0, so T → 1. A barrier of vanishing width does not reflect.</w:t>
      </w:r>
    </w:p>
    <w:p>
      <w:pPr>
        <w:pStyle w:val="ListBullet"/>
        <w:spacing w:after="40"/>
      </w:pPr>
      <w:r>
        <w:rPr>
          <w:b w:val="0"/>
          <w:i w:val="0"/>
        </w:rPr>
        <w:t>Thick barrier, κa ≫ 1: sinh</w:t>
      </w:r>
      <w:r>
        <w:rPr>
          <w:b w:val="0"/>
          <w:i w:val="0"/>
          <w:vertAlign w:val="superscript"/>
        </w:rPr>
        <w:t>2</w:t>
      </w:r>
      <w:r>
        <w:rPr>
          <w:b w:val="0"/>
          <w:i w:val="0"/>
        </w:rPr>
        <w:t>(κa) ≈ e</w:t>
      </w:r>
      <w:r>
        <w:rPr>
          <w:b w:val="0"/>
          <w:i w:val="0"/>
          <w:vertAlign w:val="superscript"/>
        </w:rPr>
        <w:t>2κa</w:t>
      </w:r>
      <w:r>
        <w:rPr>
          <w:b w:val="0"/>
          <w:i w:val="0"/>
        </w:rPr>
        <w:t>/4, and the leading 1 in the denominator is negligible, so T ≈ [16E(V</w:t>
      </w:r>
      <w:r>
        <w:rPr>
          <w:b w:val="0"/>
          <w:i w:val="0"/>
          <w:vertAlign w:val="subscript"/>
        </w:rPr>
        <w:t>0</w:t>
      </w:r>
      <w:r>
        <w:rPr>
          <w:b w:val="0"/>
          <w:i w:val="0"/>
        </w:rPr>
        <w:t xml:space="preserve"> − E)/V</w:t>
      </w:r>
      <w:r>
        <w:rPr>
          <w:b w:val="0"/>
          <w:i w:val="0"/>
          <w:vertAlign w:val="subscript"/>
        </w:rPr>
        <w:t>0</w:t>
      </w:r>
      <w:r>
        <w:rPr>
          <w:b w:val="0"/>
          <w:i w:val="0"/>
          <w:vertAlign w:val="superscript"/>
        </w:rPr>
        <w:t>2</w:t>
      </w:r>
      <w:r>
        <w:rPr>
          <w:b w:val="0"/>
          <w:i w:val="0"/>
        </w:rPr>
        <w:t>] e</w:t>
      </w:r>
      <w:r>
        <w:rPr>
          <w:b w:val="0"/>
          <w:i w:val="0"/>
          <w:vertAlign w:val="superscript"/>
        </w:rPr>
        <w:t>−2κa</w:t>
      </w:r>
      <w:r>
        <w:rPr>
          <w:b w:val="0"/>
          <w:i w:val="0"/>
        </w:rPr>
        <w:t>. T then falls exponentially with width, with log-slope −2κ.</w:t>
      </w:r>
    </w:p>
    <w:p>
      <w:pPr>
        <w:pStyle w:val="Heading1"/>
      </w:pPr>
      <w:r>
        <w:t>3  Methods</w:t>
      </w:r>
    </w:p>
    <w:p>
      <w:pPr>
        <w:pStyle w:val="Heading2"/>
      </w:pPr>
      <w:r>
        <w:t>3.1  Units and constants</w:t>
      </w:r>
    </w:p>
    <w:p>
      <w:pPr>
        <w:jc w:val="both"/>
      </w:pPr>
      <w:r>
        <w:rPr>
          <w:b w:val="0"/>
          <w:i w:val="0"/>
        </w:rPr>
        <w:t>User-facing inputs are energies in eV and lengths in nm. Internally every calculation is done in SI units (J, m, kg); the conversions live in src/constants.py (ev_to_joule, joule_to_ev, nm_to_m, m_to_nm). The constants follow CODATA 2022 [2]. The Planck constant h = 6.62607015×10</w:t>
      </w:r>
      <w:r>
        <w:rPr>
          <w:b w:val="0"/>
          <w:i w:val="0"/>
          <w:vertAlign w:val="superscript"/>
        </w:rPr>
        <w:t>−34</w:t>
      </w:r>
      <w:r>
        <w:rPr>
          <w:b w:val="0"/>
          <w:i w:val="0"/>
        </w:rPr>
        <w:t xml:space="preserve"> J s and the elementary charge e = 1.602176634×10</w:t>
      </w:r>
      <w:r>
        <w:rPr>
          <w:b w:val="0"/>
          <w:i w:val="0"/>
          <w:vertAlign w:val="superscript"/>
        </w:rPr>
        <w:t>−19</w:t>
      </w:r>
      <w:r>
        <w:rPr>
          <w:b w:val="0"/>
          <w:i w:val="0"/>
        </w:rPr>
        <w:t xml:space="preserve"> C are exact by the SI definition, and ħ = h/2π = 1.05457182×10</w:t>
      </w:r>
      <w:r>
        <w:rPr>
          <w:b w:val="0"/>
          <w:i w:val="0"/>
          <w:vertAlign w:val="superscript"/>
        </w:rPr>
        <w:t>−34</w:t>
      </w:r>
      <w:r>
        <w:rPr>
          <w:b w:val="0"/>
          <w:i w:val="0"/>
        </w:rPr>
        <w:t xml:space="preserve"> J s is computed rather than typed in. The electron mass is m</w:t>
      </w:r>
      <w:r>
        <w:rPr>
          <w:b w:val="0"/>
          <w:i w:val="0"/>
          <w:vertAlign w:val="subscript"/>
        </w:rPr>
        <w:t>e</w:t>
      </w:r>
      <w:r>
        <w:rPr>
          <w:b w:val="0"/>
          <w:i w:val="0"/>
        </w:rPr>
        <w:t xml:space="preserve"> = 9.1093837139×10</w:t>
      </w:r>
      <w:r>
        <w:rPr>
          <w:b w:val="0"/>
          <w:i w:val="0"/>
          <w:vertAlign w:val="superscript"/>
        </w:rPr>
        <w:t>−31</w:t>
      </w:r>
      <w:r>
        <w:rPr>
          <w:b w:val="0"/>
          <w:i w:val="0"/>
        </w:rPr>
        <w:t xml:space="preserve"> kg. All values in this paragraph are read from src/constants.py when the report is built.</w:t>
      </w:r>
    </w:p>
    <w:p>
      <w:pPr>
        <w:pStyle w:val="Heading2"/>
      </w:pPr>
      <w:r>
        <w:t>3.2  Analytic implementation</w:t>
      </w:r>
    </w:p>
    <w:p>
      <w:pPr>
        <w:jc w:val="both"/>
      </w:pPr>
      <w:r>
        <w:rPr>
          <w:b w:val="0"/>
          <w:i w:val="0"/>
        </w:rPr>
        <w:t>src/analytic.py implements Eq. (13) as transmission_analytic(E_eV, V0_eV, width_nm). It raises ValueError unless 0 &lt; E &lt; V</w:t>
      </w:r>
      <w:r>
        <w:rPr>
          <w:b w:val="0"/>
          <w:i w:val="0"/>
          <w:vertAlign w:val="subscript"/>
        </w:rPr>
        <w:t>0</w:t>
      </w:r>
      <w:r>
        <w:rPr>
          <w:b w:val="0"/>
          <w:i w:val="0"/>
        </w:rPr>
        <w:t xml:space="preserve"> and the width is non-negative. A direct evaluation of sinh</w:t>
      </w:r>
      <w:r>
        <w:rPr>
          <w:b w:val="0"/>
          <w:i w:val="0"/>
          <w:vertAlign w:val="superscript"/>
        </w:rPr>
        <w:t>2</w:t>
      </w:r>
      <w:r>
        <w:rPr>
          <w:b w:val="0"/>
          <w:i w:val="0"/>
        </w:rPr>
        <w:t>(κa) overflows in double precision for κa above roughly 356, so the function works in logarithms. Writing x = κa and A</w:t>
      </w:r>
      <w:r>
        <w:rPr>
          <w:b w:val="0"/>
          <w:i w:val="0"/>
          <w:vertAlign w:val="subscript"/>
        </w:rPr>
        <w:t>0</w:t>
      </w:r>
      <w:r>
        <w:rPr>
          <w:b w:val="0"/>
          <w:i w:val="0"/>
        </w:rPr>
        <w:t xml:space="preserve"> = V</w:t>
      </w:r>
      <w:r>
        <w:rPr>
          <w:b w:val="0"/>
          <w:i w:val="0"/>
          <w:vertAlign w:val="subscript"/>
        </w:rPr>
        <w:t>0</w:t>
      </w:r>
      <w:r>
        <w:rPr>
          <w:b w:val="0"/>
          <w:i w:val="0"/>
          <w:vertAlign w:val="superscript"/>
        </w:rPr>
        <w:t>2</w:t>
      </w:r>
      <w:r>
        <w:rPr>
          <w:b w:val="0"/>
          <w:i w:val="0"/>
        </w:rPr>
        <w:t>/(16E(V</w:t>
      </w:r>
      <w:r>
        <w:rPr>
          <w:b w:val="0"/>
          <w:i w:val="0"/>
          <w:vertAlign w:val="subscript"/>
        </w:rPr>
        <w:t>0</w:t>
      </w:r>
      <w:r>
        <w:rPr>
          <w:b w:val="0"/>
          <w:i w:val="0"/>
        </w:rPr>
        <w:t xml:space="preserve"> − E)), the term in the denominator is A</w:t>
      </w:r>
      <w:r>
        <w:rPr>
          <w:b w:val="0"/>
          <w:i w:val="0"/>
          <w:vertAlign w:val="subscript"/>
        </w:rPr>
        <w:t>0</w:t>
      </w:r>
      <w:r>
        <w:rPr>
          <w:b w:val="0"/>
          <w:i w:val="0"/>
        </w:rPr>
        <w:t xml:space="preserve"> e</w:t>
      </w:r>
      <w:r>
        <w:rPr>
          <w:b w:val="0"/>
          <w:i w:val="0"/>
          <w:vertAlign w:val="superscript"/>
        </w:rPr>
        <w:t>2x</w:t>
      </w:r>
      <w:r>
        <w:rPr>
          <w:b w:val="0"/>
          <w:i w:val="0"/>
        </w:rPr>
        <w:t>(1 − e</w:t>
      </w:r>
      <w:r>
        <w:rPr>
          <w:b w:val="0"/>
          <w:i w:val="0"/>
          <w:vertAlign w:val="superscript"/>
        </w:rPr>
        <w:t>−2x</w:t>
      </w:r>
      <w:r>
        <w:rPr>
          <w:b w:val="0"/>
          <w:i w:val="0"/>
        </w:rPr>
        <w:t>)</w:t>
      </w:r>
      <w:r>
        <w:rPr>
          <w:b w:val="0"/>
          <w:i w:val="0"/>
          <w:vertAlign w:val="superscript"/>
        </w:rPr>
        <w:t>2</w:t>
      </w:r>
      <w:r>
        <w:rPr>
          <w:b w:val="0"/>
          <w:i w:val="0"/>
        </w:rPr>
        <w:t>; its logarithm is formed as ln A</w:t>
      </w:r>
      <w:r>
        <w:rPr>
          <w:b w:val="0"/>
          <w:i w:val="0"/>
          <w:vertAlign w:val="subscript"/>
        </w:rPr>
        <w:t>0</w:t>
      </w:r>
      <w:r>
        <w:rPr>
          <w:b w:val="0"/>
          <w:i w:val="0"/>
        </w:rPr>
        <w:t xml:space="preserve"> + 2x + 2 ln(−expm1(−2x)), and T = exp(−logaddexp(0, that logarithm)). The exponential e</w:t>
      </w:r>
      <w:r>
        <w:rPr>
          <w:b w:val="0"/>
          <w:i w:val="0"/>
          <w:vertAlign w:val="superscript"/>
        </w:rPr>
        <w:t>2x</w:t>
      </w:r>
      <w:r>
        <w:rPr>
          <w:b w:val="0"/>
          <w:i w:val="0"/>
        </w:rPr>
        <w:t xml:space="preserve"> is never formed, and T underflows smoothly to 0 for very thick barriers.</w:t>
      </w:r>
    </w:p>
    <w:p>
      <w:pPr>
        <w:pStyle w:val="Heading2"/>
      </w:pPr>
      <w:r>
        <w:t>3.3  Independent numerical implementation</w:t>
      </w:r>
    </w:p>
    <w:p>
      <w:pPr>
        <w:jc w:val="both"/>
      </w:pPr>
      <w:r>
        <w:rPr>
          <w:b w:val="0"/>
          <w:i w:val="0"/>
        </w:rPr>
        <w:t>src/numeric.py does not import src/analytic.py. It builds the four equations (6)–(9) as a 4×4 complex matrix in the unknowns (r, A′, B, t) and solves it with numpy.linalg.solve. The function returns T = |t|</w:t>
      </w:r>
      <w:r>
        <w:rPr>
          <w:b w:val="0"/>
          <w:i w:val="0"/>
          <w:vertAlign w:val="superscript"/>
        </w:rPr>
        <w:t>2</w:t>
      </w:r>
      <w:r>
        <w:rPr>
          <w:b w:val="0"/>
          <w:i w:val="0"/>
        </w:rPr>
        <w:t xml:space="preserve"> and R = |r|</w:t>
      </w:r>
      <w:r>
        <w:rPr>
          <w:b w:val="0"/>
          <w:i w:val="0"/>
          <w:vertAlign w:val="superscript"/>
        </w:rPr>
        <w:t>2</w:t>
      </w:r>
      <w:r>
        <w:rPr>
          <w:b w:val="0"/>
          <w:i w:val="0"/>
        </w:rPr>
        <w:t>. To keep the matrix well conditioned for thick barriers, the unknown A is rescaled as A′ = A e</w:t>
      </w:r>
      <w:r>
        <w:rPr>
          <w:b w:val="0"/>
          <w:i w:val="0"/>
          <w:vertAlign w:val="superscript"/>
        </w:rPr>
        <w:t>κa</w:t>
      </w:r>
      <w:r>
        <w:rPr>
          <w:b w:val="0"/>
          <w:i w:val="0"/>
        </w:rPr>
        <w:t>, the amplitude of the growing exponential at x = a. Every matrix entry then contains only e</w:t>
      </w:r>
      <w:r>
        <w:rPr>
          <w:b w:val="0"/>
          <w:i w:val="0"/>
          <w:vertAlign w:val="superscript"/>
        </w:rPr>
        <w:t>−κa</w:t>
      </w:r>
      <w:r>
        <w:rPr>
          <w:b w:val="0"/>
          <w:i w:val="0"/>
        </w:rPr>
        <w:t xml:space="preserve"> ≤ 1, never e</w:t>
      </w:r>
      <w:r>
        <w:rPr>
          <w:b w:val="0"/>
          <w:i w:val="0"/>
          <w:vertAlign w:val="superscript"/>
        </w:rPr>
        <w:t>+κa</w:t>
      </w:r>
      <w:r>
        <w:rPr>
          <w:b w:val="0"/>
          <w:i w:val="0"/>
        </w:rPr>
        <w:t>. This is a change of variables, not an approximation.</w:t>
      </w:r>
    </w:p>
    <w:p>
      <w:pPr>
        <w:pStyle w:val="Heading2"/>
      </w:pPr>
      <w:r>
        <w:t>3.4  Parameter sweep</w:t>
      </w:r>
    </w:p>
    <w:p>
      <w:pPr>
        <w:jc w:val="both"/>
      </w:pPr>
      <w:r>
        <w:rPr>
          <w:b w:val="0"/>
          <w:i w:val="0"/>
        </w:rPr>
        <w:t>src/sweeps.py evaluates both methods on a grid fixed in advance and writes results/comparison.csv. The grid is 5 energies × 5 barrier heights × 5 widths = 125 combinations: E ∈ {0.1, 0.5, 1, 2, 4} eV, V</w:t>
      </w:r>
      <w:r>
        <w:rPr>
          <w:b w:val="0"/>
          <w:i w:val="0"/>
          <w:vertAlign w:val="subscript"/>
        </w:rPr>
        <w:t>0</w:t>
      </w:r>
      <w:r>
        <w:rPr>
          <w:b w:val="0"/>
          <w:i w:val="0"/>
        </w:rPr>
        <w:t xml:space="preserve"> ∈ {4.5, 5, 6, 8, 10} eV, and width ∈ {0.05, 0.2, 1, 3, 6} nm. Every combination satisfies 0 &lt; E &lt; V</w:t>
      </w:r>
      <w:r>
        <w:rPr>
          <w:b w:val="0"/>
          <w:i w:val="0"/>
          <w:vertAlign w:val="subscript"/>
        </w:rPr>
        <w:t>0</w:t>
      </w:r>
      <w:r>
        <w:rPr>
          <w:b w:val="0"/>
          <w:i w:val="0"/>
        </w:rPr>
        <w:t>. The electron mass is used throughout. The grid was not adjusted after seeing the results. The CSV columns are E_eV, V0_eV, width_nm, kappa_a, T_analytic, T_numeric, abs_error and rel_error, with rel_error = |T_numeric − T_analytic| / T_analytic.</w:t>
      </w:r>
    </w:p>
    <w:p>
      <w:pPr>
        <w:pStyle w:val="Heading2"/>
      </w:pPr>
      <w:r>
        <w:t>3.5  Automated tests</w:t>
      </w:r>
    </w:p>
    <w:p>
      <w:pPr>
        <w:jc w:val="both"/>
      </w:pPr>
      <w:r>
        <w:rPr>
          <w:b w:val="0"/>
          <w:i w:val="0"/>
        </w:rPr>
        <w:t>The repository contains 72 pytest tests (collected with pytest --collect-only). A full run at report-build time gave: 72 passed in 16.83s. Table 1 gives the count per file.</w:t>
      </w:r>
    </w:p>
    <w:p>
      <w:pPr>
        <w:keepNext/>
        <w:spacing w:after="40"/>
      </w:pPr>
      <w:r>
        <w:rPr>
          <w:b/>
          <w:i w:val="0"/>
          <w:sz w:val="20"/>
        </w:rPr>
        <w:t xml:space="preserve">Table 1. </w:t>
      </w:r>
      <w:r>
        <w:rPr>
          <w:b w:val="0"/>
          <w:i w:val="0"/>
          <w:sz w:val="20"/>
        </w:rPr>
        <w:t>Automated tests collected by pytest.</w:t>
      </w:r>
    </w:p>
    <w:tbl>
      <w:tblPr>
        <w:tblStyle w:val="TableGrid"/>
        <w:tblW w:type="auto" w:w="0"/>
        <w:jc w:val="center"/>
        <w:tblLook w:firstColumn="1" w:firstRow="1" w:lastColumn="0" w:lastRow="0" w:noHBand="0" w:noVBand="1" w:val="04A0"/>
      </w:tblPr>
      <w:tblGrid>
        <w:gridCol w:w="3120"/>
        <w:gridCol w:w="3120"/>
        <w:gridCol w:w="3120"/>
      </w:tblGrid>
      <w:tr>
        <w:tc>
          <w:tcPr>
            <w:tcW w:type="dxa" w:w="2592"/>
          </w:tcPr>
          <w:p>
            <w:pPr>
              <w:spacing w:after="0"/>
            </w:pPr>
            <w:r/>
            <w:r>
              <w:rPr>
                <w:b/>
                <w:i w:val="0"/>
                <w:sz w:val="20"/>
              </w:rPr>
              <w:t>File</w:t>
            </w:r>
          </w:p>
        </w:tc>
        <w:tc>
          <w:tcPr>
            <w:tcW w:type="dxa" w:w="864"/>
          </w:tcPr>
          <w:p>
            <w:pPr>
              <w:spacing w:after="0"/>
            </w:pPr>
            <w:r/>
            <w:r>
              <w:rPr>
                <w:b/>
                <w:i w:val="0"/>
                <w:sz w:val="20"/>
              </w:rPr>
              <w:t>Tests</w:t>
            </w:r>
          </w:p>
        </w:tc>
        <w:tc>
          <w:tcPr>
            <w:tcW w:type="dxa" w:w="5904"/>
          </w:tcPr>
          <w:p>
            <w:pPr>
              <w:spacing w:after="0"/>
            </w:pPr>
            <w:r/>
            <w:r>
              <w:rPr>
                <w:b/>
                <w:i w:val="0"/>
                <w:sz w:val="20"/>
              </w:rPr>
              <w:t>What is checked</w:t>
            </w:r>
          </w:p>
        </w:tc>
      </w:tr>
      <w:tr>
        <w:tc>
          <w:tcPr>
            <w:tcW w:type="dxa" w:w="2592"/>
          </w:tcPr>
          <w:p>
            <w:pPr>
              <w:spacing w:after="0"/>
            </w:pPr>
            <w:r/>
            <w:r>
              <w:rPr>
                <w:b w:val="0"/>
                <w:i w:val="0"/>
                <w:sz w:val="20"/>
              </w:rPr>
              <w:t>tests/test_analytic.py</w:t>
            </w:r>
          </w:p>
        </w:tc>
        <w:tc>
          <w:tcPr>
            <w:tcW w:type="dxa" w:w="864"/>
          </w:tcPr>
          <w:p>
            <w:pPr>
              <w:spacing w:after="0"/>
            </w:pPr>
            <w:r/>
            <w:r>
              <w:rPr>
                <w:b w:val="0"/>
                <w:i w:val="0"/>
                <w:sz w:val="20"/>
              </w:rPr>
              <w:t>18</w:t>
            </w:r>
          </w:p>
        </w:tc>
        <w:tc>
          <w:tcPr>
            <w:tcW w:type="dxa" w:w="5904"/>
          </w:tcPr>
          <w:p>
            <w:pPr>
              <w:spacing w:after="0"/>
            </w:pPr>
            <w:r/>
            <w:r>
              <w:rPr>
                <w:b w:val="0"/>
                <w:i w:val="0"/>
                <w:sz w:val="20"/>
              </w:rPr>
              <w:t>T→1 as a→0, monotonic in width, 0≤T≤1, thick-barrier limit, no overflow, ValueError cases</w:t>
            </w:r>
          </w:p>
        </w:tc>
      </w:tr>
      <w:tr>
        <w:tc>
          <w:tcPr>
            <w:tcW w:type="dxa" w:w="2592"/>
          </w:tcPr>
          <w:p>
            <w:pPr>
              <w:spacing w:after="0"/>
            </w:pPr>
            <w:r/>
            <w:r>
              <w:rPr>
                <w:b w:val="0"/>
                <w:i w:val="0"/>
                <w:sz w:val="20"/>
              </w:rPr>
              <w:t>tests/test_app.py</w:t>
            </w:r>
          </w:p>
        </w:tc>
        <w:tc>
          <w:tcPr>
            <w:tcW w:type="dxa" w:w="864"/>
          </w:tcPr>
          <w:p>
            <w:pPr>
              <w:spacing w:after="0"/>
            </w:pPr>
            <w:r/>
            <w:r>
              <w:rPr>
                <w:b w:val="0"/>
                <w:i w:val="0"/>
                <w:sz w:val="20"/>
              </w:rPr>
              <w:t>9</w:t>
            </w:r>
          </w:p>
        </w:tc>
        <w:tc>
          <w:tcPr>
            <w:tcW w:type="dxa" w:w="5904"/>
          </w:tcPr>
          <w:p>
            <w:pPr>
              <w:spacing w:after="0"/>
            </w:pPr>
            <w:r/>
            <w:r>
              <w:rPr>
                <w:b w:val="0"/>
                <w:i w:val="0"/>
                <w:sz w:val="20"/>
              </w:rPr>
              <w:t>app helper functions, E≥V0 warning path, multithreaded figure building</w:t>
            </w:r>
          </w:p>
        </w:tc>
      </w:tr>
      <w:tr>
        <w:tc>
          <w:tcPr>
            <w:tcW w:type="dxa" w:w="2592"/>
          </w:tcPr>
          <w:p>
            <w:pPr>
              <w:spacing w:after="0"/>
            </w:pPr>
            <w:r/>
            <w:r>
              <w:rPr>
                <w:b w:val="0"/>
                <w:i w:val="0"/>
                <w:sz w:val="20"/>
              </w:rPr>
              <w:t>tests/test_constants.py</w:t>
            </w:r>
          </w:p>
        </w:tc>
        <w:tc>
          <w:tcPr>
            <w:tcW w:type="dxa" w:w="864"/>
          </w:tcPr>
          <w:p>
            <w:pPr>
              <w:spacing w:after="0"/>
            </w:pPr>
            <w:r/>
            <w:r>
              <w:rPr>
                <w:b w:val="0"/>
                <w:i w:val="0"/>
                <w:sz w:val="20"/>
              </w:rPr>
              <w:t>9</w:t>
            </w:r>
          </w:p>
        </w:tc>
        <w:tc>
          <w:tcPr>
            <w:tcW w:type="dxa" w:w="5904"/>
          </w:tcPr>
          <w:p>
            <w:pPr>
              <w:spacing w:after="0"/>
            </w:pPr>
            <w:r/>
            <w:r>
              <w:rPr>
                <w:b w:val="0"/>
                <w:i w:val="0"/>
                <w:sz w:val="20"/>
              </w:rPr>
              <w:t>constants and unit conversions, round trips</w:t>
            </w:r>
          </w:p>
        </w:tc>
      </w:tr>
      <w:tr>
        <w:tc>
          <w:tcPr>
            <w:tcW w:type="dxa" w:w="2592"/>
          </w:tcPr>
          <w:p>
            <w:pPr>
              <w:spacing w:after="0"/>
            </w:pPr>
            <w:r/>
            <w:r>
              <w:rPr>
                <w:b w:val="0"/>
                <w:i w:val="0"/>
                <w:sz w:val="20"/>
              </w:rPr>
              <w:t>tests/test_numeric.py</w:t>
            </w:r>
          </w:p>
        </w:tc>
        <w:tc>
          <w:tcPr>
            <w:tcW w:type="dxa" w:w="864"/>
          </w:tcPr>
          <w:p>
            <w:pPr>
              <w:spacing w:after="0"/>
            </w:pPr>
            <w:r/>
            <w:r>
              <w:rPr>
                <w:b w:val="0"/>
                <w:i w:val="0"/>
                <w:sz w:val="20"/>
              </w:rPr>
              <w:t>33</w:t>
            </w:r>
          </w:p>
        </w:tc>
        <w:tc>
          <w:tcPr>
            <w:tcW w:type="dxa" w:w="5904"/>
          </w:tcPr>
          <w:p>
            <w:pPr>
              <w:spacing w:after="0"/>
            </w:pPr>
            <w:r/>
            <w:r>
              <w:rPr>
                <w:b w:val="0"/>
                <w:i w:val="0"/>
                <w:sz w:val="20"/>
              </w:rPr>
              <w:t>R+T=1 within 1e-10, bounds, monotonicity, agreement with analytic on 12 sets</w:t>
            </w:r>
          </w:p>
        </w:tc>
      </w:tr>
      <w:tr>
        <w:tc>
          <w:tcPr>
            <w:tcW w:type="dxa" w:w="2592"/>
          </w:tcPr>
          <w:p>
            <w:pPr>
              <w:spacing w:after="0"/>
            </w:pPr>
            <w:r/>
            <w:r>
              <w:rPr>
                <w:b w:val="0"/>
                <w:i w:val="0"/>
                <w:sz w:val="20"/>
              </w:rPr>
              <w:t>tests/test_plots.py</w:t>
            </w:r>
          </w:p>
        </w:tc>
        <w:tc>
          <w:tcPr>
            <w:tcW w:type="dxa" w:w="864"/>
          </w:tcPr>
          <w:p>
            <w:pPr>
              <w:spacing w:after="0"/>
            </w:pPr>
            <w:r/>
            <w:r>
              <w:rPr>
                <w:b w:val="0"/>
                <w:i w:val="0"/>
                <w:sz w:val="20"/>
              </w:rPr>
              <w:t>1</w:t>
            </w:r>
          </w:p>
        </w:tc>
        <w:tc>
          <w:tcPr>
            <w:tcW w:type="dxa" w:w="5904"/>
          </w:tcPr>
          <w:p>
            <w:pPr>
              <w:spacing w:after="0"/>
            </w:pPr>
            <w:r/>
            <w:r>
              <w:rPr>
                <w:b w:val="0"/>
                <w:i w:val="0"/>
                <w:sz w:val="20"/>
              </w:rPr>
              <w:t>all six figure files are created and non-empty</w:t>
            </w:r>
          </w:p>
        </w:tc>
      </w:tr>
      <w:tr>
        <w:tc>
          <w:tcPr>
            <w:tcW w:type="dxa" w:w="2592"/>
          </w:tcPr>
          <w:p>
            <w:pPr>
              <w:spacing w:after="0"/>
            </w:pPr>
            <w:r/>
            <w:r>
              <w:rPr>
                <w:b w:val="0"/>
                <w:i w:val="0"/>
                <w:sz w:val="20"/>
              </w:rPr>
              <w:t>tests/test_sweeps.py</w:t>
            </w:r>
          </w:p>
        </w:tc>
        <w:tc>
          <w:tcPr>
            <w:tcW w:type="dxa" w:w="864"/>
          </w:tcPr>
          <w:p>
            <w:pPr>
              <w:spacing w:after="0"/>
            </w:pPr>
            <w:r/>
            <w:r>
              <w:rPr>
                <w:b w:val="0"/>
                <w:i w:val="0"/>
                <w:sz w:val="20"/>
              </w:rPr>
              <w:t>2</w:t>
            </w:r>
          </w:p>
        </w:tc>
        <w:tc>
          <w:tcPr>
            <w:tcW w:type="dxa" w:w="5904"/>
          </w:tcPr>
          <w:p>
            <w:pPr>
              <w:spacing w:after="0"/>
            </w:pPr>
            <w:r/>
            <w:r>
              <w:rPr>
                <w:b w:val="0"/>
                <w:i w:val="0"/>
                <w:sz w:val="20"/>
              </w:rPr>
              <w:t>CSV has ≥100 rows, expected columns, no NaN</w:t>
            </w:r>
          </w:p>
        </w:tc>
      </w:tr>
      <w:tr>
        <w:tc>
          <w:tcPr>
            <w:tcW w:type="dxa" w:w="2592"/>
          </w:tcPr>
          <w:p>
            <w:pPr>
              <w:spacing w:after="0"/>
            </w:pPr>
            <w:r/>
            <w:r>
              <w:rPr>
                <w:b w:val="0"/>
                <w:i w:val="0"/>
                <w:sz w:val="20"/>
              </w:rPr>
              <w:t>Total</w:t>
            </w:r>
          </w:p>
        </w:tc>
        <w:tc>
          <w:tcPr>
            <w:tcW w:type="dxa" w:w="864"/>
          </w:tcPr>
          <w:p>
            <w:pPr>
              <w:spacing w:after="0"/>
            </w:pPr>
            <w:r/>
            <w:r>
              <w:rPr>
                <w:b w:val="0"/>
                <w:i w:val="0"/>
                <w:sz w:val="20"/>
              </w:rPr>
              <w:t>72</w:t>
            </w:r>
          </w:p>
        </w:tc>
        <w:tc>
          <w:tcPr>
            <w:tcW w:type="dxa" w:w="5904"/>
          </w:tcPr>
          <w:p>
            <w:pPr>
              <w:spacing w:after="0"/>
            </w:pPr>
            <w:r/>
          </w:p>
        </w:tc>
      </w:tr>
    </w:tbl>
    <w:p>
      <w:pPr>
        <w:spacing w:after="40"/>
      </w:pPr>
    </w:p>
    <w:p>
      <w:pPr>
        <w:pStyle w:val="Heading1"/>
      </w:pPr>
      <w:r>
        <w:t>4  Results</w:t>
      </w:r>
    </w:p>
    <w:p>
      <w:pPr>
        <w:pStyle w:val="Heading2"/>
      </w:pPr>
      <w:r>
        <w:t>4.1  Dependence on barrier width</w:t>
      </w:r>
    </w:p>
    <w:p>
      <w:pPr>
        <w:jc w:val="both"/>
      </w:pPr>
      <w:r>
        <w:rPr>
          <w:b w:val="0"/>
          <w:i w:val="0"/>
        </w:rPr>
        <w:t>Figure 1 shows T against width for E = 0.5, 1 and 2 eV with V</w:t>
      </w:r>
      <w:r>
        <w:rPr>
          <w:b w:val="0"/>
          <w:i w:val="0"/>
          <w:vertAlign w:val="subscript"/>
        </w:rPr>
        <w:t>0</w:t>
      </w:r>
      <w:r>
        <w:rPr>
          <w:b w:val="0"/>
          <w:i w:val="0"/>
        </w:rPr>
        <w:t xml:space="preserve"> = 5 eV on a logarithmic axis. All three curves start at T = 1 at zero width and, beyond about 0.5 nm, appear as nearly straight lines on the log axis, i.e. T falls roughly exponentially with width. The lower the energy, the lower the curve at a given width. For E = 1 eV, the analytic function gives T = 9.08×10</w:t>
      </w:r>
      <w:r>
        <w:rPr>
          <w:b w:val="0"/>
          <w:i w:val="0"/>
          <w:vertAlign w:val="superscript"/>
        </w:rPr>
        <w:t>−5</w:t>
      </w:r>
      <w:r>
        <w:rPr>
          <w:b w:val="0"/>
          <w:i w:val="0"/>
        </w:rPr>
        <w:t xml:space="preserve"> at 0.5 nm, 3.22×10</w:t>
      </w:r>
      <w:r>
        <w:rPr>
          <w:b w:val="0"/>
          <w:i w:val="0"/>
          <w:vertAlign w:val="superscript"/>
        </w:rPr>
        <w:t>−9</w:t>
      </w:r>
      <w:r>
        <w:rPr>
          <w:b w:val="0"/>
          <w:i w:val="0"/>
        </w:rPr>
        <w:t xml:space="preserve"> at 1 nm, 4.06×10</w:t>
      </w:r>
      <w:r>
        <w:rPr>
          <w:b w:val="0"/>
          <w:i w:val="0"/>
          <w:vertAlign w:val="superscript"/>
        </w:rPr>
        <w:t>−18</w:t>
      </w:r>
      <w:r>
        <w:rPr>
          <w:b w:val="0"/>
          <w:i w:val="0"/>
        </w:rPr>
        <w:t xml:space="preserve"> at 2 nm and 5.11×10</w:t>
      </w:r>
      <w:r>
        <w:rPr>
          <w:b w:val="0"/>
          <w:i w:val="0"/>
          <w:vertAlign w:val="superscript"/>
        </w:rPr>
        <w:t>−27</w:t>
      </w:r>
      <w:r>
        <w:rPr>
          <w:b w:val="0"/>
          <w:i w:val="0"/>
        </w:rPr>
        <w:t xml:space="preserve"> at 3 nm. Between 1 and 2 nm the log-slope of T for E = 1 eV is d ln T/da = −20.49 nm</w:t>
      </w:r>
      <w:r>
        <w:rPr>
          <w:b w:val="0"/>
          <w:i w:val="0"/>
          <w:vertAlign w:val="superscript"/>
        </w:rPr>
        <w:t>−1</w:t>
      </w:r>
      <w:r>
        <w:rPr>
          <w:b w:val="0"/>
          <w:i w:val="0"/>
        </w:rPr>
        <w:t xml:space="preserve"> (about 8.90 decades per nm), compared with −2κ = −20.49 nm</w:t>
      </w:r>
      <w:r>
        <w:rPr>
          <w:b w:val="0"/>
          <w:i w:val="0"/>
          <w:vertAlign w:val="superscript"/>
        </w:rPr>
        <w:t>−1</w:t>
      </w:r>
      <w:r>
        <w:rPr>
          <w:b w:val="0"/>
          <w:i w:val="0"/>
        </w:rPr>
        <w:t xml:space="preserve"> from the thick-barrier form, where κ = 10.246 nm</w:t>
      </w:r>
      <w:r>
        <w:rPr>
          <w:b w:val="0"/>
          <w:i w:val="0"/>
          <w:vertAlign w:val="superscript"/>
        </w:rPr>
        <w:t>−1</w:t>
      </w:r>
      <w:r>
        <w:rPr>
          <w:b w:val="0"/>
          <w:i w:val="0"/>
        </w:rPr>
        <w:t>. For E = 0.5 eV the corresponding slope is −21.74 nm</w:t>
      </w:r>
      <w:r>
        <w:rPr>
          <w:b w:val="0"/>
          <w:i w:val="0"/>
          <w:vertAlign w:val="superscript"/>
        </w:rPr>
        <w:t>−1</w:t>
      </w:r>
      <w:r>
        <w:rPr>
          <w:b w:val="0"/>
          <w:i w:val="0"/>
        </w:rPr>
        <w:t xml:space="preserve"> (−2κ = −21.74 nm</w:t>
      </w:r>
      <w:r>
        <w:rPr>
          <w:b w:val="0"/>
          <w:i w:val="0"/>
          <w:vertAlign w:val="superscript"/>
        </w:rPr>
        <w:t>−1</w:t>
      </w:r>
      <w:r>
        <w:rPr>
          <w:b w:val="0"/>
          <w:i w:val="0"/>
        </w:rPr>
        <w:t>), and for E = 2 eV it is −17.75 nm</w:t>
      </w:r>
      <w:r>
        <w:rPr>
          <w:b w:val="0"/>
          <w:i w:val="0"/>
          <w:vertAlign w:val="superscript"/>
        </w:rPr>
        <w:t>−1</w:t>
      </w:r>
      <w:r>
        <w:rPr>
          <w:b w:val="0"/>
          <w:i w:val="0"/>
        </w:rPr>
        <w:t xml:space="preserve"> (−2κ = −17.75 nm</w:t>
      </w:r>
      <w:r>
        <w:rPr>
          <w:b w:val="0"/>
          <w:i w:val="0"/>
          <w:vertAlign w:val="superscript"/>
        </w:rPr>
        <w:t>−1</w:t>
      </w:r>
      <w:r>
        <w:rPr>
          <w:b w:val="0"/>
          <w:i w:val="0"/>
        </w:rPr>
        <w:t>). On the 301-point width grid used in the check, T is strictly decreasing for all three energies.</w:t>
      </w:r>
    </w:p>
    <w:p>
      <w:pPr>
        <w:pStyle w:val="Heading2"/>
      </w:pPr>
      <w:r>
        <w:t>4.2  Dependence on barrier height</w:t>
      </w:r>
    </w:p>
    <w:p>
      <w:pPr>
        <w:jc w:val="both"/>
      </w:pPr>
      <w:r>
        <w:rPr>
          <w:b w:val="0"/>
          <w:i w:val="0"/>
        </w:rPr>
        <w:t>Figure 2 shows T against V</w:t>
      </w:r>
      <w:r>
        <w:rPr>
          <w:b w:val="0"/>
          <w:i w:val="0"/>
          <w:vertAlign w:val="subscript"/>
        </w:rPr>
        <w:t>0</w:t>
      </w:r>
      <w:r>
        <w:rPr>
          <w:b w:val="0"/>
          <w:i w:val="0"/>
        </w:rPr>
        <w:t xml:space="preserve"> for E = 1 eV and a = 1 nm. T decreases monotonically as the barrier gets taller (the check on a 400-point grid found T strictly decreasing): T = 5.31×10</w:t>
      </w:r>
      <w:r>
        <w:rPr>
          <w:b w:val="0"/>
          <w:i w:val="0"/>
          <w:vertAlign w:val="superscript"/>
        </w:rPr>
        <w:t>−2</w:t>
      </w:r>
      <w:r>
        <w:rPr>
          <w:b w:val="0"/>
          <w:i w:val="0"/>
        </w:rPr>
        <w:t xml:space="preserve"> at V</w:t>
      </w:r>
      <w:r>
        <w:rPr>
          <w:b w:val="0"/>
          <w:i w:val="0"/>
          <w:vertAlign w:val="subscript"/>
        </w:rPr>
        <w:t>0</w:t>
      </w:r>
      <w:r>
        <w:rPr>
          <w:b w:val="0"/>
          <w:i w:val="0"/>
        </w:rPr>
        <w:t xml:space="preserve"> = 1.1 eV, 1.42×10</w:t>
      </w:r>
      <w:r>
        <w:rPr>
          <w:b w:val="0"/>
          <w:i w:val="0"/>
          <w:vertAlign w:val="superscript"/>
        </w:rPr>
        <w:t>−4</w:t>
      </w:r>
      <w:r>
        <w:rPr>
          <w:b w:val="0"/>
          <w:i w:val="0"/>
        </w:rPr>
        <w:t xml:space="preserve"> at 2 eV, 3.22×10</w:t>
      </w:r>
      <w:r>
        <w:rPr>
          <w:b w:val="0"/>
          <w:i w:val="0"/>
          <w:vertAlign w:val="superscript"/>
        </w:rPr>
        <w:t>−9</w:t>
      </w:r>
      <w:r>
        <w:rPr>
          <w:b w:val="0"/>
          <w:i w:val="0"/>
        </w:rPr>
        <w:t xml:space="preserve"> at 5 eV and 6.44×10</w:t>
      </w:r>
      <w:r>
        <w:rPr>
          <w:b w:val="0"/>
          <w:i w:val="0"/>
          <w:vertAlign w:val="superscript"/>
        </w:rPr>
        <w:t>−14</w:t>
      </w:r>
      <w:r>
        <w:rPr>
          <w:b w:val="0"/>
          <w:i w:val="0"/>
        </w:rPr>
        <w:t xml:space="preserve"> at 10 eV, a drop of 11.9 decades over this range. The curve is steeper at small V</w:t>
      </w:r>
      <w:r>
        <w:rPr>
          <w:b w:val="0"/>
          <w:i w:val="0"/>
          <w:vertAlign w:val="subscript"/>
        </w:rPr>
        <w:t>0</w:t>
      </w:r>
      <w:r>
        <w:rPr>
          <w:b w:val="0"/>
          <w:i w:val="0"/>
        </w:rPr>
        <w:t xml:space="preserve"> and flatter at large V</w:t>
      </w:r>
      <w:r>
        <w:rPr>
          <w:b w:val="0"/>
          <w:i w:val="0"/>
          <w:vertAlign w:val="subscript"/>
        </w:rPr>
        <w:t>0</w:t>
      </w:r>
      <w:r>
        <w:rPr>
          <w:b w:val="0"/>
          <w:i w:val="0"/>
        </w:rPr>
        <w:t>: d log</w:t>
      </w:r>
      <w:r>
        <w:rPr>
          <w:b w:val="0"/>
          <w:i w:val="0"/>
          <w:vertAlign w:val="subscript"/>
        </w:rPr>
        <w:t>10</w:t>
      </w:r>
      <w:r>
        <w:rPr>
          <w:b w:val="0"/>
          <w:i w:val="0"/>
        </w:rPr>
        <w:t>T/dV</w:t>
      </w:r>
      <w:r>
        <w:rPr>
          <w:b w:val="0"/>
          <w:i w:val="0"/>
          <w:vertAlign w:val="subscript"/>
        </w:rPr>
        <w:t>0</w:t>
      </w:r>
      <w:r>
        <w:rPr>
          <w:b w:val="0"/>
          <w:i w:val="0"/>
        </w:rPr>
        <w:t xml:space="preserve"> is −2.86 eV</w:t>
      </w:r>
      <w:r>
        <w:rPr>
          <w:b w:val="0"/>
          <w:i w:val="0"/>
          <w:vertAlign w:val="superscript"/>
        </w:rPr>
        <w:t>−1</w:t>
      </w:r>
      <w:r>
        <w:rPr>
          <w:b w:val="0"/>
          <w:i w:val="0"/>
        </w:rPr>
        <w:t xml:space="preserve"> at V</w:t>
      </w:r>
      <w:r>
        <w:rPr>
          <w:b w:val="0"/>
          <w:i w:val="0"/>
          <w:vertAlign w:val="subscript"/>
        </w:rPr>
        <w:t>0</w:t>
      </w:r>
      <w:r>
        <w:rPr>
          <w:b w:val="0"/>
          <w:i w:val="0"/>
        </w:rPr>
        <w:t xml:space="preserve"> = 1.5 eV but −0.89 eV</w:t>
      </w:r>
      <w:r>
        <w:rPr>
          <w:b w:val="0"/>
          <w:i w:val="0"/>
          <w:vertAlign w:val="superscript"/>
        </w:rPr>
        <w:t>−1</w:t>
      </w:r>
      <w:r>
        <w:rPr>
          <w:b w:val="0"/>
          <w:i w:val="0"/>
        </w:rPr>
        <w:t xml:space="preserve"> at 8 eV. This is consistent with κ ∝ √(V</w:t>
      </w:r>
      <w:r>
        <w:rPr>
          <w:b w:val="0"/>
          <w:i w:val="0"/>
          <w:vertAlign w:val="subscript"/>
        </w:rPr>
        <w:t>0</w:t>
      </w:r>
      <w:r>
        <w:rPr>
          <w:b w:val="0"/>
          <w:i w:val="0"/>
        </w:rPr>
        <w:t xml:space="preserve"> − E), which grows fastest when V</w:t>
      </w:r>
      <w:r>
        <w:rPr>
          <w:b w:val="0"/>
          <w:i w:val="0"/>
          <w:vertAlign w:val="subscript"/>
        </w:rPr>
        <w:t>0</w:t>
      </w:r>
      <w:r>
        <w:rPr>
          <w:b w:val="0"/>
          <w:i w:val="0"/>
        </w:rPr>
        <w:t xml:space="preserve"> − E is small.</w:t>
      </w:r>
    </w:p>
    <w:tbl>
      <w:tblPr>
        <w:tblW w:type="auto" w:w="0"/>
        <w:jc w:val="center"/>
        <w:tblLook w:firstColumn="1" w:firstRow="1" w:lastColumn="0" w:lastRow="0" w:noHBand="0" w:noVBand="1" w:val="04A0"/>
      </w:tblPr>
      <w:tblGrid>
        <w:gridCol w:w="4680"/>
        <w:gridCol w:w="4680"/>
      </w:tblGrid>
      <w:tr>
        <w:tc>
          <w:tcPr>
            <w:tcW w:type="dxa" w:w="4680"/>
          </w:tcPr>
          <w:p>
            <w:pPr>
              <w:spacing w:after="40"/>
              <w:jc w:val="center"/>
            </w:pPr>
            <w:r>
              <w:drawing>
                <wp:inline xmlns:a="http://schemas.openxmlformats.org/drawingml/2006/main" xmlns:pic="http://schemas.openxmlformats.org/drawingml/2006/picture">
                  <wp:extent cx="2834640" cy="1962443"/>
                  <wp:docPr id="1" name="Picture 1"/>
                  <wp:cNvGraphicFramePr>
                    <a:graphicFrameLocks noChangeAspect="1"/>
                  </wp:cNvGraphicFramePr>
                  <a:graphic>
                    <a:graphicData uri="http://schemas.openxmlformats.org/drawingml/2006/picture">
                      <pic:pic>
                        <pic:nvPicPr>
                          <pic:cNvPr id="0" name="fig1_T_vs_width.png"/>
                          <pic:cNvPicPr/>
                        </pic:nvPicPr>
                        <pic:blipFill>
                          <a:blip r:embed="rId9"/>
                          <a:stretch>
                            <a:fillRect/>
                          </a:stretch>
                        </pic:blipFill>
                        <pic:spPr>
                          <a:xfrm>
                            <a:off x="0" y="0"/>
                            <a:ext cx="2834640" cy="1962443"/>
                          </a:xfrm>
                          <a:prstGeom prst="rect"/>
                        </pic:spPr>
                      </pic:pic>
                    </a:graphicData>
                  </a:graphic>
                </wp:inline>
              </w:drawing>
            </w:r>
          </w:p>
          <w:p>
            <w:pPr>
              <w:spacing w:after="0"/>
            </w:pPr>
            <w:r>
              <w:rPr>
                <w:b/>
                <w:i w:val="0"/>
                <w:sz w:val="18"/>
              </w:rPr>
              <w:t xml:space="preserve">Figure 1. </w:t>
            </w:r>
            <w:r>
              <w:rPr>
                <w:b w:val="0"/>
                <w:i w:val="0"/>
                <w:sz w:val="18"/>
              </w:rPr>
              <w:t>T versus barrier width for E = 0.5, 1 and 2 eV with V</w:t>
            </w:r>
            <w:r>
              <w:rPr>
                <w:b w:val="0"/>
                <w:i w:val="0"/>
                <w:sz w:val="18"/>
                <w:vertAlign w:val="subscript"/>
              </w:rPr>
              <w:t>0</w:t>
            </w:r>
            <w:r>
              <w:rPr>
                <w:b w:val="0"/>
                <w:i w:val="0"/>
                <w:sz w:val="18"/>
              </w:rPr>
              <w:t xml:space="preserve"> = 5 eV (log y-axis). Lines: src/analytic.py. Hollow markers: src/numeric.py at selected widths.</w:t>
            </w:r>
          </w:p>
        </w:tc>
        <w:tc>
          <w:tcPr>
            <w:tcW w:type="dxa" w:w="4680"/>
          </w:tcPr>
          <w:p>
            <w:pPr>
              <w:spacing w:after="40"/>
              <w:jc w:val="center"/>
            </w:pPr>
            <w:r>
              <w:drawing>
                <wp:inline xmlns:a="http://schemas.openxmlformats.org/drawingml/2006/main" xmlns:pic="http://schemas.openxmlformats.org/drawingml/2006/picture">
                  <wp:extent cx="2834640" cy="1962443"/>
                  <wp:docPr id="2" name="Picture 2"/>
                  <wp:cNvGraphicFramePr>
                    <a:graphicFrameLocks noChangeAspect="1"/>
                  </wp:cNvGraphicFramePr>
                  <a:graphic>
                    <a:graphicData uri="http://schemas.openxmlformats.org/drawingml/2006/picture">
                      <pic:pic>
                        <pic:nvPicPr>
                          <pic:cNvPr id="0" name="fig2_T_vs_barrier_height.png"/>
                          <pic:cNvPicPr/>
                        </pic:nvPicPr>
                        <pic:blipFill>
                          <a:blip r:embed="rId10"/>
                          <a:stretch>
                            <a:fillRect/>
                          </a:stretch>
                        </pic:blipFill>
                        <pic:spPr>
                          <a:xfrm>
                            <a:off x="0" y="0"/>
                            <a:ext cx="2834640" cy="1962443"/>
                          </a:xfrm>
                          <a:prstGeom prst="rect"/>
                        </pic:spPr>
                      </pic:pic>
                    </a:graphicData>
                  </a:graphic>
                </wp:inline>
              </w:drawing>
            </w:r>
          </w:p>
          <w:p>
            <w:pPr>
              <w:spacing w:after="0"/>
            </w:pPr>
            <w:r>
              <w:rPr>
                <w:b/>
                <w:i w:val="0"/>
                <w:sz w:val="18"/>
              </w:rPr>
              <w:t xml:space="preserve">Figure 2. </w:t>
            </w:r>
            <w:r>
              <w:rPr>
                <w:b w:val="0"/>
                <w:i w:val="0"/>
                <w:sz w:val="18"/>
              </w:rPr>
              <w:t>T versus barrier height V</w:t>
            </w:r>
            <w:r>
              <w:rPr>
                <w:b w:val="0"/>
                <w:i w:val="0"/>
                <w:sz w:val="18"/>
                <w:vertAlign w:val="subscript"/>
              </w:rPr>
              <w:t>0</w:t>
            </w:r>
            <w:r>
              <w:rPr>
                <w:b w:val="0"/>
                <w:i w:val="0"/>
                <w:sz w:val="18"/>
              </w:rPr>
              <w:t xml:space="preserve"> for E = 1 eV and a = 1 nm (log y-axis). Line: analytic. Markers: numeric.</w:t>
            </w:r>
          </w:p>
        </w:tc>
      </w:tr>
    </w:tbl>
    <w:p>
      <w:pPr>
        <w:spacing w:after="0"/>
      </w:pPr>
    </w:p>
    <w:p>
      <w:pPr>
        <w:pStyle w:val="Heading2"/>
      </w:pPr>
      <w:r>
        <w:t>4.3  Dependence on particle energy</w:t>
      </w:r>
    </w:p>
    <w:p>
      <w:pPr>
        <w:jc w:val="both"/>
      </w:pPr>
      <w:r>
        <w:rPr>
          <w:b w:val="0"/>
          <w:i w:val="0"/>
        </w:rPr>
        <w:t>Figure 3 shows T against E for V</w:t>
      </w:r>
      <w:r>
        <w:rPr>
          <w:b w:val="0"/>
          <w:i w:val="0"/>
          <w:vertAlign w:val="subscript"/>
        </w:rPr>
        <w:t>0</w:t>
      </w:r>
      <w:r>
        <w:rPr>
          <w:b w:val="0"/>
          <w:i w:val="0"/>
        </w:rPr>
        <w:t xml:space="preserve"> = 5 eV and a = 1 nm. T increases monotonically with E (on a 400-point grid, T is strictly increasing): T = 1.99×10</w:t>
      </w:r>
      <w:r>
        <w:rPr>
          <w:b w:val="0"/>
          <w:i w:val="0"/>
          <w:vertAlign w:val="superscript"/>
        </w:rPr>
        <w:t>−11</w:t>
      </w:r>
      <w:r>
        <w:rPr>
          <w:b w:val="0"/>
          <w:i w:val="0"/>
        </w:rPr>
        <w:t xml:space="preserve"> at E = 0.05 eV, 3.22×10</w:t>
      </w:r>
      <w:r>
        <w:rPr>
          <w:b w:val="0"/>
          <w:i w:val="0"/>
          <w:vertAlign w:val="superscript"/>
        </w:rPr>
        <w:t>−9</w:t>
      </w:r>
      <w:r>
        <w:rPr>
          <w:b w:val="0"/>
          <w:i w:val="0"/>
        </w:rPr>
        <w:t xml:space="preserve"> at 1 eV, 3.68×10</w:t>
      </w:r>
      <w:r>
        <w:rPr>
          <w:b w:val="0"/>
          <w:i w:val="0"/>
          <w:vertAlign w:val="superscript"/>
        </w:rPr>
        <w:t>−7</w:t>
      </w:r>
      <w:r>
        <w:rPr>
          <w:b w:val="0"/>
          <w:i w:val="0"/>
        </w:rPr>
        <w:t xml:space="preserve"> at 2.5 eV and 1.94×10</w:t>
      </w:r>
      <w:r>
        <w:rPr>
          <w:b w:val="0"/>
          <w:i w:val="0"/>
          <w:vertAlign w:val="superscript"/>
        </w:rPr>
        <w:t>−2</w:t>
      </w:r>
      <w:r>
        <w:rPr>
          <w:b w:val="0"/>
          <w:i w:val="0"/>
        </w:rPr>
        <w:t xml:space="preserve"> at 4.95 eV, a gain of 9.0 decades. The curve is steep at both ends and gentler in the middle: d log</w:t>
      </w:r>
      <w:r>
        <w:rPr>
          <w:b w:val="0"/>
          <w:i w:val="0"/>
          <w:vertAlign w:val="subscript"/>
        </w:rPr>
        <w:t>10</w:t>
      </w:r>
      <w:r>
        <w:rPr>
          <w:b w:val="0"/>
          <w:i w:val="0"/>
        </w:rPr>
        <w:t>T/dE is 5.27 eV</w:t>
      </w:r>
      <w:r>
        <w:rPr>
          <w:b w:val="0"/>
          <w:i w:val="0"/>
          <w:vertAlign w:val="superscript"/>
        </w:rPr>
        <w:t>−1</w:t>
      </w:r>
      <w:r>
        <w:rPr>
          <w:b w:val="0"/>
          <w:i w:val="0"/>
        </w:rPr>
        <w:t xml:space="preserve"> at E = 0.1 eV, 1.41 eV</w:t>
      </w:r>
      <w:r>
        <w:rPr>
          <w:b w:val="0"/>
          <w:i w:val="0"/>
          <w:vertAlign w:val="superscript"/>
        </w:rPr>
        <w:t>−1</w:t>
      </w:r>
      <w:r>
        <w:rPr>
          <w:b w:val="0"/>
          <w:i w:val="0"/>
        </w:rPr>
        <w:t xml:space="preserve"> at 2.5 eV and 3.31 eV</w:t>
      </w:r>
      <w:r>
        <w:rPr>
          <w:b w:val="0"/>
          <w:i w:val="0"/>
          <w:vertAlign w:val="superscript"/>
        </w:rPr>
        <w:t>−1</w:t>
      </w:r>
      <w:r>
        <w:rPr>
          <w:b w:val="0"/>
          <w:i w:val="0"/>
        </w:rPr>
        <w:t xml:space="preserve"> at 4.9 eV. Only energies below the barrier top are computed; the curve is not extended to E ≥ V</w:t>
      </w:r>
      <w:r>
        <w:rPr>
          <w:b w:val="0"/>
          <w:i w:val="0"/>
          <w:vertAlign w:val="subscript"/>
        </w:rPr>
        <w:t>0</w:t>
      </w:r>
      <w:r>
        <w:rPr>
          <w:b w:val="0"/>
          <w:i w:val="0"/>
        </w:rPr>
        <w:t>.</w:t>
      </w:r>
    </w:p>
    <w:p>
      <w:pPr>
        <w:jc w:val="both"/>
      </w:pPr>
      <w:r>
        <w:rPr>
          <w:b w:val="0"/>
          <w:i w:val="0"/>
        </w:rPr>
        <w:t>Figure 4 combines the width and energy dependence for V</w:t>
      </w:r>
      <w:r>
        <w:rPr>
          <w:b w:val="0"/>
          <w:i w:val="0"/>
          <w:vertAlign w:val="subscript"/>
        </w:rPr>
        <w:t>0</w:t>
      </w:r>
      <w:r>
        <w:rPr>
          <w:b w:val="0"/>
          <w:i w:val="0"/>
        </w:rPr>
        <w:t xml:space="preserve"> = 5 eV. On the plotted grid (E from 0.05 to 4.95 eV, width from 0 to 3 nm) log</w:t>
      </w:r>
      <w:r>
        <w:rPr>
          <w:b w:val="0"/>
          <w:i w:val="0"/>
          <w:vertAlign w:val="subscript"/>
        </w:rPr>
        <w:t>10</w:t>
      </w:r>
      <w:r>
        <w:rPr>
          <w:b w:val="0"/>
          <w:i w:val="0"/>
        </w:rPr>
        <w:t>T ranges from 0.0 to −30.5. The smallest value is at E = 0.05 eV and a = 3.00 nm. At a = 3 nm, log</w:t>
      </w:r>
      <w:r>
        <w:rPr>
          <w:b w:val="0"/>
          <w:i w:val="0"/>
          <w:vertAlign w:val="subscript"/>
        </w:rPr>
        <w:t>10</w:t>
      </w:r>
      <w:r>
        <w:rPr>
          <w:b w:val="0"/>
          <w:i w:val="0"/>
        </w:rPr>
        <w:t>T is −3.8 at E = 4.95 eV and −30.5 at E = 0.05 eV. The bands of constant colour rise toward the upper-right of the plot: at higher energy, a wider barrier is needed to reach the same T.</w:t>
      </w:r>
    </w:p>
    <w:tbl>
      <w:tblPr>
        <w:tblW w:type="auto" w:w="0"/>
        <w:jc w:val="center"/>
        <w:tblLook w:firstColumn="1" w:firstRow="1" w:lastColumn="0" w:lastRow="0" w:noHBand="0" w:noVBand="1" w:val="04A0"/>
      </w:tblPr>
      <w:tblGrid>
        <w:gridCol w:w="4680"/>
        <w:gridCol w:w="4680"/>
      </w:tblGrid>
      <w:tr>
        <w:tc>
          <w:tcPr>
            <w:tcW w:type="dxa" w:w="4680"/>
          </w:tcPr>
          <w:p>
            <w:pPr>
              <w:spacing w:after="40"/>
              <w:jc w:val="center"/>
            </w:pPr>
            <w:r>
              <w:drawing>
                <wp:inline xmlns:a="http://schemas.openxmlformats.org/drawingml/2006/main" xmlns:pic="http://schemas.openxmlformats.org/drawingml/2006/picture">
                  <wp:extent cx="2834640" cy="1962443"/>
                  <wp:docPr id="3" name="Picture 3"/>
                  <wp:cNvGraphicFramePr>
                    <a:graphicFrameLocks noChangeAspect="1"/>
                  </wp:cNvGraphicFramePr>
                  <a:graphic>
                    <a:graphicData uri="http://schemas.openxmlformats.org/drawingml/2006/picture">
                      <pic:pic>
                        <pic:nvPicPr>
                          <pic:cNvPr id="0" name="fig3_T_vs_energy.png"/>
                          <pic:cNvPicPr/>
                        </pic:nvPicPr>
                        <pic:blipFill>
                          <a:blip r:embed="rId11"/>
                          <a:stretch>
                            <a:fillRect/>
                          </a:stretch>
                        </pic:blipFill>
                        <pic:spPr>
                          <a:xfrm>
                            <a:off x="0" y="0"/>
                            <a:ext cx="2834640" cy="1962443"/>
                          </a:xfrm>
                          <a:prstGeom prst="rect"/>
                        </pic:spPr>
                      </pic:pic>
                    </a:graphicData>
                  </a:graphic>
                </wp:inline>
              </w:drawing>
            </w:r>
          </w:p>
          <w:p>
            <w:pPr>
              <w:spacing w:after="0"/>
            </w:pPr>
            <w:r>
              <w:rPr>
                <w:b/>
                <w:i w:val="0"/>
                <w:sz w:val="18"/>
              </w:rPr>
              <w:t xml:space="preserve">Figure 3. </w:t>
            </w:r>
            <w:r>
              <w:rPr>
                <w:b w:val="0"/>
                <w:i w:val="0"/>
                <w:sz w:val="18"/>
              </w:rPr>
              <w:t>T versus particle energy E for V</w:t>
            </w:r>
            <w:r>
              <w:rPr>
                <w:b w:val="0"/>
                <w:i w:val="0"/>
                <w:sz w:val="18"/>
                <w:vertAlign w:val="subscript"/>
              </w:rPr>
              <w:t>0</w:t>
            </w:r>
            <w:r>
              <w:rPr>
                <w:b w:val="0"/>
                <w:i w:val="0"/>
                <w:sz w:val="18"/>
              </w:rPr>
              <w:t xml:space="preserve"> = 5 eV and a = 1 nm (log y-axis). Line: analytic. Markers: numeric.</w:t>
            </w:r>
          </w:p>
        </w:tc>
        <w:tc>
          <w:tcPr>
            <w:tcW w:type="dxa" w:w="4680"/>
          </w:tcPr>
          <w:p>
            <w:pPr>
              <w:spacing w:after="40"/>
              <w:jc w:val="center"/>
            </w:pPr>
            <w:r>
              <w:drawing>
                <wp:inline xmlns:a="http://schemas.openxmlformats.org/drawingml/2006/main" xmlns:pic="http://schemas.openxmlformats.org/drawingml/2006/picture">
                  <wp:extent cx="2834640" cy="1943753"/>
                  <wp:docPr id="4" name="Picture 4"/>
                  <wp:cNvGraphicFramePr>
                    <a:graphicFrameLocks noChangeAspect="1"/>
                  </wp:cNvGraphicFramePr>
                  <a:graphic>
                    <a:graphicData uri="http://schemas.openxmlformats.org/drawingml/2006/picture">
                      <pic:pic>
                        <pic:nvPicPr>
                          <pic:cNvPr id="0" name="fig4_heatmap_log10T.png"/>
                          <pic:cNvPicPr/>
                        </pic:nvPicPr>
                        <pic:blipFill>
                          <a:blip r:embed="rId12"/>
                          <a:stretch>
                            <a:fillRect/>
                          </a:stretch>
                        </pic:blipFill>
                        <pic:spPr>
                          <a:xfrm>
                            <a:off x="0" y="0"/>
                            <a:ext cx="2834640" cy="1943753"/>
                          </a:xfrm>
                          <a:prstGeom prst="rect"/>
                        </pic:spPr>
                      </pic:pic>
                    </a:graphicData>
                  </a:graphic>
                </wp:inline>
              </w:drawing>
            </w:r>
          </w:p>
          <w:p>
            <w:pPr>
              <w:spacing w:after="0"/>
            </w:pPr>
            <w:r>
              <w:rPr>
                <w:b/>
                <w:i w:val="0"/>
                <w:sz w:val="18"/>
              </w:rPr>
              <w:t xml:space="preserve">Figure 4. </w:t>
            </w:r>
            <w:r>
              <w:rPr>
                <w:b w:val="0"/>
                <w:i w:val="0"/>
                <w:sz w:val="18"/>
              </w:rPr>
              <w:t>log</w:t>
            </w:r>
            <w:r>
              <w:rPr>
                <w:b w:val="0"/>
                <w:i w:val="0"/>
                <w:sz w:val="18"/>
                <w:vertAlign w:val="subscript"/>
              </w:rPr>
              <w:t>10</w:t>
            </w:r>
            <w:r>
              <w:rPr>
                <w:b w:val="0"/>
                <w:i w:val="0"/>
                <w:sz w:val="18"/>
              </w:rPr>
              <w:t>(T) versus particle energy and barrier width for V</w:t>
            </w:r>
            <w:r>
              <w:rPr>
                <w:b w:val="0"/>
                <w:i w:val="0"/>
                <w:sz w:val="18"/>
                <w:vertAlign w:val="subscript"/>
              </w:rPr>
              <w:t>0</w:t>
            </w:r>
            <w:r>
              <w:rPr>
                <w:b w:val="0"/>
                <w:i w:val="0"/>
                <w:sz w:val="18"/>
              </w:rPr>
              <w:t xml:space="preserve"> = 5 eV (analytic).</w:t>
            </w:r>
          </w:p>
        </w:tc>
      </w:tr>
    </w:tbl>
    <w:p>
      <w:pPr>
        <w:spacing w:after="0"/>
      </w:pPr>
    </w:p>
    <w:p>
      <w:pPr>
        <w:pStyle w:val="Heading2"/>
      </w:pPr>
      <w:r>
        <w:t>4.4  Thick-barrier approximation</w:t>
      </w:r>
    </w:p>
    <w:p>
      <w:pPr>
        <w:jc w:val="both"/>
      </w:pPr>
      <w:r>
        <w:rPr>
          <w:b w:val="0"/>
          <w:i w:val="0"/>
        </w:rPr>
        <w:t>Table 2 compares the exact value from Eq. (13) with the thick-barrier form 16E(V</w:t>
      </w:r>
      <w:r>
        <w:rPr>
          <w:b w:val="0"/>
          <w:i w:val="0"/>
          <w:vertAlign w:val="subscript"/>
        </w:rPr>
        <w:t>0</w:t>
      </w:r>
      <w:r>
        <w:rPr>
          <w:b w:val="0"/>
          <w:i w:val="0"/>
        </w:rPr>
        <w:t xml:space="preserve"> − E)/V</w:t>
      </w:r>
      <w:r>
        <w:rPr>
          <w:b w:val="0"/>
          <w:i w:val="0"/>
          <w:vertAlign w:val="subscript"/>
        </w:rPr>
        <w:t>0</w:t>
      </w:r>
      <w:r>
        <w:rPr>
          <w:b w:val="0"/>
          <w:i w:val="0"/>
          <w:vertAlign w:val="superscript"/>
        </w:rPr>
        <w:t>2</w:t>
      </w:r>
      <w:r>
        <w:rPr>
          <w:b w:val="0"/>
          <w:i w:val="0"/>
        </w:rPr>
        <w:t xml:space="preserve"> · e</w:t>
      </w:r>
      <w:r>
        <w:rPr>
          <w:b w:val="0"/>
          <w:i w:val="0"/>
          <w:vertAlign w:val="superscript"/>
        </w:rPr>
        <w:t>−2κa</w:t>
      </w:r>
      <w:r>
        <w:rPr>
          <w:b w:val="0"/>
          <w:i w:val="0"/>
        </w:rPr>
        <w:t xml:space="preserve"> for four widths at E = 1 eV and V</w:t>
      </w:r>
      <w:r>
        <w:rPr>
          <w:b w:val="0"/>
          <w:i w:val="0"/>
          <w:vertAlign w:val="subscript"/>
        </w:rPr>
        <w:t>0</w:t>
      </w:r>
      <w:r>
        <w:rPr>
          <w:b w:val="0"/>
          <w:i w:val="0"/>
        </w:rPr>
        <w:t xml:space="preserve"> = 5 eV. The percent difference is (approximate − exact)/exact × 100, evaluated in 60-digit decimal arithmetic because for κa above about 10 it is below double-precision round-off. The approximation overestimates T in every case, and the difference shrinks rapidly as κa grows, as expected from dropping the leading 1 and the e</w:t>
      </w:r>
      <w:r>
        <w:rPr>
          <w:b w:val="0"/>
          <w:i w:val="0"/>
          <w:vertAlign w:val="superscript"/>
        </w:rPr>
        <w:t>−2κa</w:t>
      </w:r>
      <w:r>
        <w:rPr>
          <w:b w:val="0"/>
          <w:i w:val="0"/>
        </w:rPr>
        <w:t xml:space="preserve"> term in sinh</w:t>
      </w:r>
      <w:r>
        <w:rPr>
          <w:b w:val="0"/>
          <w:i w:val="0"/>
          <w:vertAlign w:val="superscript"/>
        </w:rPr>
        <w:t>2</w:t>
      </w:r>
      <w:r>
        <w:rPr>
          <w:b w:val="0"/>
          <w:i w:val="0"/>
        </w:rPr>
        <w:t>(κa). Already at κa ≈ 2 the difference is of order one percent.</w:t>
      </w:r>
    </w:p>
    <w:p>
      <w:pPr>
        <w:keepNext/>
        <w:spacing w:after="40"/>
      </w:pPr>
      <w:r>
        <w:rPr>
          <w:b/>
          <w:i w:val="0"/>
          <w:sz w:val="20"/>
        </w:rPr>
        <w:t xml:space="preserve">Table 2. </w:t>
      </w:r>
      <w:r>
        <w:rPr>
          <w:b w:val="0"/>
          <w:i w:val="0"/>
          <w:sz w:val="20"/>
        </w:rPr>
        <w:t>Exact versus thick-barrier transmission.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312"/>
          </w:tcPr>
          <w:p>
            <w:pPr>
              <w:spacing w:after="0"/>
            </w:pPr>
            <w:r/>
            <w:r>
              <w:rPr>
                <w:b/>
                <w:i w:val="0"/>
                <w:sz w:val="20"/>
              </w:rPr>
              <w:t>Case</w:t>
            </w:r>
          </w:p>
        </w:tc>
        <w:tc>
          <w:tcPr>
            <w:tcW w:type="dxa" w:w="1008"/>
          </w:tcPr>
          <w:p>
            <w:pPr>
              <w:spacing w:after="0"/>
            </w:pPr>
            <w:r/>
            <w:r>
              <w:rPr>
                <w:b/>
                <w:i w:val="0"/>
                <w:sz w:val="20"/>
              </w:rPr>
              <w:t>κa</w:t>
            </w:r>
          </w:p>
        </w:tc>
        <w:tc>
          <w:tcPr>
            <w:tcW w:type="dxa" w:w="1728"/>
          </w:tcPr>
          <w:p>
            <w:pPr>
              <w:spacing w:after="0"/>
            </w:pPr>
            <w:r/>
            <w:r>
              <w:rPr>
                <w:b/>
                <w:i w:val="0"/>
                <w:sz w:val="20"/>
              </w:rPr>
              <w:t>T exact</w:t>
            </w:r>
          </w:p>
        </w:tc>
        <w:tc>
          <w:tcPr>
            <w:tcW w:type="dxa" w:w="1728"/>
          </w:tcPr>
          <w:p>
            <w:pPr>
              <w:spacing w:after="0"/>
            </w:pPr>
            <w:r/>
            <w:r>
              <w:rPr>
                <w:b/>
                <w:i w:val="0"/>
                <w:sz w:val="20"/>
              </w:rPr>
              <w:t>T approx.</w:t>
            </w:r>
          </w:p>
        </w:tc>
        <w:tc>
          <w:tcPr>
            <w:tcW w:type="dxa" w:w="1584"/>
          </w:tcPr>
          <w:p>
            <w:pPr>
              <w:spacing w:after="0"/>
            </w:pPr>
            <w:r/>
            <w:r>
              <w:rPr>
                <w:b/>
                <w:i w:val="0"/>
                <w:sz w:val="20"/>
              </w:rPr>
              <w:t>Difference</w:t>
            </w:r>
          </w:p>
        </w:tc>
      </w:tr>
      <w:tr>
        <w:tc>
          <w:tcPr>
            <w:tcW w:type="dxa" w:w="3312"/>
          </w:tcPr>
          <w:p>
            <w:pPr>
              <w:spacing w:after="0"/>
            </w:pPr>
            <w:r/>
            <w:r>
              <w:rPr>
                <w:b w:val="0"/>
                <w:i w:val="0"/>
                <w:sz w:val="20"/>
              </w:rPr>
              <w:t>E = 1.0 eV, V</w:t>
            </w:r>
            <w:r>
              <w:rPr>
                <w:b w:val="0"/>
                <w:i w:val="0"/>
                <w:sz w:val="20"/>
                <w:vertAlign w:val="subscript"/>
              </w:rPr>
              <w:t>0</w:t>
            </w:r>
            <w:r>
              <w:rPr>
                <w:b w:val="0"/>
                <w:i w:val="0"/>
                <w:sz w:val="20"/>
              </w:rPr>
              <w:t xml:space="preserve"> = 5.0 eV, a = 2.0 nm</w:t>
            </w:r>
          </w:p>
        </w:tc>
        <w:tc>
          <w:tcPr>
            <w:tcW w:type="dxa" w:w="1008"/>
          </w:tcPr>
          <w:p>
            <w:pPr>
              <w:spacing w:after="0"/>
            </w:pPr>
            <w:r/>
            <w:r>
              <w:rPr>
                <w:b w:val="0"/>
                <w:i w:val="0"/>
                <w:sz w:val="20"/>
              </w:rPr>
              <w:t>20.49</w:t>
            </w:r>
          </w:p>
        </w:tc>
        <w:tc>
          <w:tcPr>
            <w:tcW w:type="dxa" w:w="1728"/>
          </w:tcPr>
          <w:p>
            <w:pPr>
              <w:spacing w:after="0"/>
            </w:pPr>
            <w:r/>
            <w:r>
              <w:rPr>
                <w:b w:val="0"/>
                <w:i w:val="0"/>
                <w:sz w:val="20"/>
              </w:rPr>
              <w:t>4.060×10</w:t>
            </w:r>
            <w:r>
              <w:rPr>
                <w:b w:val="0"/>
                <w:i w:val="0"/>
                <w:sz w:val="20"/>
                <w:vertAlign w:val="superscript"/>
              </w:rPr>
              <w:t>−18</w:t>
            </w:r>
          </w:p>
        </w:tc>
        <w:tc>
          <w:tcPr>
            <w:tcW w:type="dxa" w:w="1728"/>
          </w:tcPr>
          <w:p>
            <w:pPr>
              <w:spacing w:after="0"/>
            </w:pPr>
            <w:r/>
            <w:r>
              <w:rPr>
                <w:b w:val="0"/>
                <w:i w:val="0"/>
                <w:sz w:val="20"/>
              </w:rPr>
              <w:t>4.060×10</w:t>
            </w:r>
            <w:r>
              <w:rPr>
                <w:b w:val="0"/>
                <w:i w:val="0"/>
                <w:sz w:val="20"/>
                <w:vertAlign w:val="superscript"/>
              </w:rPr>
              <w:t>−18</w:t>
            </w:r>
          </w:p>
        </w:tc>
        <w:tc>
          <w:tcPr>
            <w:tcW w:type="dxa" w:w="1584"/>
          </w:tcPr>
          <w:p>
            <w:pPr>
              <w:spacing w:after="0"/>
            </w:pPr>
            <w:r/>
            <w:r>
              <w:rPr>
                <w:b w:val="0"/>
                <w:i w:val="0"/>
                <w:sz w:val="20"/>
              </w:rPr>
              <w:t>8.88×10</w:t>
            </w:r>
            <w:r>
              <w:rPr>
                <w:b w:val="0"/>
                <w:i w:val="0"/>
                <w:sz w:val="20"/>
                <w:vertAlign w:val="superscript"/>
              </w:rPr>
              <w:t>−17</w:t>
            </w:r>
            <w:r>
              <w:rPr>
                <w:b w:val="0"/>
                <w:i w:val="0"/>
                <w:sz w:val="20"/>
              </w:rPr>
              <w:t>%</w:t>
            </w:r>
          </w:p>
        </w:tc>
      </w:tr>
      <w:tr>
        <w:tc>
          <w:tcPr>
            <w:tcW w:type="dxa" w:w="3312"/>
          </w:tcPr>
          <w:p>
            <w:pPr>
              <w:spacing w:after="0"/>
            </w:pPr>
            <w:r/>
            <w:r>
              <w:rPr>
                <w:b w:val="0"/>
                <w:i w:val="0"/>
                <w:sz w:val="20"/>
              </w:rPr>
              <w:t>E = 1.0 eV, V</w:t>
            </w:r>
            <w:r>
              <w:rPr>
                <w:b w:val="0"/>
                <w:i w:val="0"/>
                <w:sz w:val="20"/>
                <w:vertAlign w:val="subscript"/>
              </w:rPr>
              <w:t>0</w:t>
            </w:r>
            <w:r>
              <w:rPr>
                <w:b w:val="0"/>
                <w:i w:val="0"/>
                <w:sz w:val="20"/>
              </w:rPr>
              <w:t xml:space="preserve"> = 5.0 eV, a = 1.0 nm</w:t>
            </w:r>
          </w:p>
        </w:tc>
        <w:tc>
          <w:tcPr>
            <w:tcW w:type="dxa" w:w="1008"/>
          </w:tcPr>
          <w:p>
            <w:pPr>
              <w:spacing w:after="0"/>
            </w:pPr>
            <w:r/>
            <w:r>
              <w:rPr>
                <w:b w:val="0"/>
                <w:i w:val="0"/>
                <w:sz w:val="20"/>
              </w:rPr>
              <w:t>10.25</w:t>
            </w:r>
          </w:p>
        </w:tc>
        <w:tc>
          <w:tcPr>
            <w:tcW w:type="dxa" w:w="1728"/>
          </w:tcPr>
          <w:p>
            <w:pPr>
              <w:spacing w:after="0"/>
            </w:pPr>
            <w:r/>
            <w:r>
              <w:rPr>
                <w:b w:val="0"/>
                <w:i w:val="0"/>
                <w:sz w:val="20"/>
              </w:rPr>
              <w:t>3.224×10</w:t>
            </w:r>
            <w:r>
              <w:rPr>
                <w:b w:val="0"/>
                <w:i w:val="0"/>
                <w:sz w:val="20"/>
                <w:vertAlign w:val="superscript"/>
              </w:rPr>
              <w:t>−9</w:t>
            </w:r>
          </w:p>
        </w:tc>
        <w:tc>
          <w:tcPr>
            <w:tcW w:type="dxa" w:w="1728"/>
          </w:tcPr>
          <w:p>
            <w:pPr>
              <w:spacing w:after="0"/>
            </w:pPr>
            <w:r/>
            <w:r>
              <w:rPr>
                <w:b w:val="0"/>
                <w:i w:val="0"/>
                <w:sz w:val="20"/>
              </w:rPr>
              <w:t>3.224×10</w:t>
            </w:r>
            <w:r>
              <w:rPr>
                <w:b w:val="0"/>
                <w:i w:val="0"/>
                <w:sz w:val="20"/>
                <w:vertAlign w:val="superscript"/>
              </w:rPr>
              <w:t>−9</w:t>
            </w:r>
          </w:p>
        </w:tc>
        <w:tc>
          <w:tcPr>
            <w:tcW w:type="dxa" w:w="1584"/>
          </w:tcPr>
          <w:p>
            <w:pPr>
              <w:spacing w:after="0"/>
            </w:pPr>
            <w:r/>
            <w:r>
              <w:rPr>
                <w:b w:val="0"/>
                <w:i w:val="0"/>
                <w:sz w:val="20"/>
              </w:rPr>
              <w:t>7.05×10</w:t>
            </w:r>
            <w:r>
              <w:rPr>
                <w:b w:val="0"/>
                <w:i w:val="0"/>
                <w:sz w:val="20"/>
                <w:vertAlign w:val="superscript"/>
              </w:rPr>
              <w:t>−8</w:t>
            </w:r>
            <w:r>
              <w:rPr>
                <w:b w:val="0"/>
                <w:i w:val="0"/>
                <w:sz w:val="20"/>
              </w:rPr>
              <w:t>%</w:t>
            </w:r>
          </w:p>
        </w:tc>
      </w:tr>
      <w:tr>
        <w:tc>
          <w:tcPr>
            <w:tcW w:type="dxa" w:w="3312"/>
          </w:tcPr>
          <w:p>
            <w:pPr>
              <w:spacing w:after="0"/>
            </w:pPr>
            <w:r/>
            <w:r>
              <w:rPr>
                <w:b w:val="0"/>
                <w:i w:val="0"/>
                <w:sz w:val="20"/>
              </w:rPr>
              <w:t>E = 1.0 eV, V</w:t>
            </w:r>
            <w:r>
              <w:rPr>
                <w:b w:val="0"/>
                <w:i w:val="0"/>
                <w:sz w:val="20"/>
                <w:vertAlign w:val="subscript"/>
              </w:rPr>
              <w:t>0</w:t>
            </w:r>
            <w:r>
              <w:rPr>
                <w:b w:val="0"/>
                <w:i w:val="0"/>
                <w:sz w:val="20"/>
              </w:rPr>
              <w:t xml:space="preserve"> = 5.0 eV, a = 0.5 nm</w:t>
            </w:r>
          </w:p>
        </w:tc>
        <w:tc>
          <w:tcPr>
            <w:tcW w:type="dxa" w:w="1008"/>
          </w:tcPr>
          <w:p>
            <w:pPr>
              <w:spacing w:after="0"/>
            </w:pPr>
            <w:r/>
            <w:r>
              <w:rPr>
                <w:b w:val="0"/>
                <w:i w:val="0"/>
                <w:sz w:val="20"/>
              </w:rPr>
              <w:t>5.12</w:t>
            </w:r>
          </w:p>
        </w:tc>
        <w:tc>
          <w:tcPr>
            <w:tcW w:type="dxa" w:w="1728"/>
          </w:tcPr>
          <w:p>
            <w:pPr>
              <w:spacing w:after="0"/>
            </w:pPr>
            <w:r/>
            <w:r>
              <w:rPr>
                <w:b w:val="0"/>
                <w:i w:val="0"/>
                <w:sz w:val="20"/>
              </w:rPr>
              <w:t>9.085×10</w:t>
            </w:r>
            <w:r>
              <w:rPr>
                <w:b w:val="0"/>
                <w:i w:val="0"/>
                <w:sz w:val="20"/>
                <w:vertAlign w:val="superscript"/>
              </w:rPr>
              <w:t>−5</w:t>
            </w:r>
          </w:p>
        </w:tc>
        <w:tc>
          <w:tcPr>
            <w:tcW w:type="dxa" w:w="1728"/>
          </w:tcPr>
          <w:p>
            <w:pPr>
              <w:spacing w:after="0"/>
            </w:pPr>
            <w:r/>
            <w:r>
              <w:rPr>
                <w:b w:val="0"/>
                <w:i w:val="0"/>
                <w:sz w:val="20"/>
              </w:rPr>
              <w:t>9.085×10</w:t>
            </w:r>
            <w:r>
              <w:rPr>
                <w:b w:val="0"/>
                <w:i w:val="0"/>
                <w:sz w:val="20"/>
                <w:vertAlign w:val="superscript"/>
              </w:rPr>
              <w:t>−5</w:t>
            </w:r>
          </w:p>
        </w:tc>
        <w:tc>
          <w:tcPr>
            <w:tcW w:type="dxa" w:w="1584"/>
          </w:tcPr>
          <w:p>
            <w:pPr>
              <w:spacing w:after="0"/>
            </w:pPr>
            <w:r/>
            <w:r>
              <w:rPr>
                <w:b w:val="0"/>
                <w:i w:val="0"/>
                <w:sz w:val="20"/>
              </w:rPr>
              <w:t>1.99×10</w:t>
            </w:r>
            <w:r>
              <w:rPr>
                <w:b w:val="0"/>
                <w:i w:val="0"/>
                <w:sz w:val="20"/>
                <w:vertAlign w:val="superscript"/>
              </w:rPr>
              <w:t>−3</w:t>
            </w:r>
            <w:r>
              <w:rPr>
                <w:b w:val="0"/>
                <w:i w:val="0"/>
                <w:sz w:val="20"/>
              </w:rPr>
              <w:t>%</w:t>
            </w:r>
          </w:p>
        </w:tc>
      </w:tr>
      <w:tr>
        <w:tc>
          <w:tcPr>
            <w:tcW w:type="dxa" w:w="3312"/>
          </w:tcPr>
          <w:p>
            <w:pPr>
              <w:spacing w:after="0"/>
            </w:pPr>
            <w:r/>
            <w:r>
              <w:rPr>
                <w:b w:val="0"/>
                <w:i w:val="0"/>
                <w:sz w:val="20"/>
              </w:rPr>
              <w:t>E = 1.0 eV, V</w:t>
            </w:r>
            <w:r>
              <w:rPr>
                <w:b w:val="0"/>
                <w:i w:val="0"/>
                <w:sz w:val="20"/>
                <w:vertAlign w:val="subscript"/>
              </w:rPr>
              <w:t>0</w:t>
            </w:r>
            <w:r>
              <w:rPr>
                <w:b w:val="0"/>
                <w:i w:val="0"/>
                <w:sz w:val="20"/>
              </w:rPr>
              <w:t xml:space="preserve"> = 5.0 eV, a = 0.2 nm</w:t>
            </w:r>
          </w:p>
        </w:tc>
        <w:tc>
          <w:tcPr>
            <w:tcW w:type="dxa" w:w="1008"/>
          </w:tcPr>
          <w:p>
            <w:pPr>
              <w:spacing w:after="0"/>
            </w:pPr>
            <w:r/>
            <w:r>
              <w:rPr>
                <w:b w:val="0"/>
                <w:i w:val="0"/>
                <w:sz w:val="20"/>
              </w:rPr>
              <w:t>2.05</w:t>
            </w:r>
          </w:p>
        </w:tc>
        <w:tc>
          <w:tcPr>
            <w:tcW w:type="dxa" w:w="1728"/>
          </w:tcPr>
          <w:p>
            <w:pPr>
              <w:spacing w:after="0"/>
            </w:pPr>
            <w:r/>
            <w:r>
              <w:rPr>
                <w:b w:val="0"/>
                <w:i w:val="0"/>
                <w:sz w:val="20"/>
              </w:rPr>
              <w:t>4.209×10</w:t>
            </w:r>
            <w:r>
              <w:rPr>
                <w:b w:val="0"/>
                <w:i w:val="0"/>
                <w:sz w:val="20"/>
                <w:vertAlign w:val="superscript"/>
              </w:rPr>
              <w:t>−2</w:t>
            </w:r>
          </w:p>
        </w:tc>
        <w:tc>
          <w:tcPr>
            <w:tcW w:type="dxa" w:w="1728"/>
          </w:tcPr>
          <w:p>
            <w:pPr>
              <w:spacing w:after="0"/>
            </w:pPr>
            <w:r/>
            <w:r>
              <w:rPr>
                <w:b w:val="0"/>
                <w:i w:val="0"/>
                <w:sz w:val="20"/>
              </w:rPr>
              <w:t>4.249×10</w:t>
            </w:r>
            <w:r>
              <w:rPr>
                <w:b w:val="0"/>
                <w:i w:val="0"/>
                <w:sz w:val="20"/>
                <w:vertAlign w:val="superscript"/>
              </w:rPr>
              <w:t>−2</w:t>
            </w:r>
          </w:p>
        </w:tc>
        <w:tc>
          <w:tcPr>
            <w:tcW w:type="dxa" w:w="1584"/>
          </w:tcPr>
          <w:p>
            <w:pPr>
              <w:spacing w:after="0"/>
            </w:pPr>
            <w:r/>
            <w:r>
              <w:rPr>
                <w:b w:val="0"/>
                <w:i w:val="0"/>
                <w:sz w:val="20"/>
              </w:rPr>
              <w:t>9.57×10</w:t>
            </w:r>
            <w:r>
              <w:rPr>
                <w:b w:val="0"/>
                <w:i w:val="0"/>
                <w:sz w:val="20"/>
                <w:vertAlign w:val="superscript"/>
              </w:rPr>
              <w:t>−1</w:t>
            </w:r>
            <w:r>
              <w:rPr>
                <w:b w:val="0"/>
                <w:i w:val="0"/>
                <w:sz w:val="20"/>
              </w:rPr>
              <w:t>%</w:t>
            </w:r>
          </w:p>
        </w:tc>
      </w:tr>
    </w:tbl>
    <w:p>
      <w:pPr>
        <w:spacing w:after="40"/>
      </w:pPr>
    </w:p>
    <w:p>
      <w:pPr>
        <w:pStyle w:val="Heading2"/>
      </w:pPr>
      <w:r>
        <w:t>4.5  Agreement between the numeric and analytic methods</w:t>
      </w:r>
    </w:p>
    <w:p>
      <w:pPr>
        <w:jc w:val="both"/>
      </w:pPr>
      <w:r>
        <w:rPr>
          <w:b w:val="0"/>
          <w:i w:val="0"/>
        </w:rPr>
        <w:t>Table 3 summarises the 125-combination sweep. Energies range from 0.1 to 4 eV, barrier heights from 4.5 to 10 eV, widths from 0.05 to 6 nm, and κa from 0.181 to 96.72. The analytic transmission spans from 1.55×10</w:t>
      </w:r>
      <w:r>
        <w:rPr>
          <w:b w:val="0"/>
          <w:i w:val="0"/>
          <w:vertAlign w:val="superscript"/>
        </w:rPr>
        <w:t>−85</w:t>
      </w:r>
      <w:r>
        <w:rPr>
          <w:b w:val="0"/>
          <w:i w:val="0"/>
        </w:rPr>
        <w:t xml:space="preserve"> to 9.23×10</w:t>
      </w:r>
      <w:r>
        <w:rPr>
          <w:b w:val="0"/>
          <w:i w:val="0"/>
          <w:vertAlign w:val="superscript"/>
        </w:rPr>
        <w:t>−1</w:t>
      </w:r>
      <w:r>
        <w:rPr>
          <w:b w:val="0"/>
          <w:i w:val="0"/>
        </w:rPr>
        <w:t xml:space="preserve"> (84.8 decades). On the same grid the numeric solver satisfies |R + T − 1| ≤ 1.11×10</w:t>
      </w:r>
      <w:r>
        <w:rPr>
          <w:b w:val="0"/>
          <w:i w:val="0"/>
          <w:vertAlign w:val="superscript"/>
        </w:rPr>
        <w:t>−15</w:t>
      </w:r>
      <w:r>
        <w:rPr>
          <w:b w:val="0"/>
          <w:i w:val="0"/>
        </w:rPr>
        <w:t>.</w:t>
      </w:r>
    </w:p>
    <w:p>
      <w:pPr>
        <w:keepNext/>
        <w:spacing w:after="40"/>
      </w:pPr>
      <w:r>
        <w:rPr>
          <w:b/>
          <w:i w:val="0"/>
          <w:sz w:val="20"/>
        </w:rPr>
        <w:t xml:space="preserve">Table 3. </w:t>
      </w:r>
      <w:r>
        <w:rPr>
          <w:b w:val="0"/>
          <w:i w:val="0"/>
          <w:sz w:val="20"/>
        </w:rPr>
        <w:t>Numeric versus analytic transmission over the sweep (results/comparison.csv).</w:t>
      </w:r>
    </w:p>
    <w:tbl>
      <w:tblPr>
        <w:tblStyle w:val="TableGrid"/>
        <w:tblW w:type="auto" w:w="0"/>
        <w:jc w:val="center"/>
        <w:tblLook w:firstColumn="1" w:firstRow="1" w:lastColumn="0" w:lastRow="0" w:noHBand="0" w:noVBand="1" w:val="04A0"/>
      </w:tblPr>
      <w:tblGrid>
        <w:gridCol w:w="4680"/>
        <w:gridCol w:w="4680"/>
      </w:tblGrid>
      <w:tr>
        <w:tc>
          <w:tcPr>
            <w:tcW w:type="dxa" w:w="5040"/>
          </w:tcPr>
          <w:p>
            <w:pPr>
              <w:spacing w:after="0"/>
            </w:pPr>
            <w:r/>
            <w:r>
              <w:rPr>
                <w:b/>
                <w:i w:val="0"/>
                <w:sz w:val="20"/>
              </w:rPr>
              <w:t>Quantity</w:t>
            </w:r>
          </w:p>
        </w:tc>
        <w:tc>
          <w:tcPr>
            <w:tcW w:type="dxa" w:w="2160"/>
          </w:tcPr>
          <w:p>
            <w:pPr>
              <w:spacing w:after="0"/>
            </w:pPr>
            <w:r/>
            <w:r>
              <w:rPr>
                <w:b/>
                <w:i w:val="0"/>
                <w:sz w:val="20"/>
              </w:rPr>
              <w:t>Value</w:t>
            </w:r>
          </w:p>
        </w:tc>
      </w:tr>
      <w:tr>
        <w:tc>
          <w:tcPr>
            <w:tcW w:type="dxa" w:w="5040"/>
          </w:tcPr>
          <w:p>
            <w:pPr>
              <w:spacing w:after="0"/>
            </w:pPr>
            <w:r/>
            <w:r>
              <w:rPr>
                <w:b w:val="0"/>
                <w:i w:val="0"/>
                <w:sz w:val="20"/>
              </w:rPr>
              <w:t>Combinations</w:t>
            </w:r>
          </w:p>
        </w:tc>
        <w:tc>
          <w:tcPr>
            <w:tcW w:type="dxa" w:w="2160"/>
          </w:tcPr>
          <w:p>
            <w:pPr>
              <w:spacing w:after="0"/>
            </w:pPr>
            <w:r/>
            <w:r>
              <w:rPr>
                <w:b w:val="0"/>
                <w:i w:val="0"/>
                <w:sz w:val="20"/>
              </w:rPr>
              <w:t>125</w:t>
            </w:r>
          </w:p>
        </w:tc>
      </w:tr>
      <w:tr>
        <w:tc>
          <w:tcPr>
            <w:tcW w:type="dxa" w:w="5040"/>
          </w:tcPr>
          <w:p>
            <w:pPr>
              <w:spacing w:after="0"/>
            </w:pPr>
            <w:r/>
            <w:r>
              <w:rPr>
                <w:b w:val="0"/>
                <w:i w:val="0"/>
                <w:sz w:val="20"/>
              </w:rPr>
              <w:t>Max absolute error</w:t>
            </w:r>
          </w:p>
        </w:tc>
        <w:tc>
          <w:tcPr>
            <w:tcW w:type="dxa" w:w="2160"/>
          </w:tcPr>
          <w:p>
            <w:pPr>
              <w:spacing w:after="0"/>
            </w:pPr>
            <w:r/>
            <w:r>
              <w:rPr>
                <w:b w:val="0"/>
                <w:i w:val="0"/>
                <w:sz w:val="20"/>
              </w:rPr>
              <w:t>5.55×10</w:t>
            </w:r>
            <w:r>
              <w:rPr>
                <w:b w:val="0"/>
                <w:i w:val="0"/>
                <w:sz w:val="20"/>
                <w:vertAlign w:val="superscript"/>
              </w:rPr>
              <w:t>−16</w:t>
            </w:r>
          </w:p>
        </w:tc>
      </w:tr>
      <w:tr>
        <w:tc>
          <w:tcPr>
            <w:tcW w:type="dxa" w:w="5040"/>
          </w:tcPr>
          <w:p>
            <w:pPr>
              <w:spacing w:after="0"/>
            </w:pPr>
            <w:r/>
            <w:r>
              <w:rPr>
                <w:b w:val="0"/>
                <w:i w:val="0"/>
                <w:sz w:val="20"/>
              </w:rPr>
              <w:t>Mean absolute error</w:t>
            </w:r>
          </w:p>
        </w:tc>
        <w:tc>
          <w:tcPr>
            <w:tcW w:type="dxa" w:w="2160"/>
          </w:tcPr>
          <w:p>
            <w:pPr>
              <w:spacing w:after="0"/>
            </w:pPr>
            <w:r/>
            <w:r>
              <w:rPr>
                <w:b w:val="0"/>
                <w:i w:val="0"/>
                <w:sz w:val="20"/>
              </w:rPr>
              <w:t>4.28×10</w:t>
            </w:r>
            <w:r>
              <w:rPr>
                <w:b w:val="0"/>
                <w:i w:val="0"/>
                <w:sz w:val="20"/>
                <w:vertAlign w:val="superscript"/>
              </w:rPr>
              <w:t>−17</w:t>
            </w:r>
          </w:p>
        </w:tc>
      </w:tr>
      <w:tr>
        <w:tc>
          <w:tcPr>
            <w:tcW w:type="dxa" w:w="5040"/>
          </w:tcPr>
          <w:p>
            <w:pPr>
              <w:spacing w:after="0"/>
            </w:pPr>
            <w:r/>
            <w:r>
              <w:rPr>
                <w:b w:val="0"/>
                <w:i w:val="0"/>
                <w:sz w:val="20"/>
              </w:rPr>
              <w:t>Max relative error</w:t>
            </w:r>
          </w:p>
        </w:tc>
        <w:tc>
          <w:tcPr>
            <w:tcW w:type="dxa" w:w="2160"/>
          </w:tcPr>
          <w:p>
            <w:pPr>
              <w:spacing w:after="0"/>
            </w:pPr>
            <w:r/>
            <w:r>
              <w:rPr>
                <w:b w:val="0"/>
                <w:i w:val="0"/>
                <w:sz w:val="20"/>
              </w:rPr>
              <w:t>1.09×10</w:t>
            </w:r>
            <w:r>
              <w:rPr>
                <w:b w:val="0"/>
                <w:i w:val="0"/>
                <w:sz w:val="20"/>
                <w:vertAlign w:val="superscript"/>
              </w:rPr>
              <w:t>−14</w:t>
            </w:r>
          </w:p>
        </w:tc>
      </w:tr>
      <w:tr>
        <w:tc>
          <w:tcPr>
            <w:tcW w:type="dxa" w:w="5040"/>
          </w:tcPr>
          <w:p>
            <w:pPr>
              <w:spacing w:after="0"/>
            </w:pPr>
            <w:r/>
            <w:r>
              <w:rPr>
                <w:b w:val="0"/>
                <w:i w:val="0"/>
                <w:sz w:val="20"/>
              </w:rPr>
              <w:t>Mean relative error</w:t>
            </w:r>
          </w:p>
        </w:tc>
        <w:tc>
          <w:tcPr>
            <w:tcW w:type="dxa" w:w="2160"/>
          </w:tcPr>
          <w:p>
            <w:pPr>
              <w:spacing w:after="0"/>
            </w:pPr>
            <w:r/>
            <w:r>
              <w:rPr>
                <w:b w:val="0"/>
                <w:i w:val="0"/>
                <w:sz w:val="20"/>
              </w:rPr>
              <w:t>1.87×10</w:t>
            </w:r>
            <w:r>
              <w:rPr>
                <w:b w:val="0"/>
                <w:i w:val="0"/>
                <w:sz w:val="20"/>
                <w:vertAlign w:val="superscript"/>
              </w:rPr>
              <w:t>−15</w:t>
            </w:r>
          </w:p>
        </w:tc>
      </w:tr>
      <w:tr>
        <w:tc>
          <w:tcPr>
            <w:tcW w:type="dxa" w:w="5040"/>
          </w:tcPr>
          <w:p>
            <w:pPr>
              <w:spacing w:after="0"/>
            </w:pPr>
            <w:r/>
            <w:r>
              <w:rPr>
                <w:b w:val="0"/>
                <w:i w:val="0"/>
                <w:sz w:val="20"/>
              </w:rPr>
              <w:t>Rows with exactly zero absolute error</w:t>
            </w:r>
          </w:p>
        </w:tc>
        <w:tc>
          <w:tcPr>
            <w:tcW w:type="dxa" w:w="2160"/>
          </w:tcPr>
          <w:p>
            <w:pPr>
              <w:spacing w:after="0"/>
            </w:pPr>
            <w:r/>
            <w:r>
              <w:rPr>
                <w:b w:val="0"/>
                <w:i w:val="0"/>
                <w:sz w:val="20"/>
              </w:rPr>
              <w:t>5</w:t>
            </w:r>
          </w:p>
        </w:tc>
      </w:tr>
      <w:tr>
        <w:tc>
          <w:tcPr>
            <w:tcW w:type="dxa" w:w="5040"/>
          </w:tcPr>
          <w:p>
            <w:pPr>
              <w:spacing w:after="0"/>
            </w:pPr>
            <w:r/>
            <w:r>
              <w:rPr>
                <w:b w:val="0"/>
                <w:i w:val="0"/>
                <w:sz w:val="20"/>
              </w:rPr>
              <w:t>Largest κa</w:t>
            </w:r>
          </w:p>
        </w:tc>
        <w:tc>
          <w:tcPr>
            <w:tcW w:type="dxa" w:w="2160"/>
          </w:tcPr>
          <w:p>
            <w:pPr>
              <w:spacing w:after="0"/>
            </w:pPr>
            <w:r/>
            <w:r>
              <w:rPr>
                <w:b w:val="0"/>
                <w:i w:val="0"/>
                <w:sz w:val="20"/>
              </w:rPr>
              <w:t>96.72</w:t>
            </w:r>
          </w:p>
        </w:tc>
      </w:tr>
    </w:tbl>
    <w:p>
      <w:pPr>
        <w:spacing w:after="40"/>
      </w:pPr>
    </w:p>
    <w:p>
      <w:pPr>
        <w:jc w:val="both"/>
      </w:pPr>
      <w:r>
        <w:rPr>
          <w:b w:val="0"/>
          <w:i w:val="0"/>
        </w:rPr>
        <w:t>Figure 5 plots T_numeric against T_analytic for all combinations on log-log axes. The points lie on the y = x line over the whole range of T. The worst relative error occurs at E = 0.1 eV, V</w:t>
      </w:r>
      <w:r>
        <w:rPr>
          <w:b w:val="0"/>
          <w:i w:val="0"/>
          <w:vertAlign w:val="subscript"/>
        </w:rPr>
        <w:t>0</w:t>
      </w:r>
      <w:r>
        <w:rPr>
          <w:b w:val="0"/>
          <w:i w:val="0"/>
        </w:rPr>
        <w:t xml:space="preserve"> = 5 eV, a = 6 nm (κa = 68.04), where T_analytic = 2.480×10</w:t>
      </w:r>
      <w:r>
        <w:rPr>
          <w:b w:val="0"/>
          <w:i w:val="0"/>
          <w:vertAlign w:val="superscript"/>
        </w:rPr>
        <w:t>−60</w:t>
      </w:r>
      <w:r>
        <w:rPr>
          <w:b w:val="0"/>
          <w:i w:val="0"/>
        </w:rPr>
        <w:t xml:space="preserve"> and T_numeric = 2.480×10</w:t>
      </w:r>
      <w:r>
        <w:rPr>
          <w:b w:val="0"/>
          <w:i w:val="0"/>
          <w:vertAlign w:val="superscript"/>
        </w:rPr>
        <w:t>−60</w:t>
      </w:r>
      <w:r>
        <w:rPr>
          <w:b w:val="0"/>
          <w:i w:val="0"/>
        </w:rPr>
        <w:t>; the relative error is 1.09×10</w:t>
      </w:r>
      <w:r>
        <w:rPr>
          <w:b w:val="0"/>
          <w:i w:val="0"/>
          <w:vertAlign w:val="superscript"/>
        </w:rPr>
        <w:t>−14</w:t>
      </w:r>
      <w:r>
        <w:rPr>
          <w:b w:val="0"/>
          <w:i w:val="0"/>
        </w:rPr>
        <w:t xml:space="preserve"> and the absolute error 2.71×10</w:t>
      </w:r>
      <w:r>
        <w:rPr>
          <w:b w:val="0"/>
          <w:i w:val="0"/>
          <w:vertAlign w:val="superscript"/>
        </w:rPr>
        <w:t>−74</w:t>
      </w:r>
      <w:r>
        <w:rPr>
          <w:b w:val="0"/>
          <w:i w:val="0"/>
        </w:rPr>
        <w:t>.</w:t>
      </w:r>
    </w:p>
    <w:p>
      <w:pPr>
        <w:jc w:val="both"/>
      </w:pPr>
      <w:r>
        <w:rPr>
          <w:b w:val="0"/>
          <w:i w:val="0"/>
        </w:rPr>
        <w:t>Figure 6 shows the absolute and relative errors against κa. The absolute error falls steadily as κa grows, because T itself shrinks over many orders of magnitude. The relative error does not fall. Its median is 4.88×10</w:t>
      </w:r>
      <w:r>
        <w:rPr>
          <w:b w:val="0"/>
          <w:i w:val="0"/>
          <w:vertAlign w:val="superscript"/>
        </w:rPr>
        <w:t>−16</w:t>
      </w:r>
      <w:r>
        <w:rPr>
          <w:b w:val="0"/>
          <w:i w:val="0"/>
        </w:rPr>
        <w:t xml:space="preserve"> for κa &lt; 10 (56 rows, maximum 3.87×10</w:t>
      </w:r>
      <w:r>
        <w:rPr>
          <w:b w:val="0"/>
          <w:i w:val="0"/>
          <w:vertAlign w:val="superscript"/>
        </w:rPr>
        <w:t>−15</w:t>
      </w:r>
      <w:r>
        <w:rPr>
          <w:b w:val="0"/>
          <w:i w:val="0"/>
        </w:rPr>
        <w:t>), 1.42×10</w:t>
      </w:r>
      <w:r>
        <w:rPr>
          <w:b w:val="0"/>
          <w:i w:val="0"/>
          <w:vertAlign w:val="superscript"/>
        </w:rPr>
        <w:t>−15</w:t>
      </w:r>
      <w:r>
        <w:rPr>
          <w:b w:val="0"/>
          <w:i w:val="0"/>
        </w:rPr>
        <w:t xml:space="preserve"> for 10 ≤ κa &lt; 50 (48 rows, maximum 7.60×10</w:t>
      </w:r>
      <w:r>
        <w:rPr>
          <w:b w:val="0"/>
          <w:i w:val="0"/>
          <w:vertAlign w:val="superscript"/>
        </w:rPr>
        <w:t>−15</w:t>
      </w:r>
      <w:r>
        <w:rPr>
          <w:b w:val="0"/>
          <w:i w:val="0"/>
        </w:rPr>
        <w:t>), and 5.30×10</w:t>
      </w:r>
      <w:r>
        <w:rPr>
          <w:b w:val="0"/>
          <w:i w:val="0"/>
          <w:vertAlign w:val="superscript"/>
        </w:rPr>
        <w:t>−15</w:t>
      </w:r>
      <w:r>
        <w:rPr>
          <w:b w:val="0"/>
          <w:i w:val="0"/>
        </w:rPr>
        <w:t xml:space="preserve"> for κa ≥ 50 (21 rows, maximum 1.09×10</w:t>
      </w:r>
      <w:r>
        <w:rPr>
          <w:b w:val="0"/>
          <w:i w:val="0"/>
          <w:vertAlign w:val="superscript"/>
        </w:rPr>
        <w:t>−14</w:t>
      </w:r>
      <w:r>
        <w:rPr>
          <w:b w:val="0"/>
          <w:i w:val="0"/>
        </w:rPr>
        <w:t>). So there is a mild increase in relative error with κa, but it stays near double-precision round-off (smallest nonzero 1.28×10</w:t>
      </w:r>
      <w:r>
        <w:rPr>
          <w:b w:val="0"/>
          <w:i w:val="0"/>
          <w:vertAlign w:val="superscript"/>
        </w:rPr>
        <w:t>−16</w:t>
      </w:r>
      <w:r>
        <w:rPr>
          <w:b w:val="0"/>
          <w:i w:val="0"/>
        </w:rPr>
        <w:t>, largest 1.09×10</w:t>
      </w:r>
      <w:r>
        <w:rPr>
          <w:b w:val="0"/>
          <w:i w:val="0"/>
          <w:vertAlign w:val="superscript"/>
        </w:rPr>
        <w:t>−14</w:t>
      </w:r>
      <w:r>
        <w:rPr>
          <w:b w:val="0"/>
          <w:i w:val="0"/>
        </w:rPr>
        <w:t>). The 5 rows with exactly zero absolute error cannot be drawn on a logarithmic axis and are omitted from the figure.</w:t>
      </w:r>
    </w:p>
    <w:tbl>
      <w:tblPr>
        <w:tblW w:type="auto" w:w="0"/>
        <w:jc w:val="center"/>
        <w:tblLook w:firstColumn="1" w:firstRow="1" w:lastColumn="0" w:lastRow="0" w:noHBand="0" w:noVBand="1" w:val="04A0"/>
      </w:tblPr>
      <w:tblGrid>
        <w:gridCol w:w="4680"/>
        <w:gridCol w:w="4680"/>
      </w:tblGrid>
      <w:tr>
        <w:tc>
          <w:tcPr>
            <w:tcW w:type="dxa" w:w="4680"/>
          </w:tcPr>
          <w:p>
            <w:pPr>
              <w:spacing w:after="40"/>
              <w:jc w:val="center"/>
            </w:pPr>
            <w:r>
              <w:drawing>
                <wp:inline xmlns:a="http://schemas.openxmlformats.org/drawingml/2006/main" xmlns:pic="http://schemas.openxmlformats.org/drawingml/2006/picture">
                  <wp:extent cx="2834640" cy="2639148"/>
                  <wp:docPr id="5" name="Picture 5"/>
                  <wp:cNvGraphicFramePr>
                    <a:graphicFrameLocks noChangeAspect="1"/>
                  </wp:cNvGraphicFramePr>
                  <a:graphic>
                    <a:graphicData uri="http://schemas.openxmlformats.org/drawingml/2006/picture">
                      <pic:pic>
                        <pic:nvPicPr>
                          <pic:cNvPr id="0" name="fig5_numeric_vs_analytic.png"/>
                          <pic:cNvPicPr/>
                        </pic:nvPicPr>
                        <pic:blipFill>
                          <a:blip r:embed="rId13"/>
                          <a:stretch>
                            <a:fillRect/>
                          </a:stretch>
                        </pic:blipFill>
                        <pic:spPr>
                          <a:xfrm>
                            <a:off x="0" y="0"/>
                            <a:ext cx="2834640" cy="2639148"/>
                          </a:xfrm>
                          <a:prstGeom prst="rect"/>
                        </pic:spPr>
                      </pic:pic>
                    </a:graphicData>
                  </a:graphic>
                </wp:inline>
              </w:drawing>
            </w:r>
          </w:p>
          <w:p>
            <w:pPr>
              <w:spacing w:after="0"/>
            </w:pPr>
            <w:r>
              <w:rPr>
                <w:b/>
                <w:i w:val="0"/>
                <w:sz w:val="18"/>
              </w:rPr>
              <w:t xml:space="preserve">Figure 5. </w:t>
            </w:r>
            <w:r>
              <w:rPr>
                <w:b w:val="0"/>
                <w:i w:val="0"/>
                <w:sz w:val="18"/>
              </w:rPr>
              <w:t>Numeric versus analytic T for the 125 sweep combinations (log-log axes). The dashed line is y = x.</w:t>
            </w:r>
          </w:p>
        </w:tc>
        <w:tc>
          <w:tcPr>
            <w:tcW w:type="dxa" w:w="4680"/>
          </w:tcPr>
          <w:p>
            <w:pPr>
              <w:spacing w:after="40"/>
              <w:jc w:val="center"/>
            </w:pPr>
            <w:r>
              <w:drawing>
                <wp:inline xmlns:a="http://schemas.openxmlformats.org/drawingml/2006/main" xmlns:pic="http://schemas.openxmlformats.org/drawingml/2006/picture">
                  <wp:extent cx="2834640" cy="3052689"/>
                  <wp:docPr id="6" name="Picture 6"/>
                  <wp:cNvGraphicFramePr>
                    <a:graphicFrameLocks noChangeAspect="1"/>
                  </wp:cNvGraphicFramePr>
                  <a:graphic>
                    <a:graphicData uri="http://schemas.openxmlformats.org/drawingml/2006/picture">
                      <pic:pic>
                        <pic:nvPicPr>
                          <pic:cNvPr id="0" name="fig6_numerical_error.png"/>
                          <pic:cNvPicPr/>
                        </pic:nvPicPr>
                        <pic:blipFill>
                          <a:blip r:embed="rId14"/>
                          <a:stretch>
                            <a:fillRect/>
                          </a:stretch>
                        </pic:blipFill>
                        <pic:spPr>
                          <a:xfrm>
                            <a:off x="0" y="0"/>
                            <a:ext cx="2834640" cy="3052689"/>
                          </a:xfrm>
                          <a:prstGeom prst="rect"/>
                        </pic:spPr>
                      </pic:pic>
                    </a:graphicData>
                  </a:graphic>
                </wp:inline>
              </w:drawing>
            </w:r>
          </w:p>
          <w:p>
            <w:pPr>
              <w:spacing w:after="0"/>
            </w:pPr>
            <w:r>
              <w:rPr>
                <w:b/>
                <w:i w:val="0"/>
                <w:sz w:val="18"/>
              </w:rPr>
              <w:t xml:space="preserve">Figure 6. </w:t>
            </w:r>
            <w:r>
              <w:rPr>
                <w:b w:val="0"/>
                <w:i w:val="0"/>
                <w:sz w:val="18"/>
              </w:rPr>
              <w:t>Absolute (top) and relative (bottom) difference between numeric and analytic T versus κa. Exact zeros are omitted (log y-axes).</w:t>
            </w:r>
          </w:p>
        </w:tc>
      </w:tr>
    </w:tbl>
    <w:p>
      <w:pPr>
        <w:spacing w:after="0"/>
      </w:pPr>
    </w:p>
    <w:p>
      <w:pPr>
        <w:pStyle w:val="Heading1"/>
      </w:pPr>
      <w:r>
        <w:t>5  Limitations</w:t>
      </w:r>
    </w:p>
    <w:p>
      <w:pPr>
        <w:pStyle w:val="ListBullet"/>
        <w:spacing w:after="40"/>
      </w:pPr>
      <w:r>
        <w:rPr>
          <w:b w:val="0"/>
          <w:i w:val="0"/>
        </w:rPr>
        <w:t>Agreement validates the implementation, not the physics. The numeric and analytic methods solve the same equations (6)–(9) for the same model. Their agreement shows that the algebra in Section 2.4 and both codes are consistent. It does not show that the rectangular-barrier model describes any real system.</w:t>
      </w:r>
    </w:p>
    <w:p>
      <w:pPr>
        <w:pStyle w:val="ListBullet"/>
        <w:spacing w:after="40"/>
      </w:pPr>
      <w:r>
        <w:rPr>
          <w:b w:val="0"/>
          <w:i w:val="0"/>
        </w:rPr>
        <w:t>Model scope. The model is one-dimensional, non-relativistic, uses a sharp rectangular barrier, a single electron and plane-wave incidence, and covers only 0 &lt; E &lt; V</w:t>
      </w:r>
      <w:r>
        <w:rPr>
          <w:b w:val="0"/>
          <w:i w:val="0"/>
          <w:vertAlign w:val="subscript"/>
        </w:rPr>
        <w:t>0</w:t>
      </w:r>
      <w:r>
        <w:rPr>
          <w:b w:val="0"/>
          <w:i w:val="0"/>
        </w:rPr>
        <w:t>. The cases E = V</w:t>
      </w:r>
      <w:r>
        <w:rPr>
          <w:b w:val="0"/>
          <w:i w:val="0"/>
          <w:vertAlign w:val="subscript"/>
        </w:rPr>
        <w:t>0</w:t>
      </w:r>
      <w:r>
        <w:rPr>
          <w:b w:val="0"/>
          <w:i w:val="0"/>
        </w:rPr>
        <w:t xml:space="preserve"> and E &gt; V</w:t>
      </w:r>
      <w:r>
        <w:rPr>
          <w:b w:val="0"/>
          <w:i w:val="0"/>
          <w:vertAlign w:val="subscript"/>
        </w:rPr>
        <w:t>0</w:t>
      </w:r>
      <w:r>
        <w:rPr>
          <w:b w:val="0"/>
          <w:i w:val="0"/>
        </w:rPr>
        <w:t xml:space="preserve"> use different expressions and are rejected with ValueError.</w:t>
      </w:r>
    </w:p>
    <w:p>
      <w:pPr>
        <w:pStyle w:val="ListBullet"/>
        <w:spacing w:after="40"/>
      </w:pPr>
      <w:r>
        <w:rPr>
          <w:b w:val="0"/>
          <w:i w:val="0"/>
        </w:rPr>
        <w:t>No experimental comparison. No measured data were used. The results are properties of the model only.</w:t>
      </w:r>
    </w:p>
    <w:p>
      <w:pPr>
        <w:pStyle w:val="ListBullet"/>
        <w:spacing w:after="40"/>
      </w:pPr>
      <w:r>
        <w:rPr>
          <w:b w:val="0"/>
          <w:i w:val="0"/>
        </w:rPr>
        <w:t>Floating-point limits for very thick barriers. For E = 1 eV and V</w:t>
      </w:r>
      <w:r>
        <w:rPr>
          <w:b w:val="0"/>
          <w:i w:val="0"/>
          <w:vertAlign w:val="subscript"/>
        </w:rPr>
        <w:t>0</w:t>
      </w:r>
      <w:r>
        <w:rPr>
          <w:b w:val="0"/>
          <w:i w:val="0"/>
        </w:rPr>
        <w:t xml:space="preserve"> = 5 eV, κ = 10.246 nm</w:t>
      </w:r>
      <w:r>
        <w:rPr>
          <w:b w:val="0"/>
          <w:i w:val="0"/>
          <w:vertAlign w:val="superscript"/>
        </w:rPr>
        <w:t>−1</w:t>
      </w:r>
      <w:r>
        <w:rPr>
          <w:b w:val="0"/>
          <w:i w:val="0"/>
        </w:rPr>
        <w:t>. T_analytic first returns exactly 0 at a width of about 36.4 nm (κa ≈ 373). The smallest nonzero value just below that is 4.94×10</w:t>
      </w:r>
      <w:r>
        <w:rPr>
          <w:b w:val="0"/>
          <w:i w:val="0"/>
          <w:vertAlign w:val="superscript"/>
        </w:rPr>
        <w:t>−324</w:t>
      </w:r>
      <w:r>
        <w:rPr>
          <w:b w:val="0"/>
          <w:i w:val="0"/>
        </w:rPr>
        <w:t>, in the subnormal range where double precision has lost significant digits. At κa = 300 the two methods give 6.7850×10</w:t>
      </w:r>
      <w:r>
        <w:rPr>
          <w:b w:val="0"/>
          <w:i w:val="0"/>
          <w:vertAlign w:val="superscript"/>
        </w:rPr>
        <w:t>−261</w:t>
      </w:r>
      <w:r>
        <w:rPr>
          <w:b w:val="0"/>
          <w:i w:val="0"/>
        </w:rPr>
        <w:t xml:space="preserve"> and 6.7850×10</w:t>
      </w:r>
      <w:r>
        <w:rPr>
          <w:b w:val="0"/>
          <w:i w:val="0"/>
          <w:vertAlign w:val="superscript"/>
        </w:rPr>
        <w:t>−261</w:t>
      </w:r>
      <w:r>
        <w:rPr>
          <w:b w:val="0"/>
          <w:i w:val="0"/>
        </w:rPr>
        <w:t>; at κa = 360 they give 5.2025×10</w:t>
      </w:r>
      <w:r>
        <w:rPr>
          <w:b w:val="0"/>
          <w:i w:val="0"/>
          <w:vertAlign w:val="superscript"/>
        </w:rPr>
        <w:t>−313</w:t>
      </w:r>
      <w:r>
        <w:rPr>
          <w:b w:val="0"/>
          <w:i w:val="0"/>
        </w:rPr>
        <w:t xml:space="preserve"> and 5.2025×10</w:t>
      </w:r>
      <w:r>
        <w:rPr>
          <w:b w:val="0"/>
          <w:i w:val="0"/>
          <w:vertAlign w:val="superscript"/>
        </w:rPr>
        <w:t>−313</w:t>
      </w:r>
      <w:r>
        <w:rPr>
          <w:b w:val="0"/>
          <w:i w:val="0"/>
        </w:rPr>
        <w:t>; at κa = 400 they give 0 and 0. The sweep itself reaches only κa = 96.72.</w:t>
      </w:r>
    </w:p>
    <w:p>
      <w:pPr>
        <w:pStyle w:val="ListBullet"/>
        <w:spacing w:after="40"/>
      </w:pPr>
      <w:r>
        <w:rPr>
          <w:b w:val="0"/>
          <w:i w:val="0"/>
        </w:rPr>
        <w:t>Sweep coverage. The grid is a fixed 5×5×5 set with E/V</w:t>
      </w:r>
      <w:r>
        <w:rPr>
          <w:b w:val="0"/>
          <w:i w:val="0"/>
          <w:vertAlign w:val="subscript"/>
        </w:rPr>
        <w:t>0</w:t>
      </w:r>
      <w:r>
        <w:rPr>
          <w:b w:val="0"/>
          <w:i w:val="0"/>
        </w:rPr>
        <w:t xml:space="preserve"> ≤ 0.89. It does not probe E very close to V</w:t>
      </w:r>
      <w:r>
        <w:rPr>
          <w:b w:val="0"/>
          <w:i w:val="0"/>
          <w:vertAlign w:val="subscript"/>
        </w:rPr>
        <w:t>0</w:t>
      </w:r>
      <w:r>
        <w:rPr>
          <w:b w:val="0"/>
          <w:i w:val="0"/>
        </w:rPr>
        <w:t>, and it contains no variation of the particle mass.</w:t>
      </w:r>
    </w:p>
    <w:p>
      <w:pPr>
        <w:pStyle w:val="ListBullet"/>
        <w:spacing w:after="40"/>
      </w:pPr>
      <w:r>
        <w:rPr>
          <w:b w:val="0"/>
          <w:i w:val="0"/>
        </w:rPr>
        <w:t>Known issue in the Streamlit app. Dragging the sliders quickly can start overlapping script reruns in different threads. Matplotlib's mathtext parser is not thread-safe, which previously printed transient ParseFatalException / ParseException errors in the terminal. The app now builds and renders each figure under a lock, and a multithreaded test covers this, but a long interactive session has not been used to confirm that the messages never reappear.</w:t>
      </w:r>
    </w:p>
    <w:p>
      <w:pPr>
        <w:pStyle w:val="Heading1"/>
      </w:pPr>
      <w:r>
        <w:t>6  Conclusion</w:t>
      </w:r>
    </w:p>
    <w:p>
      <w:pPr>
        <w:jc w:val="both"/>
      </w:pPr>
      <w:r>
        <w:rPr>
          <w:b w:val="0"/>
          <w:i w:val="0"/>
        </w:rPr>
        <w:t>For a single electron and a 1D rectangular barrier with 0 &lt; E &lt; V</w:t>
      </w:r>
      <w:r>
        <w:rPr>
          <w:b w:val="0"/>
          <w:i w:val="0"/>
          <w:vertAlign w:val="subscript"/>
        </w:rPr>
        <w:t>0</w:t>
      </w:r>
      <w:r>
        <w:rPr>
          <w:b w:val="0"/>
          <w:i w:val="0"/>
        </w:rPr>
        <w:t>, the closed-form transmission probability was derived and implemented, and independently reproduced by a direct 4×4 boundary-matching solve. Over 125 fixed parameter combinations the two agree to a maximum relative difference of 1.09×10</w:t>
      </w:r>
      <w:r>
        <w:rPr>
          <w:b w:val="0"/>
          <w:i w:val="0"/>
          <w:vertAlign w:val="superscript"/>
        </w:rPr>
        <w:t>−14</w:t>
      </w:r>
      <w:r>
        <w:rPr>
          <w:b w:val="0"/>
          <w:i w:val="0"/>
        </w:rPr>
        <w:t>. For V</w:t>
      </w:r>
      <w:r>
        <w:rPr>
          <w:b w:val="0"/>
          <w:i w:val="0"/>
          <w:vertAlign w:val="subscript"/>
        </w:rPr>
        <w:t>0</w:t>
      </w:r>
      <w:r>
        <w:rPr>
          <w:b w:val="0"/>
          <w:i w:val="0"/>
        </w:rPr>
        <w:t xml:space="preserve"> = 5 eV the computed T decreases with width and with barrier height, and increases with energy, with an approximately exponential dependence on width for thick barriers. These are expected consequences of the closed-form result, and the work should be read as a verified reimplementation of textbook physics. Extensions that would test the physics rather than the implementation include comparison with experimental data, a different numerical method (for example a time-dependent or finite-difference solution), and more realistic barrier shapes.</w:t>
      </w:r>
    </w:p>
    <w:p>
      <w:pPr>
        <w:pStyle w:val="Heading1"/>
      </w:pPr>
      <w:r>
        <w:t>7  References</w:t>
      </w:r>
    </w:p>
    <w:p>
      <w:pPr>
        <w:jc w:val="both"/>
      </w:pPr>
      <w:r>
        <w:rPr>
          <w:b w:val="0"/>
          <w:i w:val="0"/>
        </w:rPr>
        <w:t>[1]  D. J. Griffiths and D. F. Schroeter, Introduction to Quantum Mechanics, 3rd ed. (Cambridge University Press, 2018).</w:t>
      </w:r>
    </w:p>
    <w:p>
      <w:pPr>
        <w:jc w:val="both"/>
      </w:pPr>
      <w:r>
        <w:rPr>
          <w:b w:val="0"/>
          <w:i w:val="0"/>
        </w:rPr>
        <w:t>[2]  E. Tiesinga, P. J. Mohr, D. B. Newell and B. N. Taylor, CODATA recommended values of the fundamental physical constants: 2022 (National Institute of Standards and Technology; https://physics.nist.gov/cuu/Constants/).</w:t>
      </w:r>
    </w:p>
    <w:p>
      <w:pPr>
        <w:pStyle w:val="Heading1"/>
      </w:pPr>
      <w:r>
        <w:t>Appendix  Repository description</w:t>
      </w:r>
    </w:p>
    <w:p>
      <w:pPr>
        <w:jc w:val="both"/>
      </w:pPr>
      <w:r>
        <w:rPr>
          <w:b w:val="0"/>
          <w:i w:val="0"/>
        </w:rPr>
        <w:t>The report, the results and the figures can all be rebuilt from the repository. Files that existed when this report was generated are listed in Table 4.</w:t>
      </w:r>
    </w:p>
    <w:p>
      <w:pPr>
        <w:keepNext/>
        <w:spacing w:after="40"/>
      </w:pPr>
      <w:r>
        <w:rPr>
          <w:b/>
          <w:i w:val="0"/>
          <w:sz w:val="20"/>
        </w:rPr>
        <w:t xml:space="preserve">Table 4. </w:t>
      </w:r>
      <w:r>
        <w:rPr>
          <w:b w:val="0"/>
          <w:i w:val="0"/>
          <w:sz w:val="20"/>
        </w:rPr>
        <w:t>Repository contents.</w:t>
      </w:r>
    </w:p>
    <w:tbl>
      <w:tblPr>
        <w:tblStyle w:val="TableGrid"/>
        <w:tblW w:type="auto" w:w="0"/>
        <w:jc w:val="center"/>
        <w:tblLook w:firstColumn="1" w:firstRow="1" w:lastColumn="0" w:lastRow="0" w:noHBand="0" w:noVBand="1" w:val="04A0"/>
      </w:tblPr>
      <w:tblGrid>
        <w:gridCol w:w="4680"/>
        <w:gridCol w:w="4680"/>
      </w:tblGrid>
      <w:tr>
        <w:tc>
          <w:tcPr>
            <w:tcW w:type="dxa" w:w="3312"/>
          </w:tcPr>
          <w:p>
            <w:pPr>
              <w:spacing w:after="0"/>
            </w:pPr>
            <w:r/>
            <w:r>
              <w:rPr>
                <w:b/>
                <w:i w:val="0"/>
                <w:sz w:val="20"/>
              </w:rPr>
              <w:t>Path</w:t>
            </w:r>
          </w:p>
        </w:tc>
        <w:tc>
          <w:tcPr>
            <w:tcW w:type="dxa" w:w="6048"/>
          </w:tcPr>
          <w:p>
            <w:pPr>
              <w:spacing w:after="0"/>
            </w:pPr>
            <w:r/>
            <w:r>
              <w:rPr>
                <w:b/>
                <w:i w:val="0"/>
                <w:sz w:val="20"/>
              </w:rPr>
              <w:t>Purpose</w:t>
            </w:r>
          </w:p>
        </w:tc>
      </w:tr>
      <w:tr>
        <w:tc>
          <w:tcPr>
            <w:tcW w:type="dxa" w:w="3312"/>
          </w:tcPr>
          <w:p>
            <w:pPr>
              <w:spacing w:after="0"/>
            </w:pPr>
            <w:r/>
            <w:r>
              <w:rPr>
                <w:b w:val="0"/>
                <w:i w:val="0"/>
                <w:sz w:val="20"/>
              </w:rPr>
              <w:t>app.py</w:t>
            </w:r>
          </w:p>
        </w:tc>
        <w:tc>
          <w:tcPr>
            <w:tcW w:type="dxa" w:w="6048"/>
          </w:tcPr>
          <w:p>
            <w:pPr>
              <w:spacing w:after="0"/>
            </w:pPr>
            <w:r/>
            <w:r>
              <w:rPr>
                <w:b w:val="0"/>
                <w:i w:val="0"/>
                <w:sz w:val="20"/>
              </w:rPr>
              <w:t>Streamlit app: sliders, T/R metrics, T-versus-width plot, |ψ|</w:t>
            </w:r>
            <w:r>
              <w:rPr>
                <w:b w:val="0"/>
                <w:i w:val="0"/>
                <w:sz w:val="20"/>
                <w:vertAlign w:val="superscript"/>
              </w:rPr>
              <w:t>2</w:t>
            </w:r>
            <w:r>
              <w:rPr>
                <w:b w:val="0"/>
                <w:i w:val="0"/>
                <w:sz w:val="20"/>
              </w:rPr>
              <w:t xml:space="preserve"> plot</w:t>
            </w:r>
          </w:p>
        </w:tc>
      </w:tr>
      <w:tr>
        <w:tc>
          <w:tcPr>
            <w:tcW w:type="dxa" w:w="3312"/>
          </w:tcPr>
          <w:p>
            <w:pPr>
              <w:spacing w:after="0"/>
            </w:pPr>
            <w:r/>
            <w:r>
              <w:rPr>
                <w:b w:val="0"/>
                <w:i w:val="0"/>
                <w:sz w:val="20"/>
              </w:rPr>
              <w:t>requirements.txt</w:t>
            </w:r>
          </w:p>
        </w:tc>
        <w:tc>
          <w:tcPr>
            <w:tcW w:type="dxa" w:w="6048"/>
          </w:tcPr>
          <w:p>
            <w:pPr>
              <w:spacing w:after="0"/>
            </w:pPr>
            <w:r/>
            <w:r>
              <w:rPr>
                <w:b w:val="0"/>
                <w:i w:val="0"/>
                <w:sz w:val="20"/>
              </w:rPr>
              <w:t>Pinned Python dependencies</w:t>
            </w:r>
          </w:p>
        </w:tc>
      </w:tr>
      <w:tr>
        <w:tc>
          <w:tcPr>
            <w:tcW w:type="dxa" w:w="3312"/>
          </w:tcPr>
          <w:p>
            <w:pPr>
              <w:spacing w:after="0"/>
            </w:pPr>
            <w:r/>
            <w:r>
              <w:rPr>
                <w:b w:val="0"/>
                <w:i w:val="0"/>
                <w:sz w:val="20"/>
              </w:rPr>
              <w:t>src/constants.py</w:t>
            </w:r>
          </w:p>
        </w:tc>
        <w:tc>
          <w:tcPr>
            <w:tcW w:type="dxa" w:w="6048"/>
          </w:tcPr>
          <w:p>
            <w:pPr>
              <w:spacing w:after="0"/>
            </w:pPr>
            <w:r/>
            <w:r>
              <w:rPr>
                <w:b w:val="0"/>
                <w:i w:val="0"/>
                <w:sz w:val="20"/>
              </w:rPr>
              <w:t>ħ, h, m</w:t>
            </w:r>
            <w:r>
              <w:rPr>
                <w:b w:val="0"/>
                <w:i w:val="0"/>
                <w:sz w:val="20"/>
                <w:vertAlign w:val="subscript"/>
              </w:rPr>
              <w:t>e</w:t>
            </w:r>
            <w:r>
              <w:rPr>
                <w:b w:val="0"/>
                <w:i w:val="0"/>
                <w:sz w:val="20"/>
              </w:rPr>
              <w:t>, e; eV↔J and nm↔m conversions</w:t>
            </w:r>
          </w:p>
        </w:tc>
      </w:tr>
      <w:tr>
        <w:tc>
          <w:tcPr>
            <w:tcW w:type="dxa" w:w="3312"/>
          </w:tcPr>
          <w:p>
            <w:pPr>
              <w:spacing w:after="0"/>
            </w:pPr>
            <w:r/>
            <w:r>
              <w:rPr>
                <w:b w:val="0"/>
                <w:i w:val="0"/>
                <w:sz w:val="20"/>
              </w:rPr>
              <w:t>src/analytic.py</w:t>
            </w:r>
          </w:p>
        </w:tc>
        <w:tc>
          <w:tcPr>
            <w:tcW w:type="dxa" w:w="6048"/>
          </w:tcPr>
          <w:p>
            <w:pPr>
              <w:spacing w:after="0"/>
            </w:pPr>
            <w:r/>
            <w:r>
              <w:rPr>
                <w:b w:val="0"/>
                <w:i w:val="0"/>
                <w:sz w:val="20"/>
              </w:rPr>
              <w:t>transmission_analytic: closed form evaluated in log space</w:t>
            </w:r>
          </w:p>
        </w:tc>
      </w:tr>
      <w:tr>
        <w:tc>
          <w:tcPr>
            <w:tcW w:type="dxa" w:w="3312"/>
          </w:tcPr>
          <w:p>
            <w:pPr>
              <w:spacing w:after="0"/>
            </w:pPr>
            <w:r/>
            <w:r>
              <w:rPr>
                <w:b w:val="0"/>
                <w:i w:val="0"/>
                <w:sz w:val="20"/>
              </w:rPr>
              <w:t>src/numeric.py</w:t>
            </w:r>
          </w:p>
        </w:tc>
        <w:tc>
          <w:tcPr>
            <w:tcW w:type="dxa" w:w="6048"/>
          </w:tcPr>
          <w:p>
            <w:pPr>
              <w:spacing w:after="0"/>
            </w:pPr>
            <w:r/>
            <w:r>
              <w:rPr>
                <w:b w:val="0"/>
                <w:i w:val="0"/>
                <w:sz w:val="20"/>
              </w:rPr>
              <w:t>transmission_numeric (T, R) and wavefunction_numeric: 4×4 boundary-matching solver</w:t>
            </w:r>
          </w:p>
        </w:tc>
      </w:tr>
      <w:tr>
        <w:tc>
          <w:tcPr>
            <w:tcW w:type="dxa" w:w="3312"/>
          </w:tcPr>
          <w:p>
            <w:pPr>
              <w:spacing w:after="0"/>
            </w:pPr>
            <w:r/>
            <w:r>
              <w:rPr>
                <w:b w:val="0"/>
                <w:i w:val="0"/>
                <w:sz w:val="20"/>
              </w:rPr>
              <w:t>src/sweeps.py</w:t>
            </w:r>
          </w:p>
        </w:tc>
        <w:tc>
          <w:tcPr>
            <w:tcW w:type="dxa" w:w="6048"/>
          </w:tcPr>
          <w:p>
            <w:pPr>
              <w:spacing w:after="0"/>
            </w:pPr>
            <w:r/>
            <w:r>
              <w:rPr>
                <w:b w:val="0"/>
                <w:i w:val="0"/>
                <w:sz w:val="20"/>
              </w:rPr>
              <w:t>125-combination comparison; writes results/comparison.csv</w:t>
            </w:r>
          </w:p>
        </w:tc>
      </w:tr>
      <w:tr>
        <w:tc>
          <w:tcPr>
            <w:tcW w:type="dxa" w:w="3312"/>
          </w:tcPr>
          <w:p>
            <w:pPr>
              <w:spacing w:after="0"/>
            </w:pPr>
            <w:r/>
            <w:r>
              <w:rPr>
                <w:b w:val="0"/>
                <w:i w:val="0"/>
                <w:sz w:val="20"/>
              </w:rPr>
              <w:t>src/plots.py</w:t>
            </w:r>
          </w:p>
        </w:tc>
        <w:tc>
          <w:tcPr>
            <w:tcW w:type="dxa" w:w="6048"/>
          </w:tcPr>
          <w:p>
            <w:pPr>
              <w:spacing w:after="0"/>
            </w:pPr>
            <w:r/>
            <w:r>
              <w:rPr>
                <w:b w:val="0"/>
                <w:i w:val="0"/>
                <w:sz w:val="20"/>
              </w:rPr>
              <w:t>6 figures to results/figures/</w:t>
            </w:r>
          </w:p>
        </w:tc>
      </w:tr>
      <w:tr>
        <w:tc>
          <w:tcPr>
            <w:tcW w:type="dxa" w:w="3312"/>
          </w:tcPr>
          <w:p>
            <w:pPr>
              <w:spacing w:after="0"/>
            </w:pPr>
            <w:r/>
            <w:r>
              <w:rPr>
                <w:b w:val="0"/>
                <w:i w:val="0"/>
                <w:sz w:val="20"/>
              </w:rPr>
              <w:t>src/make_report.py</w:t>
            </w:r>
          </w:p>
        </w:tc>
        <w:tc>
          <w:tcPr>
            <w:tcW w:type="dxa" w:w="6048"/>
          </w:tcPr>
          <w:p>
            <w:pPr>
              <w:spacing w:after="0"/>
            </w:pPr>
            <w:r/>
            <w:r>
              <w:rPr>
                <w:b w:val="0"/>
                <w:i w:val="0"/>
                <w:sz w:val="20"/>
              </w:rPr>
              <w:t>Generates this Word document</w:t>
            </w:r>
          </w:p>
        </w:tc>
      </w:tr>
      <w:tr>
        <w:tc>
          <w:tcPr>
            <w:tcW w:type="dxa" w:w="3312"/>
          </w:tcPr>
          <w:p>
            <w:pPr>
              <w:spacing w:after="0"/>
            </w:pPr>
            <w:r/>
            <w:r>
              <w:rPr>
                <w:b w:val="0"/>
                <w:i w:val="0"/>
                <w:sz w:val="20"/>
              </w:rPr>
              <w:t>tests/</w:t>
            </w:r>
          </w:p>
        </w:tc>
        <w:tc>
          <w:tcPr>
            <w:tcW w:type="dxa" w:w="6048"/>
          </w:tcPr>
          <w:p>
            <w:pPr>
              <w:spacing w:after="0"/>
            </w:pPr>
            <w:r/>
            <w:r>
              <w:rPr>
                <w:b w:val="0"/>
                <w:i w:val="0"/>
                <w:sz w:val="20"/>
              </w:rPr>
              <w:t>pytest suite (Table 1)</w:t>
            </w:r>
          </w:p>
        </w:tc>
      </w:tr>
      <w:tr>
        <w:tc>
          <w:tcPr>
            <w:tcW w:type="dxa" w:w="3312"/>
          </w:tcPr>
          <w:p>
            <w:pPr>
              <w:spacing w:after="0"/>
            </w:pPr>
            <w:r/>
            <w:r>
              <w:rPr>
                <w:b w:val="0"/>
                <w:i w:val="0"/>
                <w:sz w:val="20"/>
              </w:rPr>
              <w:t>results/comparison.csv</w:t>
            </w:r>
          </w:p>
        </w:tc>
        <w:tc>
          <w:tcPr>
            <w:tcW w:type="dxa" w:w="6048"/>
          </w:tcPr>
          <w:p>
            <w:pPr>
              <w:spacing w:after="0"/>
            </w:pPr>
            <w:r/>
            <w:r>
              <w:rPr>
                <w:b w:val="0"/>
                <w:i w:val="0"/>
                <w:sz w:val="20"/>
              </w:rPr>
              <w:t>Sweep output used in Section 4.5</w:t>
            </w:r>
          </w:p>
        </w:tc>
      </w:tr>
      <w:tr>
        <w:tc>
          <w:tcPr>
            <w:tcW w:type="dxa" w:w="3312"/>
          </w:tcPr>
          <w:p>
            <w:pPr>
              <w:spacing w:after="0"/>
            </w:pPr>
            <w:r/>
            <w:r>
              <w:rPr>
                <w:b w:val="0"/>
                <w:i w:val="0"/>
                <w:sz w:val="20"/>
              </w:rPr>
              <w:t>results/figures/</w:t>
            </w:r>
          </w:p>
        </w:tc>
        <w:tc>
          <w:tcPr>
            <w:tcW w:type="dxa" w:w="6048"/>
          </w:tcPr>
          <w:p>
            <w:pPr>
              <w:spacing w:after="0"/>
            </w:pPr>
            <w:r/>
            <w:r>
              <w:rPr>
                <w:b w:val="0"/>
                <w:i w:val="0"/>
                <w:sz w:val="20"/>
              </w:rPr>
              <w:t>fig1 … fig6 (PNG)</w:t>
            </w:r>
          </w:p>
        </w:tc>
      </w:tr>
      <w:tr>
        <w:tc>
          <w:tcPr>
            <w:tcW w:type="dxa" w:w="3312"/>
          </w:tcPr>
          <w:p>
            <w:pPr>
              <w:spacing w:after="0"/>
            </w:pPr>
            <w:r/>
            <w:r>
              <w:rPr>
                <w:b w:val="0"/>
                <w:i w:val="0"/>
                <w:sz w:val="20"/>
              </w:rPr>
              <w:t>report/quantum_tunneling_report.docx</w:t>
            </w:r>
          </w:p>
        </w:tc>
        <w:tc>
          <w:tcPr>
            <w:tcW w:type="dxa" w:w="6048"/>
          </w:tcPr>
          <w:p>
            <w:pPr>
              <w:spacing w:after="0"/>
            </w:pPr>
            <w:r/>
            <w:r>
              <w:rPr>
                <w:b w:val="0"/>
                <w:i w:val="0"/>
                <w:sz w:val="20"/>
              </w:rPr>
              <w:t>This report</w:t>
            </w:r>
          </w:p>
        </w:tc>
      </w:tr>
    </w:tbl>
    <w:p>
      <w:pPr>
        <w:spacing w:after="40"/>
      </w:pPr>
    </w:p>
    <w:p>
      <w:pPr>
        <w:jc w:val="both"/>
      </w:pPr>
      <w:r>
        <w:rPr>
          <w:b w:val="0"/>
          <w:i w:val="0"/>
        </w:rPr>
        <w:t>To rebuild everything from the project root with the project's virtual environment active:</w:t>
      </w:r>
    </w:p>
    <w:p>
      <w:pPr>
        <w:spacing w:after="0"/>
        <w:ind w:left="576"/>
      </w:pPr>
      <w:r>
        <w:rPr>
          <w:rFonts w:ascii="Consolas" w:hAnsi="Consolas"/>
          <w:sz w:val="20"/>
        </w:rPr>
        <w:t>python -m pytest</w:t>
      </w:r>
    </w:p>
    <w:p>
      <w:pPr>
        <w:spacing w:after="0"/>
        <w:ind w:left="576"/>
      </w:pPr>
      <w:r>
        <w:rPr>
          <w:rFonts w:ascii="Consolas" w:hAnsi="Consolas"/>
          <w:sz w:val="20"/>
        </w:rPr>
        <w:t>python -m src.sweeps</w:t>
      </w:r>
    </w:p>
    <w:p>
      <w:pPr>
        <w:spacing w:after="0"/>
        <w:ind w:left="576"/>
      </w:pPr>
      <w:r>
        <w:rPr>
          <w:rFonts w:ascii="Consolas" w:hAnsi="Consolas"/>
          <w:sz w:val="20"/>
        </w:rPr>
        <w:t>python -m src.plots</w:t>
      </w:r>
    </w:p>
    <w:p>
      <w:pPr>
        <w:spacing w:after="0"/>
        <w:ind w:left="576"/>
      </w:pPr>
      <w:r>
        <w:rPr>
          <w:rFonts w:ascii="Consolas" w:hAnsi="Consolas"/>
          <w:sz w:val="20"/>
        </w:rPr>
        <w:t>python -m src.make_report</w:t>
      </w:r>
    </w:p>
    <w:p>
      <w:pPr>
        <w:spacing w:after="0"/>
        <w:ind w:left="576"/>
      </w:pPr>
      <w:r>
        <w:rPr>
          <w:rFonts w:ascii="Consolas" w:hAnsi="Consolas"/>
          <w:sz w:val="20"/>
        </w:rPr>
        <w:t>python -m streamlit run app.py --server.port 8765</w:t>
      </w:r>
    </w:p>
    <w:p/>
    <w:p>
      <w:pPr>
        <w:pStyle w:val="Heading2"/>
      </w:pPr>
      <w:r>
        <w:t>Authorship and AI assistance</w:t>
      </w:r>
    </w:p>
    <w:p>
      <w:pPr>
        <w:jc w:val="both"/>
      </w:pPr>
      <w:r>
        <w:rPr>
          <w:b w:val="0"/>
          <w:i w:val="0"/>
        </w:rPr>
        <w:t>[ERNIE: describe what you wrote yourself and where AI assisted]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