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 Control Policy Template</w:t>
      </w:r>
    </w:p>
    <w:p>
      <w:pPr>
        <w:pStyle w:val="Heading2"/>
      </w:pPr>
      <w:r>
        <w:t>Purpose</w:t>
      </w:r>
    </w:p>
    <w:p>
      <w:pPr/>
      <w:r>
        <w:t>This policy defines requirements for secure access to information systems and data assets managed by the organization.</w:t>
      </w:r>
    </w:p>
    <w:p>
      <w:pPr>
        <w:pStyle w:val="Heading2"/>
      </w:pPr>
      <w:r>
        <w:t>Scope</w:t>
      </w:r>
    </w:p>
    <w:p>
      <w:pPr/>
      <w:r>
        <w:t>Applies to all employees, contractors, and third-party users accessing systems or data owned or operated by the organization.</w:t>
      </w:r>
    </w:p>
    <w:p>
      <w:pPr>
        <w:pStyle w:val="Heading2"/>
      </w:pPr>
      <w:r>
        <w:t>Policy</w:t>
      </w:r>
    </w:p>
    <w:p>
      <w:pPr/>
      <w:r>
        <w:t>Access shall be granted based on the principle of least privilege.</w:t>
      </w:r>
    </w:p>
    <w:p>
      <w:pPr/>
      <w:r>
        <w:t>Role-based access control (RBAC) must be used where applicable.</w:t>
      </w:r>
    </w:p>
    <w:p>
      <w:pPr/>
      <w:r>
        <w:t>Multi-factor authentication (MFA) is required for all remote access.</w:t>
      </w:r>
    </w:p>
    <w:p>
      <w:pPr/>
      <w:r>
        <w:t>All access requests and approvals must be documented and reviewed quarterly.</w:t>
      </w:r>
    </w:p>
    <w:p>
      <w:pPr>
        <w:pStyle w:val="Heading2"/>
      </w:pPr>
      <w:r>
        <w:t>Enforcement</w:t>
      </w:r>
    </w:p>
    <w:p>
      <w:pPr/>
      <w:r>
        <w:t>Violations may result in disciplinary action, including revocation of access privileges or termination of contract.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