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Selected Cybersecurity GRC Projects</w:t>
      </w:r>
    </w:p>
    <w:p>
      <w:pPr>
        <w:pStyle w:val="Heading2"/>
      </w:pPr>
      <w:r>
        <w:t>ISO 27001 Gap Assessment – Financial Services</w:t>
      </w:r>
    </w:p>
    <w:p>
      <w:pPr>
        <w:pStyle w:val="ListBullet"/>
      </w:pPr>
      <w:r>
        <w:t>• Performed a full ISO 27001 readiness audit for a small financial services provider, covering 8 control domains.</w:t>
      </w:r>
    </w:p>
    <w:p>
      <w:pPr>
        <w:pStyle w:val="ListBullet"/>
      </w:pPr>
      <w:r>
        <w:t>• Identified 18 key control gaps and developed a remediation roadmap aligned with Annex A and NIST CSF references.</w:t>
      </w:r>
    </w:p>
    <w:p>
      <w:pPr>
        <w:pStyle w:val="ListBullet"/>
      </w:pPr>
      <w:r>
        <w:t>• Drafted foundational cybersecurity policies, including access control, asset management, and incident response.</w:t>
      </w:r>
    </w:p>
    <w:p>
      <w:pPr>
        <w:pStyle w:val="ListBullet"/>
      </w:pPr>
      <w:r>
        <w:t>• Outcome: Client achieved Stage 1 audit clearance within 60 days of roadmap implementation.</w:t>
      </w:r>
    </w:p>
    <w:p>
      <w:pPr>
        <w:pStyle w:val="Heading2"/>
      </w:pPr>
      <w:r>
        <w:t>Third-Party Risk Framework – SaaS Startup</w:t>
      </w:r>
    </w:p>
    <w:p>
      <w:pPr>
        <w:pStyle w:val="ListBullet"/>
      </w:pPr>
      <w:r>
        <w:t>• Designed a tailored third-party risk evaluation framework based on CIS Controls.</w:t>
      </w:r>
    </w:p>
    <w:p>
      <w:pPr>
        <w:pStyle w:val="ListBullet"/>
      </w:pPr>
      <w:r>
        <w:t>• Assessed 7 cloud-based vendors for compliance posture, data protection measures, and supply chain security risks.</w:t>
      </w:r>
    </w:p>
    <w:p>
      <w:pPr>
        <w:pStyle w:val="ListBullet"/>
      </w:pPr>
      <w:r>
        <w:t>• Produced risk scorecards and defined thresholds for risk acceptance and remediation.</w:t>
      </w:r>
    </w:p>
    <w:p>
      <w:pPr>
        <w:pStyle w:val="ListBullet"/>
      </w:pPr>
      <w:r>
        <w:t>• Outcome: Guided client to reject two high-risk vendors, strengthening procurement due diligence.</w:t>
      </w:r>
    </w:p>
    <w:p>
      <w:pPr>
        <w:pStyle w:val="Heading2"/>
      </w:pPr>
      <w:r>
        <w:t>Security Governance – Telecom Equipment Integration</w:t>
      </w:r>
    </w:p>
    <w:p>
      <w:pPr>
        <w:pStyle w:val="ListBullet"/>
      </w:pPr>
      <w:r>
        <w:t>• Oversaw secure integration practices during 5G and LTE rollout projects across 60+ cell sites.</w:t>
      </w:r>
    </w:p>
    <w:p>
      <w:pPr>
        <w:pStyle w:val="ListBullet"/>
      </w:pPr>
      <w:r>
        <w:t>• Reviewed Change Requests and Scope of Work (SoW) documentation for security exposure and compliance alignment.</w:t>
      </w:r>
    </w:p>
    <w:p>
      <w:pPr>
        <w:pStyle w:val="ListBullet"/>
      </w:pPr>
      <w:r>
        <w:t>• Established IAM baselines and secure configuration checklists in line with internal cybersecurity policy.</w:t>
      </w:r>
    </w:p>
    <w:p>
      <w:pPr>
        <w:pStyle w:val="ListBullet"/>
      </w:pPr>
      <w:r>
        <w:t>• Outcome: Reduced misconfiguration and deployment risks across multiple integration activities.</w:t>
      </w:r>
    </w:p>
    <w:p>
      <w:pPr>
        <w:pStyle w:val="Heading2"/>
      </w:pPr>
      <w:r>
        <w:t>NIST CSF Maturity Assessment – Nonprofit Organization</w:t>
      </w:r>
    </w:p>
    <w:p>
      <w:pPr>
        <w:pStyle w:val="ListBullet"/>
      </w:pPr>
      <w:r>
        <w:t>• Conducted a cybersecurity maturity assessment based on the NIST Cybersecurity Framework.</w:t>
      </w:r>
    </w:p>
    <w:p>
      <w:pPr>
        <w:pStyle w:val="ListBullet"/>
      </w:pPr>
      <w:r>
        <w:t>• Assessed capabilities across Identify, Protect, Detect, Respond, and Recover functions.</w:t>
      </w:r>
    </w:p>
    <w:p>
      <w:pPr>
        <w:pStyle w:val="ListBullet"/>
      </w:pPr>
      <w:r>
        <w:t>• Provided a targeted improvement plan and conducted security awareness training for non-technical staff.</w:t>
      </w:r>
    </w:p>
    <w:p>
      <w:pPr>
        <w:pStyle w:val="ListBullet"/>
      </w:pPr>
      <w:r>
        <w:t>• Outcome: Increased security awareness score by 30% in post-training evaluations.</w:t>
      </w:r>
    </w:p>
    <w:sectPr w:rsidR="00FC693F" w:rsidRPr="0006063C" w:rsidSect="00034616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