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Incident Response Policy Template</w:t>
      </w:r>
    </w:p>
    <w:p>
      <w:pPr>
        <w:pStyle w:val="Heading2"/>
      </w:pPr>
      <w:r>
        <w:t>Purpose</w:t>
      </w:r>
    </w:p>
    <w:p>
      <w:pPr/>
      <w:r>
        <w:t>This policy establishes guidelines for responding to cybersecurity incidents that affect the confidentiality, integrity, or availability of systems or data.</w:t>
      </w:r>
    </w:p>
    <w:p>
      <w:pPr>
        <w:pStyle w:val="Heading2"/>
      </w:pPr>
      <w:r>
        <w:t>Scope</w:t>
      </w:r>
    </w:p>
    <w:p>
      <w:pPr/>
      <w:r>
        <w:t>Applies to all systems, networks, personnel, and vendors interacting with the organization’s IT infrastructure.</w:t>
      </w:r>
    </w:p>
    <w:p>
      <w:pPr>
        <w:pStyle w:val="Heading2"/>
      </w:pPr>
      <w:r>
        <w:t>Policy</w:t>
      </w:r>
    </w:p>
    <w:p>
      <w:pPr/>
      <w:r>
        <w:t>All incidents must be reported within 1 hour of discovery to the cybersecurity point of contact.</w:t>
      </w:r>
    </w:p>
    <w:p>
      <w:pPr/>
      <w:r>
        <w:t>An incident response team (IRT) must be assembled within 4 hours of confirmed incidents.</w:t>
      </w:r>
    </w:p>
    <w:p>
      <w:pPr/>
      <w:r>
        <w:t>All incidents must be logged, classified, and reviewed for lessons learned.</w:t>
      </w:r>
    </w:p>
    <w:p>
      <w:pPr/>
      <w:r>
        <w:t>Post-incident reviews shall be completed within 7 business days.</w:t>
      </w:r>
    </w:p>
    <w:p>
      <w:pPr>
        <w:pStyle w:val="Heading2"/>
      </w:pPr>
      <w:r>
        <w:t>Roles and Responsibilities</w:t>
      </w:r>
    </w:p>
    <w:p>
      <w:pPr/>
      <w:r>
        <w:t>IRT Lead: Coordinate investigation and recovery efforts.</w:t>
      </w:r>
    </w:p>
    <w:p>
      <w:pPr/>
      <w:r>
        <w:t>IT Team: Support containment, eradication, and recovery activities.</w:t>
      </w:r>
    </w:p>
    <w:p>
      <w:pPr/>
      <w:r>
        <w:t>Compliance Officer: Ensure documentation aligns with regulatory requirements.</w:t>
      </w:r>
    </w:p>
    <w:sectPr w:rsidR="00FC693F" w:rsidRPr="0006063C" w:rsidSect="0003461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