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82633" w14:textId="77777777" w:rsidR="0076281E" w:rsidRDefault="0076281E" w:rsidP="0076281E">
      <w:pPr>
        <w:rPr>
          <w:rFonts w:eastAsia="MS PMincho" w:cs="Times New Roman"/>
          <w:b/>
          <w:bCs/>
          <w:caps/>
          <w:color w:val="262626"/>
          <w:sz w:val="56"/>
          <w:szCs w:val="72"/>
          <w:lang w:val="en-US" w:eastAsia="ja-JP"/>
        </w:rPr>
      </w:pPr>
    </w:p>
    <w:p w14:paraId="209E4314" w14:textId="77777777" w:rsidR="0076281E" w:rsidRDefault="0076281E" w:rsidP="0076281E">
      <w:pPr>
        <w:rPr>
          <w:rFonts w:eastAsia="MS PMincho" w:cs="Times New Roman"/>
          <w:b/>
          <w:bCs/>
          <w:caps/>
          <w:color w:val="262626"/>
          <w:sz w:val="56"/>
          <w:szCs w:val="72"/>
          <w:lang w:val="en-US" w:eastAsia="ja-JP"/>
        </w:rPr>
      </w:pPr>
    </w:p>
    <w:p w14:paraId="728013DB" w14:textId="77777777" w:rsidR="0076281E" w:rsidRDefault="0076281E" w:rsidP="0076281E">
      <w:pPr>
        <w:jc w:val="center"/>
        <w:rPr>
          <w:rFonts w:eastAsia="MS PMincho" w:cs="Times New Roman"/>
          <w:b/>
          <w:bCs/>
          <w:caps/>
          <w:color w:val="262626"/>
          <w:sz w:val="56"/>
          <w:szCs w:val="72"/>
          <w:lang w:val="en-US" w:eastAsia="ja-JP"/>
        </w:rPr>
      </w:pPr>
      <w:r>
        <w:rPr>
          <w:rFonts w:eastAsia="MS PMincho" w:cs="Times New Roman"/>
          <w:b/>
          <w:bCs/>
          <w:caps/>
          <w:color w:val="262626"/>
          <w:sz w:val="56"/>
          <w:szCs w:val="72"/>
          <w:lang w:val="en-US" w:eastAsia="ja-JP"/>
        </w:rPr>
        <w:t>&lt;redacted&gt; threat and risk assessment Report</w:t>
      </w:r>
    </w:p>
    <w:p w14:paraId="36869E3D" w14:textId="77777777" w:rsidR="0076281E" w:rsidRDefault="0076281E" w:rsidP="0076281E">
      <w:pPr>
        <w:spacing w:line="278" w:lineRule="auto"/>
        <w:rPr>
          <w:rFonts w:ascii="Cambria" w:eastAsiaTheme="majorEastAsia" w:hAnsi="Cambria" w:cstheme="majorHAnsi"/>
          <w:b/>
          <w:bCs/>
          <w:color w:val="0F4761" w:themeColor="accent1" w:themeShade="BF"/>
          <w:sz w:val="28"/>
          <w:szCs w:val="28"/>
        </w:rPr>
      </w:pPr>
      <w:r>
        <w:rPr>
          <w:rFonts w:ascii="Cambria" w:hAnsi="Cambria" w:cstheme="majorHAnsi"/>
          <w:b/>
          <w:bCs/>
          <w:sz w:val="28"/>
          <w:szCs w:val="28"/>
        </w:rPr>
        <w:br w:type="page"/>
      </w:r>
    </w:p>
    <w:p w14:paraId="6571505E" w14:textId="77777777" w:rsidR="0076281E" w:rsidRPr="00980205" w:rsidRDefault="0076281E" w:rsidP="0076281E">
      <w:pPr>
        <w:pStyle w:val="Heading1"/>
        <w:rPr>
          <w:rFonts w:ascii="Cambria" w:hAnsi="Cambria" w:cstheme="majorHAnsi"/>
          <w:b/>
          <w:bCs/>
          <w:sz w:val="28"/>
          <w:szCs w:val="28"/>
        </w:rPr>
      </w:pPr>
      <w:r w:rsidRPr="00980205">
        <w:rPr>
          <w:rFonts w:ascii="Cambria" w:hAnsi="Cambria" w:cstheme="majorHAnsi"/>
          <w:b/>
          <w:bCs/>
          <w:sz w:val="28"/>
          <w:szCs w:val="28"/>
        </w:rPr>
        <w:lastRenderedPageBreak/>
        <w:t>Executive Summary</w:t>
      </w:r>
    </w:p>
    <w:p w14:paraId="4725078E" w14:textId="77777777" w:rsidR="0076281E" w:rsidRPr="0076281E" w:rsidRDefault="0076281E" w:rsidP="0076281E">
      <w:pPr>
        <w:pStyle w:val="HivintHeading1"/>
        <w:spacing w:line="276" w:lineRule="auto"/>
        <w:rPr>
          <w:rFonts w:asciiTheme="majorHAnsi" w:hAnsiTheme="majorHAnsi" w:cstheme="majorHAnsi"/>
          <w:b w:val="0"/>
          <w:bCs/>
          <w:color w:val="auto"/>
          <w:sz w:val="22"/>
          <w:szCs w:val="22"/>
        </w:rPr>
      </w:pPr>
      <w:r w:rsidRPr="0076281E">
        <w:rPr>
          <w:rFonts w:asciiTheme="majorHAnsi" w:hAnsiTheme="majorHAnsi" w:cstheme="majorHAnsi"/>
          <w:b w:val="0"/>
          <w:bCs/>
          <w:color w:val="auto"/>
          <w:sz w:val="22"/>
          <w:szCs w:val="22"/>
        </w:rPr>
        <w:t>Four key risks were identified that exceeded &lt;REDACTED&gt; moderate risk tolerance. These include flat network architecture, weak authentication mechanisms, inadequate incident response preparedness, and uncertainty regarding PCI DSS compliance. Each of these areas poses an immediate threat to business continuity, data privacy, and regulatory obligations.</w:t>
      </w:r>
      <w:r w:rsidRPr="0076281E">
        <w:rPr>
          <w:rFonts w:asciiTheme="majorHAnsi" w:hAnsiTheme="majorHAnsi" w:cstheme="majorHAnsi"/>
          <w:b w:val="0"/>
          <w:bCs/>
          <w:color w:val="auto"/>
          <w:sz w:val="22"/>
          <w:szCs w:val="22"/>
        </w:rPr>
        <w:br/>
      </w:r>
      <w:r w:rsidRPr="0076281E">
        <w:rPr>
          <w:rFonts w:asciiTheme="majorHAnsi" w:hAnsiTheme="majorHAnsi" w:cstheme="majorHAnsi"/>
          <w:b w:val="0"/>
          <w:bCs/>
          <w:color w:val="auto"/>
          <w:sz w:val="22"/>
          <w:szCs w:val="22"/>
        </w:rPr>
        <w:br/>
        <w:t>Recommendations have been provided to mitigate these risks and strengthen &lt;REDACTED&gt; cybersecurity posture.</w:t>
      </w:r>
    </w:p>
    <w:p w14:paraId="729FB184" w14:textId="77777777" w:rsidR="0076281E" w:rsidRDefault="0076281E" w:rsidP="0076281E">
      <w:pPr>
        <w:pStyle w:val="HivintHeading1"/>
        <w:spacing w:line="276" w:lineRule="auto"/>
        <w:rPr>
          <w:rFonts w:ascii="Cambria" w:hAnsi="Cambria" w:cstheme="majorHAnsi"/>
          <w:color w:val="BF4E14" w:themeColor="accent2" w:themeShade="BF"/>
        </w:rPr>
      </w:pPr>
    </w:p>
    <w:p w14:paraId="736A1A79" w14:textId="77777777" w:rsidR="0076281E" w:rsidRDefault="0076281E" w:rsidP="0076281E">
      <w:pPr>
        <w:pStyle w:val="HivintHeading1"/>
        <w:spacing w:line="276" w:lineRule="auto"/>
        <w:rPr>
          <w:rFonts w:asciiTheme="majorHAnsi" w:hAnsiTheme="majorHAnsi" w:cstheme="majorHAnsi"/>
          <w:b w:val="0"/>
          <w:bCs/>
          <w:color w:val="auto"/>
          <w:sz w:val="22"/>
          <w:szCs w:val="22"/>
        </w:rPr>
      </w:pPr>
      <w:r>
        <w:rPr>
          <w:rFonts w:ascii="Cambria" w:hAnsi="Cambria" w:cstheme="majorHAnsi"/>
          <w:color w:val="BF4E14" w:themeColor="accent2" w:themeShade="BF"/>
        </w:rPr>
        <w:t>Introduction</w:t>
      </w:r>
      <w:r>
        <w:rPr>
          <w:rFonts w:asciiTheme="majorHAnsi" w:hAnsiTheme="majorHAnsi" w:cstheme="majorHAnsi"/>
          <w:b w:val="0"/>
          <w:bCs/>
          <w:color w:val="auto"/>
          <w:sz w:val="22"/>
          <w:szCs w:val="22"/>
        </w:rPr>
        <w:t xml:space="preserve">                                        </w:t>
      </w:r>
    </w:p>
    <w:p w14:paraId="48868805" w14:textId="4C8113A7" w:rsidR="0076281E" w:rsidRPr="00980205" w:rsidRDefault="0076281E" w:rsidP="0076281E">
      <w:pPr>
        <w:pStyle w:val="HivintHeading1"/>
        <w:spacing w:line="276" w:lineRule="auto"/>
        <w:rPr>
          <w:rFonts w:asciiTheme="majorHAnsi" w:hAnsiTheme="majorHAnsi" w:cstheme="majorHAnsi"/>
          <w:b w:val="0"/>
          <w:bCs/>
          <w:color w:val="auto"/>
          <w:sz w:val="22"/>
          <w:szCs w:val="22"/>
        </w:rPr>
      </w:pPr>
      <w:r w:rsidRPr="00980205">
        <w:rPr>
          <w:rFonts w:asciiTheme="majorHAnsi" w:hAnsiTheme="majorHAnsi" w:cstheme="majorHAnsi"/>
          <w:b w:val="0"/>
          <w:bCs/>
          <w:color w:val="auto"/>
          <w:sz w:val="22"/>
          <w:szCs w:val="22"/>
        </w:rPr>
        <w:t xml:space="preserve">To establish the current risk exposure to </w:t>
      </w:r>
      <w:r>
        <w:rPr>
          <w:rFonts w:asciiTheme="majorHAnsi" w:hAnsiTheme="majorHAnsi" w:cstheme="majorHAnsi"/>
          <w:b w:val="0"/>
          <w:bCs/>
          <w:color w:val="auto"/>
          <w:sz w:val="22"/>
          <w:szCs w:val="22"/>
        </w:rPr>
        <w:t>&lt;REDACTED&gt;</w:t>
      </w:r>
      <w:r w:rsidRPr="00980205">
        <w:rPr>
          <w:rFonts w:asciiTheme="majorHAnsi" w:hAnsiTheme="majorHAnsi" w:cstheme="majorHAnsi"/>
          <w:b w:val="0"/>
          <w:bCs/>
          <w:color w:val="auto"/>
          <w:sz w:val="22"/>
          <w:szCs w:val="22"/>
        </w:rPr>
        <w:t xml:space="preserve"> networks, systems, and information assets, </w:t>
      </w:r>
      <w:r>
        <w:rPr>
          <w:rFonts w:asciiTheme="majorHAnsi" w:hAnsiTheme="majorHAnsi" w:cstheme="majorHAnsi"/>
          <w:b w:val="0"/>
          <w:bCs/>
          <w:color w:val="auto"/>
          <w:sz w:val="22"/>
          <w:szCs w:val="22"/>
        </w:rPr>
        <w:t>&lt;REDACTED&gt;</w:t>
      </w:r>
      <w:r w:rsidRPr="00980205">
        <w:rPr>
          <w:rFonts w:asciiTheme="majorHAnsi" w:hAnsiTheme="majorHAnsi" w:cstheme="majorHAnsi"/>
          <w:b w:val="0"/>
          <w:bCs/>
          <w:color w:val="auto"/>
          <w:sz w:val="22"/>
          <w:szCs w:val="22"/>
        </w:rPr>
        <w:t xml:space="preserve">was engaged to undertake a cybersecurity risk assessment. This was performed via a review of the organisation’s Information Security Policy and an interview with </w:t>
      </w:r>
      <w:r>
        <w:rPr>
          <w:rFonts w:asciiTheme="majorHAnsi" w:hAnsiTheme="majorHAnsi" w:cstheme="majorHAnsi"/>
          <w:b w:val="0"/>
          <w:bCs/>
          <w:color w:val="auto"/>
          <w:sz w:val="22"/>
          <w:szCs w:val="22"/>
        </w:rPr>
        <w:t>&lt;REDACTED&gt;</w:t>
      </w:r>
      <w:r w:rsidRPr="00980205">
        <w:rPr>
          <w:rFonts w:asciiTheme="majorHAnsi" w:hAnsiTheme="majorHAnsi" w:cstheme="majorHAnsi"/>
          <w:b w:val="0"/>
          <w:bCs/>
          <w:color w:val="auto"/>
          <w:sz w:val="22"/>
          <w:szCs w:val="22"/>
        </w:rPr>
        <w:t xml:space="preserve">, </w:t>
      </w:r>
      <w:r>
        <w:rPr>
          <w:rFonts w:asciiTheme="majorHAnsi" w:hAnsiTheme="majorHAnsi" w:cstheme="majorHAnsi"/>
          <w:b w:val="0"/>
          <w:bCs/>
          <w:color w:val="auto"/>
          <w:sz w:val="22"/>
          <w:szCs w:val="22"/>
        </w:rPr>
        <w:t>&lt;REDACTED&gt;</w:t>
      </w:r>
      <w:r w:rsidRPr="00980205">
        <w:rPr>
          <w:rFonts w:asciiTheme="majorHAnsi" w:hAnsiTheme="majorHAnsi" w:cstheme="majorHAnsi"/>
          <w:b w:val="0"/>
          <w:bCs/>
          <w:color w:val="auto"/>
          <w:sz w:val="22"/>
          <w:szCs w:val="22"/>
        </w:rPr>
        <w:t xml:space="preserve"> CISO. </w:t>
      </w:r>
    </w:p>
    <w:p w14:paraId="6C1D0F97" w14:textId="77777777" w:rsidR="0076281E" w:rsidRPr="0076281E" w:rsidRDefault="0076281E" w:rsidP="0076281E">
      <w:pPr>
        <w:pStyle w:val="HivintHeading1"/>
        <w:rPr>
          <w:rFonts w:asciiTheme="majorHAnsi" w:hAnsiTheme="majorHAnsi" w:cstheme="majorHAnsi"/>
          <w:color w:val="auto"/>
          <w:sz w:val="22"/>
          <w:szCs w:val="22"/>
        </w:rPr>
      </w:pPr>
      <w:r w:rsidRPr="0076281E">
        <w:rPr>
          <w:rFonts w:asciiTheme="majorHAnsi" w:hAnsiTheme="majorHAnsi" w:cstheme="majorHAnsi"/>
          <w:color w:val="auto"/>
          <w:sz w:val="22"/>
          <w:szCs w:val="22"/>
        </w:rPr>
        <w:t>Summary of Risk Assessment Methodology – See Appendix 1</w:t>
      </w:r>
    </w:p>
    <w:p w14:paraId="31EC03A6" w14:textId="77777777" w:rsidR="0076281E" w:rsidRPr="0076281E" w:rsidRDefault="0076281E" w:rsidP="0076281E">
      <w:pPr>
        <w:pStyle w:val="HivintHeading1"/>
        <w:rPr>
          <w:rFonts w:asciiTheme="majorHAnsi" w:hAnsiTheme="majorHAnsi" w:cstheme="majorHAnsi"/>
          <w:color w:val="auto"/>
          <w:sz w:val="22"/>
          <w:szCs w:val="22"/>
        </w:rPr>
      </w:pPr>
      <w:r w:rsidRPr="0076281E">
        <w:rPr>
          <w:rFonts w:asciiTheme="majorHAnsi" w:hAnsiTheme="majorHAnsi" w:cstheme="majorHAnsi"/>
          <w:color w:val="auto"/>
          <w:sz w:val="22"/>
          <w:szCs w:val="22"/>
        </w:rPr>
        <w:t>Summary of Risks Identified</w:t>
      </w:r>
    </w:p>
    <w:p w14:paraId="4654D172" w14:textId="77777777" w:rsidR="0076281E" w:rsidRPr="0076281E" w:rsidRDefault="0076281E" w:rsidP="0076281E">
      <w:pPr>
        <w:pStyle w:val="ListParagraph"/>
        <w:numPr>
          <w:ilvl w:val="0"/>
          <w:numId w:val="2"/>
        </w:numPr>
        <w:spacing w:before="100" w:beforeAutospacing="1" w:after="100" w:afterAutospacing="1" w:line="240" w:lineRule="auto"/>
        <w:rPr>
          <w:rFonts w:asciiTheme="majorHAnsi" w:eastAsia="Times New Roman" w:hAnsiTheme="majorHAnsi" w:cstheme="majorHAnsi"/>
          <w:color w:val="auto"/>
          <w:lang w:eastAsia="en-GB"/>
        </w:rPr>
      </w:pPr>
      <w:r w:rsidRPr="0076281E">
        <w:rPr>
          <w:rFonts w:asciiTheme="majorHAnsi" w:eastAsia="Times New Roman" w:hAnsiTheme="majorHAnsi" w:cstheme="majorHAnsi"/>
          <w:color w:val="auto"/>
          <w:lang w:eastAsia="en-GB"/>
        </w:rPr>
        <w:t>Flat Network Architecture: All sensitive and non-sensitive data resides in a flat network, increasing the risk of lateral movement and unauthorized access.</w:t>
      </w:r>
    </w:p>
    <w:p w14:paraId="3EF3C999" w14:textId="77777777" w:rsidR="0076281E" w:rsidRPr="0076281E" w:rsidRDefault="0076281E" w:rsidP="0076281E">
      <w:pPr>
        <w:pStyle w:val="ListParagraph"/>
        <w:numPr>
          <w:ilvl w:val="0"/>
          <w:numId w:val="2"/>
        </w:numPr>
        <w:spacing w:before="100" w:beforeAutospacing="1" w:after="100" w:afterAutospacing="1" w:line="240" w:lineRule="auto"/>
        <w:rPr>
          <w:rFonts w:asciiTheme="majorHAnsi" w:eastAsia="Times New Roman" w:hAnsiTheme="majorHAnsi" w:cstheme="majorHAnsi"/>
          <w:color w:val="auto"/>
          <w:lang w:eastAsia="en-GB"/>
        </w:rPr>
      </w:pPr>
      <w:r w:rsidRPr="0076281E">
        <w:rPr>
          <w:rFonts w:asciiTheme="majorHAnsi" w:eastAsia="Times New Roman" w:hAnsiTheme="majorHAnsi" w:cstheme="majorHAnsi"/>
          <w:color w:val="auto"/>
          <w:lang w:eastAsia="en-GB"/>
        </w:rPr>
        <w:t>Single-Factor Authentication: Use of single-factor authentication across admin and user accounts leaves systems vulnerable to credential-based attacks.</w:t>
      </w:r>
    </w:p>
    <w:p w14:paraId="2989BB7D" w14:textId="77777777" w:rsidR="0076281E" w:rsidRPr="0076281E" w:rsidRDefault="0076281E" w:rsidP="0076281E">
      <w:pPr>
        <w:pStyle w:val="ListParagraph"/>
        <w:numPr>
          <w:ilvl w:val="0"/>
          <w:numId w:val="2"/>
        </w:numPr>
        <w:spacing w:before="100" w:beforeAutospacing="1" w:after="100" w:afterAutospacing="1" w:line="240" w:lineRule="auto"/>
        <w:rPr>
          <w:rFonts w:asciiTheme="majorHAnsi" w:eastAsia="Times New Roman" w:hAnsiTheme="majorHAnsi" w:cstheme="majorHAnsi"/>
          <w:color w:val="auto"/>
          <w:lang w:eastAsia="en-GB"/>
        </w:rPr>
      </w:pPr>
      <w:r w:rsidRPr="0076281E">
        <w:rPr>
          <w:rFonts w:asciiTheme="majorHAnsi" w:eastAsia="Times New Roman" w:hAnsiTheme="majorHAnsi" w:cstheme="majorHAnsi"/>
          <w:color w:val="auto"/>
          <w:lang w:eastAsia="en-GB"/>
        </w:rPr>
        <w:t>Inadequate Incident Response Preparedness: Lack of a documented IR plan, untested backups, and absence of tabletop exercises reduce &lt;REDACTED&gt; readiness to manage security incidents.</w:t>
      </w:r>
    </w:p>
    <w:p w14:paraId="23EA7A23" w14:textId="77777777" w:rsidR="0076281E" w:rsidRPr="0076281E" w:rsidRDefault="0076281E" w:rsidP="0076281E">
      <w:pPr>
        <w:pStyle w:val="ListParagraph"/>
        <w:numPr>
          <w:ilvl w:val="0"/>
          <w:numId w:val="2"/>
        </w:numPr>
        <w:spacing w:before="100" w:beforeAutospacing="1" w:after="100" w:afterAutospacing="1" w:line="240" w:lineRule="auto"/>
        <w:rPr>
          <w:rFonts w:asciiTheme="majorHAnsi" w:eastAsia="Times New Roman" w:hAnsiTheme="majorHAnsi" w:cstheme="majorHAnsi"/>
          <w:color w:val="auto"/>
          <w:lang w:eastAsia="en-GB"/>
        </w:rPr>
      </w:pPr>
      <w:r w:rsidRPr="0076281E">
        <w:rPr>
          <w:rFonts w:asciiTheme="majorHAnsi" w:eastAsia="Times New Roman" w:hAnsiTheme="majorHAnsi" w:cstheme="majorHAnsi"/>
          <w:color w:val="auto"/>
          <w:lang w:eastAsia="en-GB"/>
        </w:rPr>
        <w:t>Uncertainty Around PCI DSS Compliance: Lack of clarity regarding PCI DSS obligations poses regulatory and reputational risks, especially concerning customer payment data.</w:t>
      </w:r>
    </w:p>
    <w:p w14:paraId="755C4E61" w14:textId="77777777" w:rsidR="0076281E" w:rsidRPr="0076281E" w:rsidRDefault="0076281E" w:rsidP="0076281E">
      <w:pPr>
        <w:pStyle w:val="HivintHeading1"/>
        <w:rPr>
          <w:rFonts w:asciiTheme="majorHAnsi" w:hAnsiTheme="majorHAnsi" w:cstheme="majorHAnsi"/>
          <w:b w:val="0"/>
          <w:bCs/>
          <w:color w:val="auto"/>
          <w:sz w:val="22"/>
          <w:szCs w:val="22"/>
        </w:rPr>
      </w:pPr>
      <w:r w:rsidRPr="0076281E">
        <w:rPr>
          <w:rFonts w:asciiTheme="majorHAnsi" w:hAnsiTheme="majorHAnsi" w:cstheme="majorHAnsi"/>
          <w:color w:val="auto"/>
          <w:sz w:val="22"/>
          <w:szCs w:val="22"/>
        </w:rPr>
        <w:t>Summary of Proposed Risk Treatments</w:t>
      </w:r>
    </w:p>
    <w:p w14:paraId="7137CBE2" w14:textId="77777777" w:rsidR="0076281E" w:rsidRPr="0076281E" w:rsidRDefault="0076281E" w:rsidP="0076281E">
      <w:pPr>
        <w:pStyle w:val="ListParagraph"/>
        <w:numPr>
          <w:ilvl w:val="0"/>
          <w:numId w:val="2"/>
        </w:numPr>
        <w:spacing w:before="100" w:beforeAutospacing="1" w:after="100" w:afterAutospacing="1" w:line="240" w:lineRule="auto"/>
        <w:rPr>
          <w:rFonts w:asciiTheme="majorHAnsi" w:eastAsia="Times New Roman" w:hAnsiTheme="majorHAnsi" w:cstheme="majorHAnsi"/>
          <w:color w:val="auto"/>
          <w:lang w:eastAsia="en-GB"/>
        </w:rPr>
      </w:pPr>
      <w:r w:rsidRPr="0076281E">
        <w:rPr>
          <w:rFonts w:asciiTheme="majorHAnsi" w:eastAsia="Times New Roman" w:hAnsiTheme="majorHAnsi" w:cstheme="majorHAnsi"/>
          <w:color w:val="auto"/>
          <w:lang w:eastAsia="en-GB"/>
        </w:rPr>
        <w:t>Implement network segmentation and enforce role-based access to reduce exposure from flat architecture.</w:t>
      </w:r>
    </w:p>
    <w:p w14:paraId="0495857B" w14:textId="77777777" w:rsidR="0076281E" w:rsidRPr="0076281E" w:rsidRDefault="0076281E" w:rsidP="0076281E">
      <w:pPr>
        <w:pStyle w:val="ListParagraph"/>
        <w:numPr>
          <w:ilvl w:val="0"/>
          <w:numId w:val="2"/>
        </w:numPr>
        <w:spacing w:before="100" w:beforeAutospacing="1" w:after="100" w:afterAutospacing="1" w:line="240" w:lineRule="auto"/>
        <w:rPr>
          <w:rFonts w:asciiTheme="majorHAnsi" w:eastAsia="Times New Roman" w:hAnsiTheme="majorHAnsi" w:cstheme="majorHAnsi"/>
          <w:color w:val="auto"/>
          <w:lang w:eastAsia="en-GB"/>
        </w:rPr>
      </w:pPr>
      <w:r w:rsidRPr="0076281E">
        <w:rPr>
          <w:rFonts w:asciiTheme="majorHAnsi" w:eastAsia="Times New Roman" w:hAnsiTheme="majorHAnsi" w:cstheme="majorHAnsi"/>
          <w:color w:val="auto"/>
          <w:lang w:eastAsia="en-GB"/>
        </w:rPr>
        <w:t>Adopt multi-factor authentication (MFA) for all privileged and user accounts to mitigate credential compromise risks.</w:t>
      </w:r>
    </w:p>
    <w:p w14:paraId="772E7435" w14:textId="77777777" w:rsidR="0076281E" w:rsidRPr="0076281E" w:rsidRDefault="0076281E" w:rsidP="0076281E">
      <w:pPr>
        <w:pStyle w:val="ListParagraph"/>
        <w:numPr>
          <w:ilvl w:val="0"/>
          <w:numId w:val="2"/>
        </w:numPr>
        <w:spacing w:before="100" w:beforeAutospacing="1" w:after="100" w:afterAutospacing="1" w:line="240" w:lineRule="auto"/>
        <w:rPr>
          <w:rFonts w:asciiTheme="majorHAnsi" w:eastAsia="Times New Roman" w:hAnsiTheme="majorHAnsi" w:cstheme="majorHAnsi"/>
          <w:color w:val="auto"/>
          <w:lang w:eastAsia="en-GB"/>
        </w:rPr>
      </w:pPr>
      <w:r w:rsidRPr="0076281E">
        <w:rPr>
          <w:rFonts w:asciiTheme="majorHAnsi" w:eastAsia="Times New Roman" w:hAnsiTheme="majorHAnsi" w:cstheme="majorHAnsi"/>
          <w:color w:val="auto"/>
          <w:lang w:eastAsia="en-GB"/>
        </w:rPr>
        <w:t>Develop, document, and test an incident response plan, including backup restoration validation and tabletop simulations.</w:t>
      </w:r>
    </w:p>
    <w:p w14:paraId="4C2CFBC1" w14:textId="77777777" w:rsidR="0076281E" w:rsidRPr="0076281E" w:rsidRDefault="0076281E" w:rsidP="0076281E">
      <w:pPr>
        <w:pStyle w:val="ListParagraph"/>
        <w:numPr>
          <w:ilvl w:val="0"/>
          <w:numId w:val="2"/>
        </w:numPr>
        <w:spacing w:before="100" w:beforeAutospacing="1" w:after="100" w:afterAutospacing="1" w:line="240" w:lineRule="auto"/>
        <w:rPr>
          <w:rFonts w:asciiTheme="majorHAnsi" w:eastAsia="Times New Roman" w:hAnsiTheme="majorHAnsi" w:cstheme="majorHAnsi"/>
          <w:color w:val="auto"/>
          <w:lang w:eastAsia="en-GB"/>
        </w:rPr>
      </w:pPr>
      <w:r w:rsidRPr="0076281E">
        <w:rPr>
          <w:rFonts w:asciiTheme="majorHAnsi" w:eastAsia="Times New Roman" w:hAnsiTheme="majorHAnsi" w:cstheme="majorHAnsi"/>
          <w:color w:val="auto"/>
          <w:lang w:eastAsia="en-GB"/>
        </w:rPr>
        <w:t>Conduct a formal PCI DSS compliance review to clarify obligations, update documentation, and ensure alignment with data protection standards.</w:t>
      </w:r>
    </w:p>
    <w:p w14:paraId="74C30788" w14:textId="77777777" w:rsidR="0076281E" w:rsidRPr="00980205" w:rsidRDefault="0076281E" w:rsidP="0076281E">
      <w:pPr>
        <w:pStyle w:val="HivintHeading1"/>
        <w:rPr>
          <w:rFonts w:asciiTheme="majorHAnsi" w:hAnsiTheme="majorHAnsi" w:cstheme="majorHAnsi"/>
          <w:b w:val="0"/>
          <w:bCs/>
          <w:color w:val="auto"/>
          <w:sz w:val="22"/>
          <w:szCs w:val="22"/>
        </w:rPr>
      </w:pPr>
    </w:p>
    <w:p w14:paraId="7904E63D" w14:textId="77777777" w:rsidR="0076281E" w:rsidRPr="00980205" w:rsidRDefault="0076281E" w:rsidP="0076281E"/>
    <w:p w14:paraId="4C019956" w14:textId="77777777" w:rsidR="0076281E" w:rsidRPr="00980205" w:rsidRDefault="0076281E" w:rsidP="0076281E">
      <w:pPr>
        <w:pStyle w:val="HivintHeading1"/>
        <w:rPr>
          <w:rFonts w:ascii="Cambria" w:hAnsi="Cambria" w:cstheme="majorHAnsi"/>
          <w:color w:val="BF4E14" w:themeColor="accent2" w:themeShade="BF"/>
        </w:rPr>
      </w:pPr>
      <w:r w:rsidRPr="00980205">
        <w:rPr>
          <w:rFonts w:ascii="Cambria" w:hAnsi="Cambria" w:cstheme="majorHAnsi"/>
          <w:color w:val="BF4E14" w:themeColor="accent2" w:themeShade="BF"/>
        </w:rPr>
        <w:lastRenderedPageBreak/>
        <w:t>Scope and Risk Tolerance</w:t>
      </w:r>
    </w:p>
    <w:p w14:paraId="746456B9" w14:textId="77777777" w:rsidR="0076281E" w:rsidRPr="00980205" w:rsidRDefault="0076281E" w:rsidP="0076281E">
      <w:pPr>
        <w:spacing w:before="120" w:after="0" w:line="276" w:lineRule="auto"/>
        <w:rPr>
          <w:rFonts w:asciiTheme="majorHAnsi" w:hAnsiTheme="majorHAnsi" w:cstheme="majorHAnsi"/>
          <w:color w:val="auto"/>
        </w:rPr>
      </w:pPr>
      <w:r w:rsidRPr="00980205">
        <w:rPr>
          <w:rFonts w:asciiTheme="majorHAnsi" w:hAnsiTheme="majorHAnsi" w:cstheme="majorHAnsi"/>
          <w:color w:val="auto"/>
        </w:rPr>
        <w:t xml:space="preserve">The scope of this assessment was the </w:t>
      </w:r>
      <w:r>
        <w:rPr>
          <w:rFonts w:asciiTheme="majorHAnsi" w:hAnsiTheme="majorHAnsi" w:cstheme="majorHAnsi"/>
          <w:color w:val="auto"/>
        </w:rPr>
        <w:t>&lt;REDACTED&gt;</w:t>
      </w:r>
      <w:r w:rsidRPr="00980205">
        <w:rPr>
          <w:rFonts w:asciiTheme="majorHAnsi" w:hAnsiTheme="majorHAnsi" w:cstheme="majorHAnsi"/>
          <w:color w:val="auto"/>
        </w:rPr>
        <w:t xml:space="preserve"> operational and business environment and all supporting ICT and information assets. </w:t>
      </w:r>
    </w:p>
    <w:p w14:paraId="485FF948" w14:textId="77777777" w:rsidR="0076281E" w:rsidRPr="00980205" w:rsidRDefault="0076281E" w:rsidP="0076281E">
      <w:pPr>
        <w:spacing w:before="120" w:after="0" w:line="276" w:lineRule="auto"/>
        <w:rPr>
          <w:rFonts w:asciiTheme="majorHAnsi" w:hAnsiTheme="majorHAnsi" w:cstheme="majorHAnsi"/>
          <w:color w:val="auto"/>
        </w:rPr>
      </w:pPr>
      <w:r w:rsidRPr="00980205">
        <w:rPr>
          <w:rFonts w:asciiTheme="majorHAnsi" w:hAnsiTheme="majorHAnsi" w:cstheme="majorHAnsi"/>
          <w:color w:val="auto"/>
        </w:rPr>
        <w:t xml:space="preserve">The risk appetite of </w:t>
      </w:r>
      <w:r>
        <w:rPr>
          <w:rFonts w:asciiTheme="majorHAnsi" w:hAnsiTheme="majorHAnsi" w:cstheme="majorHAnsi"/>
          <w:color w:val="auto"/>
        </w:rPr>
        <w:t>&lt;REDACTED&gt;</w:t>
      </w:r>
      <w:r w:rsidRPr="00980205">
        <w:rPr>
          <w:rFonts w:asciiTheme="majorHAnsi" w:hAnsiTheme="majorHAnsi" w:cstheme="majorHAnsi"/>
          <w:color w:val="auto"/>
        </w:rPr>
        <w:t xml:space="preserve"> is </w:t>
      </w:r>
      <w:r w:rsidRPr="00980205">
        <w:rPr>
          <w:rFonts w:asciiTheme="majorHAnsi" w:hAnsiTheme="majorHAnsi" w:cstheme="majorHAnsi"/>
          <w:b/>
          <w:bCs/>
          <w:color w:val="auto"/>
        </w:rPr>
        <w:t>Moderate</w:t>
      </w:r>
      <w:r w:rsidRPr="00980205">
        <w:rPr>
          <w:rFonts w:asciiTheme="majorHAnsi" w:hAnsiTheme="majorHAnsi" w:cstheme="majorHAnsi"/>
          <w:color w:val="auto"/>
        </w:rPr>
        <w:t>; as such, all risks with an assessed rating exceeding this threshold require selection of one of the following treatments:</w:t>
      </w:r>
    </w:p>
    <w:p w14:paraId="24EB2596" w14:textId="77777777" w:rsidR="0076281E" w:rsidRPr="0076281E" w:rsidRDefault="0076281E" w:rsidP="0076281E">
      <w:pPr>
        <w:pStyle w:val="ListParagraph"/>
        <w:numPr>
          <w:ilvl w:val="0"/>
          <w:numId w:val="1"/>
        </w:numPr>
        <w:spacing w:before="120" w:after="0" w:line="276" w:lineRule="auto"/>
        <w:rPr>
          <w:rFonts w:asciiTheme="majorHAnsi" w:hAnsiTheme="majorHAnsi" w:cstheme="majorHAnsi"/>
          <w:color w:val="auto"/>
        </w:rPr>
      </w:pPr>
      <w:r w:rsidRPr="0076281E">
        <w:rPr>
          <w:rFonts w:asciiTheme="majorHAnsi" w:hAnsiTheme="majorHAnsi" w:cstheme="majorHAnsi"/>
          <w:color w:val="auto"/>
        </w:rPr>
        <w:t xml:space="preserve">Mitigate – </w:t>
      </w:r>
      <w:r w:rsidRPr="0076281E">
        <w:rPr>
          <w:color w:val="auto"/>
        </w:rPr>
        <w:t>Reduce the risk likelihood or impact by implementing additional controls, procedures, or safeguards.</w:t>
      </w:r>
    </w:p>
    <w:p w14:paraId="6C0DAA94" w14:textId="77777777" w:rsidR="0076281E" w:rsidRPr="0076281E" w:rsidRDefault="0076281E" w:rsidP="0076281E">
      <w:pPr>
        <w:pStyle w:val="ListParagraph"/>
        <w:numPr>
          <w:ilvl w:val="0"/>
          <w:numId w:val="1"/>
        </w:numPr>
        <w:spacing w:before="120" w:after="0" w:line="276" w:lineRule="auto"/>
        <w:rPr>
          <w:rFonts w:asciiTheme="majorHAnsi" w:hAnsiTheme="majorHAnsi" w:cstheme="majorHAnsi"/>
          <w:color w:val="auto"/>
        </w:rPr>
      </w:pPr>
      <w:r w:rsidRPr="0076281E">
        <w:rPr>
          <w:rFonts w:asciiTheme="majorHAnsi" w:hAnsiTheme="majorHAnsi" w:cstheme="majorHAnsi"/>
          <w:color w:val="auto"/>
        </w:rPr>
        <w:t xml:space="preserve">Transfer – </w:t>
      </w:r>
      <w:r w:rsidRPr="0076281E">
        <w:rPr>
          <w:color w:val="auto"/>
        </w:rPr>
        <w:t>Shift the risk to a third party, such as through outsourcing, insurance, or contractual arrangements.</w:t>
      </w:r>
    </w:p>
    <w:p w14:paraId="6355EDB8" w14:textId="77777777" w:rsidR="0076281E" w:rsidRPr="0076281E" w:rsidRDefault="0076281E" w:rsidP="0076281E">
      <w:pPr>
        <w:pStyle w:val="ListParagraph"/>
        <w:numPr>
          <w:ilvl w:val="0"/>
          <w:numId w:val="1"/>
        </w:numPr>
        <w:spacing w:before="120" w:after="0" w:line="276" w:lineRule="auto"/>
        <w:rPr>
          <w:rFonts w:asciiTheme="majorHAnsi" w:hAnsiTheme="majorHAnsi" w:cstheme="majorHAnsi"/>
          <w:color w:val="auto"/>
        </w:rPr>
      </w:pPr>
      <w:r w:rsidRPr="0076281E">
        <w:rPr>
          <w:rFonts w:asciiTheme="majorHAnsi" w:hAnsiTheme="majorHAnsi" w:cstheme="majorHAnsi"/>
          <w:color w:val="auto"/>
        </w:rPr>
        <w:t xml:space="preserve">Accept – </w:t>
      </w:r>
      <w:r w:rsidRPr="0076281E">
        <w:rPr>
          <w:color w:val="auto"/>
        </w:rPr>
        <w:t>Acknowledge the risk and take no additional action, typically when it falls within risk appetite or mitigation is not cost-effective.</w:t>
      </w:r>
    </w:p>
    <w:p w14:paraId="728D92B8" w14:textId="77777777" w:rsidR="0076281E" w:rsidRPr="0076281E" w:rsidRDefault="0076281E" w:rsidP="0076281E">
      <w:pPr>
        <w:pStyle w:val="ListParagraph"/>
        <w:numPr>
          <w:ilvl w:val="0"/>
          <w:numId w:val="1"/>
        </w:numPr>
        <w:spacing w:before="120" w:after="0" w:line="276" w:lineRule="auto"/>
        <w:rPr>
          <w:rFonts w:asciiTheme="majorHAnsi" w:hAnsiTheme="majorHAnsi" w:cstheme="majorHAnsi"/>
          <w:color w:val="auto"/>
        </w:rPr>
      </w:pPr>
      <w:r w:rsidRPr="0076281E">
        <w:rPr>
          <w:rFonts w:asciiTheme="majorHAnsi" w:hAnsiTheme="majorHAnsi" w:cstheme="majorHAnsi"/>
          <w:color w:val="auto"/>
        </w:rPr>
        <w:t xml:space="preserve">Avoid – </w:t>
      </w:r>
      <w:r w:rsidRPr="0076281E">
        <w:rPr>
          <w:color w:val="auto"/>
        </w:rPr>
        <w:t>Eliminate the risk entirely by discontinuing the associated activity or changing the approach.</w:t>
      </w:r>
    </w:p>
    <w:p w14:paraId="3C4285BE" w14:textId="77777777" w:rsidR="0076281E" w:rsidRPr="00BF70CD" w:rsidRDefault="0076281E" w:rsidP="0076281E">
      <w:pPr>
        <w:spacing w:before="120" w:after="0" w:line="276" w:lineRule="auto"/>
        <w:ind w:left="360"/>
        <w:rPr>
          <w:rFonts w:asciiTheme="majorHAnsi" w:hAnsiTheme="majorHAnsi" w:cstheme="majorHAnsi"/>
          <w:color w:val="auto"/>
        </w:rPr>
      </w:pPr>
      <w:r w:rsidRPr="00BF70CD">
        <w:rPr>
          <w:rFonts w:asciiTheme="majorHAnsi" w:hAnsiTheme="majorHAnsi" w:cstheme="majorHAnsi"/>
          <w:color w:val="auto"/>
        </w:rPr>
        <w:t>The selection of a proposed treatment is to be based on the efficacy of the treatment measured against the time, cost, resources and effort required for implementation.</w:t>
      </w:r>
    </w:p>
    <w:p w14:paraId="5F11AF40" w14:textId="77777777" w:rsidR="0076281E" w:rsidRPr="00980205" w:rsidRDefault="0076281E" w:rsidP="0076281E">
      <w:pPr>
        <w:spacing w:before="120" w:after="0" w:line="276" w:lineRule="auto"/>
        <w:rPr>
          <w:rFonts w:asciiTheme="majorHAnsi" w:hAnsiTheme="majorHAnsi" w:cstheme="majorHAnsi"/>
          <w:color w:val="auto"/>
        </w:rPr>
        <w:sectPr w:rsidR="0076281E" w:rsidRPr="00980205" w:rsidSect="0076281E">
          <w:headerReference w:type="default" r:id="rId7"/>
          <w:footerReference w:type="default" r:id="rId8"/>
          <w:pgSz w:w="11906" w:h="16838"/>
          <w:pgMar w:top="1134" w:right="1440" w:bottom="1440" w:left="1440" w:header="709" w:footer="709" w:gutter="0"/>
          <w:cols w:space="708"/>
          <w:titlePg/>
          <w:docGrid w:linePitch="360"/>
        </w:sectPr>
      </w:pPr>
    </w:p>
    <w:p w14:paraId="447D134D" w14:textId="77777777" w:rsidR="0076281E" w:rsidRPr="00980205" w:rsidRDefault="0076281E" w:rsidP="0076281E">
      <w:pPr>
        <w:pStyle w:val="Heading1"/>
        <w:rPr>
          <w:rFonts w:ascii="Cambria" w:hAnsi="Cambria" w:cstheme="majorHAnsi"/>
          <w:b/>
          <w:bCs/>
          <w:sz w:val="28"/>
          <w:szCs w:val="28"/>
        </w:rPr>
      </w:pPr>
      <w:r w:rsidRPr="00980205">
        <w:rPr>
          <w:rFonts w:ascii="Cambria" w:hAnsi="Cambria" w:cstheme="majorHAnsi"/>
          <w:b/>
          <w:bCs/>
          <w:sz w:val="28"/>
          <w:szCs w:val="28"/>
        </w:rPr>
        <w:lastRenderedPageBreak/>
        <w:t xml:space="preserve">Risk Assessment </w:t>
      </w:r>
    </w:p>
    <w:p w14:paraId="0D5A3DC7" w14:textId="77777777" w:rsidR="0076281E" w:rsidRPr="00980205" w:rsidRDefault="0076281E" w:rsidP="0076281E">
      <w:pPr>
        <w:rPr>
          <w:rFonts w:asciiTheme="majorHAnsi" w:hAnsiTheme="majorHAnsi" w:cstheme="majorHAnsi"/>
          <w:color w:val="auto"/>
        </w:rPr>
      </w:pPr>
      <w:r w:rsidRPr="00980205">
        <w:rPr>
          <w:rFonts w:asciiTheme="majorHAnsi" w:hAnsiTheme="majorHAnsi" w:cstheme="majorHAnsi"/>
          <w:color w:val="auto"/>
        </w:rPr>
        <w:t xml:space="preserve">The following risks have been identified as part of this risk assessment in relation to </w:t>
      </w:r>
      <w:r>
        <w:rPr>
          <w:rFonts w:asciiTheme="majorHAnsi" w:hAnsiTheme="majorHAnsi" w:cstheme="majorHAnsi"/>
          <w:color w:val="auto"/>
        </w:rPr>
        <w:t>&lt;REDACTED&gt;</w:t>
      </w:r>
      <w:r w:rsidRPr="00980205">
        <w:rPr>
          <w:rFonts w:asciiTheme="majorHAnsi" w:hAnsiTheme="majorHAnsi" w:cstheme="majorHAnsi"/>
          <w:color w:val="auto"/>
        </w:rPr>
        <w:t xml:space="preserve"> operations and services. </w:t>
      </w:r>
    </w:p>
    <w:p w14:paraId="5A00B5BC" w14:textId="77777777" w:rsidR="0076281E" w:rsidRDefault="0076281E" w:rsidP="0076281E">
      <w:pPr>
        <w:rPr>
          <w:rFonts w:asciiTheme="majorHAnsi" w:hAnsiTheme="majorHAnsi" w:cstheme="majorHAnsi"/>
          <w:color w:val="auto"/>
        </w:rPr>
      </w:pPr>
    </w:p>
    <w:tbl>
      <w:tblPr>
        <w:tblpPr w:leftFromText="180" w:rightFromText="180" w:vertAnchor="page" w:horzAnchor="margin" w:tblpY="3382"/>
        <w:tblW w:w="20981" w:type="dxa"/>
        <w:tblLook w:val="04A0" w:firstRow="1" w:lastRow="0" w:firstColumn="1" w:lastColumn="0" w:noHBand="0" w:noVBand="1"/>
      </w:tblPr>
      <w:tblGrid>
        <w:gridCol w:w="663"/>
        <w:gridCol w:w="4220"/>
        <w:gridCol w:w="3506"/>
        <w:gridCol w:w="1299"/>
        <w:gridCol w:w="1730"/>
        <w:gridCol w:w="964"/>
        <w:gridCol w:w="3415"/>
        <w:gridCol w:w="1799"/>
        <w:gridCol w:w="2171"/>
        <w:gridCol w:w="1214"/>
      </w:tblGrid>
      <w:tr w:rsidR="0076281E" w:rsidRPr="00AF0BBF" w14:paraId="49EF7A2C" w14:textId="77777777" w:rsidTr="00142A47">
        <w:trPr>
          <w:trHeight w:val="225"/>
        </w:trPr>
        <w:tc>
          <w:tcPr>
            <w:tcW w:w="663" w:type="dxa"/>
            <w:tcBorders>
              <w:top w:val="nil"/>
              <w:left w:val="nil"/>
              <w:bottom w:val="nil"/>
              <w:right w:val="nil"/>
            </w:tcBorders>
            <w:shd w:val="clear" w:color="000000" w:fill="E26B0A"/>
            <w:noWrap/>
            <w:hideMark/>
          </w:tcPr>
          <w:p w14:paraId="6848E135" w14:textId="77777777" w:rsidR="0076281E" w:rsidRPr="00AF0BBF" w:rsidRDefault="0076281E" w:rsidP="00142A47">
            <w:pPr>
              <w:spacing w:after="0" w:line="240" w:lineRule="auto"/>
              <w:jc w:val="center"/>
              <w:rPr>
                <w:rFonts w:ascii="Century Gothic" w:eastAsia="Times New Roman" w:hAnsi="Century Gothic" w:cs="Calibri"/>
                <w:b/>
                <w:bCs/>
                <w:color w:val="FFFFFF"/>
                <w:lang w:eastAsia="en-GB"/>
              </w:rPr>
            </w:pPr>
            <w:r w:rsidRPr="00AF0BBF">
              <w:rPr>
                <w:rFonts w:ascii="Century Gothic" w:eastAsia="Times New Roman" w:hAnsi="Century Gothic" w:cs="Calibri"/>
                <w:b/>
                <w:bCs/>
                <w:color w:val="FFFFFF"/>
                <w:lang w:eastAsia="en-GB"/>
              </w:rPr>
              <w:t>Risk ID</w:t>
            </w:r>
          </w:p>
        </w:tc>
        <w:tc>
          <w:tcPr>
            <w:tcW w:w="4220" w:type="dxa"/>
            <w:tcBorders>
              <w:top w:val="nil"/>
              <w:left w:val="nil"/>
              <w:bottom w:val="nil"/>
              <w:right w:val="nil"/>
            </w:tcBorders>
            <w:shd w:val="clear" w:color="000000" w:fill="E26B0A"/>
            <w:hideMark/>
          </w:tcPr>
          <w:p w14:paraId="4EF4AE61" w14:textId="77777777" w:rsidR="0076281E" w:rsidRPr="00AF0BBF" w:rsidRDefault="0076281E" w:rsidP="00142A47">
            <w:pPr>
              <w:spacing w:after="0" w:line="240" w:lineRule="auto"/>
              <w:jc w:val="center"/>
              <w:rPr>
                <w:rFonts w:ascii="Century Gothic" w:eastAsia="Times New Roman" w:hAnsi="Century Gothic" w:cs="Calibri"/>
                <w:b/>
                <w:bCs/>
                <w:color w:val="FFFFFF"/>
                <w:lang w:eastAsia="en-GB"/>
              </w:rPr>
            </w:pPr>
            <w:r w:rsidRPr="00AF0BBF">
              <w:rPr>
                <w:rFonts w:ascii="Century Gothic" w:eastAsia="Times New Roman" w:hAnsi="Century Gothic" w:cs="Calibri"/>
                <w:b/>
                <w:bCs/>
                <w:color w:val="FFFFFF"/>
                <w:lang w:eastAsia="en-GB"/>
              </w:rPr>
              <w:t>Risk identified/Statement</w:t>
            </w:r>
          </w:p>
        </w:tc>
        <w:tc>
          <w:tcPr>
            <w:tcW w:w="3506" w:type="dxa"/>
            <w:tcBorders>
              <w:top w:val="nil"/>
              <w:left w:val="nil"/>
              <w:bottom w:val="nil"/>
              <w:right w:val="nil"/>
            </w:tcBorders>
            <w:shd w:val="clear" w:color="000000" w:fill="E26B0A"/>
            <w:hideMark/>
          </w:tcPr>
          <w:p w14:paraId="1BD2B04F" w14:textId="77777777" w:rsidR="0076281E" w:rsidRPr="00AF0BBF" w:rsidRDefault="0076281E" w:rsidP="00142A47">
            <w:pPr>
              <w:spacing w:after="0" w:line="240" w:lineRule="auto"/>
              <w:jc w:val="center"/>
              <w:rPr>
                <w:rFonts w:ascii="Century Gothic" w:eastAsia="Times New Roman" w:hAnsi="Century Gothic" w:cs="Calibri"/>
                <w:b/>
                <w:bCs/>
                <w:color w:val="FFFFFF"/>
                <w:lang w:eastAsia="en-GB"/>
              </w:rPr>
            </w:pPr>
            <w:r w:rsidRPr="00AF0BBF">
              <w:rPr>
                <w:rFonts w:ascii="Century Gothic" w:eastAsia="Times New Roman" w:hAnsi="Century Gothic" w:cs="Calibri"/>
                <w:b/>
                <w:bCs/>
                <w:color w:val="FFFFFF"/>
                <w:lang w:eastAsia="en-GB"/>
              </w:rPr>
              <w:t>Existing Controls</w:t>
            </w:r>
          </w:p>
        </w:tc>
        <w:tc>
          <w:tcPr>
            <w:tcW w:w="1299" w:type="dxa"/>
            <w:tcBorders>
              <w:top w:val="nil"/>
              <w:left w:val="nil"/>
              <w:bottom w:val="nil"/>
              <w:right w:val="nil"/>
            </w:tcBorders>
            <w:shd w:val="clear" w:color="000000" w:fill="E26B0A"/>
            <w:noWrap/>
            <w:hideMark/>
          </w:tcPr>
          <w:p w14:paraId="7CC27DD8" w14:textId="77777777" w:rsidR="0076281E" w:rsidRPr="00AF0BBF" w:rsidRDefault="0076281E" w:rsidP="00142A47">
            <w:pPr>
              <w:spacing w:after="0" w:line="240" w:lineRule="auto"/>
              <w:jc w:val="center"/>
              <w:rPr>
                <w:rFonts w:ascii="Century Gothic" w:eastAsia="Times New Roman" w:hAnsi="Century Gothic" w:cs="Calibri"/>
                <w:b/>
                <w:bCs/>
                <w:color w:val="FFFFFF"/>
                <w:lang w:eastAsia="en-GB"/>
              </w:rPr>
            </w:pPr>
            <w:r w:rsidRPr="00AF0BBF">
              <w:rPr>
                <w:rFonts w:ascii="Century Gothic" w:eastAsia="Times New Roman" w:hAnsi="Century Gothic" w:cs="Calibri"/>
                <w:b/>
                <w:bCs/>
                <w:color w:val="FFFFFF"/>
                <w:lang w:eastAsia="en-GB"/>
              </w:rPr>
              <w:t>Likelihood</w:t>
            </w:r>
          </w:p>
        </w:tc>
        <w:tc>
          <w:tcPr>
            <w:tcW w:w="1730" w:type="dxa"/>
            <w:tcBorders>
              <w:top w:val="nil"/>
              <w:left w:val="nil"/>
              <w:bottom w:val="nil"/>
              <w:right w:val="nil"/>
            </w:tcBorders>
            <w:shd w:val="clear" w:color="000000" w:fill="E26B0A"/>
            <w:noWrap/>
            <w:hideMark/>
          </w:tcPr>
          <w:p w14:paraId="4C62BBAF" w14:textId="77777777" w:rsidR="0076281E" w:rsidRPr="00AF0BBF" w:rsidRDefault="0076281E" w:rsidP="00142A47">
            <w:pPr>
              <w:spacing w:after="0" w:line="240" w:lineRule="auto"/>
              <w:jc w:val="center"/>
              <w:rPr>
                <w:rFonts w:ascii="Century Gothic" w:eastAsia="Times New Roman" w:hAnsi="Century Gothic" w:cs="Calibri"/>
                <w:b/>
                <w:bCs/>
                <w:color w:val="FFFFFF"/>
                <w:lang w:eastAsia="en-GB"/>
              </w:rPr>
            </w:pPr>
            <w:r w:rsidRPr="00AF0BBF">
              <w:rPr>
                <w:rFonts w:ascii="Century Gothic" w:eastAsia="Times New Roman" w:hAnsi="Century Gothic" w:cs="Calibri"/>
                <w:b/>
                <w:bCs/>
                <w:color w:val="FFFFFF"/>
                <w:lang w:eastAsia="en-GB"/>
              </w:rPr>
              <w:t>Consequence</w:t>
            </w:r>
          </w:p>
        </w:tc>
        <w:tc>
          <w:tcPr>
            <w:tcW w:w="964" w:type="dxa"/>
            <w:tcBorders>
              <w:top w:val="nil"/>
              <w:left w:val="nil"/>
              <w:bottom w:val="nil"/>
              <w:right w:val="nil"/>
            </w:tcBorders>
            <w:shd w:val="clear" w:color="000000" w:fill="E26B0A"/>
            <w:noWrap/>
            <w:hideMark/>
          </w:tcPr>
          <w:p w14:paraId="02C6F7ED" w14:textId="77777777" w:rsidR="0076281E" w:rsidRPr="00AF0BBF" w:rsidRDefault="0076281E" w:rsidP="00142A47">
            <w:pPr>
              <w:spacing w:after="0" w:line="240" w:lineRule="auto"/>
              <w:jc w:val="center"/>
              <w:rPr>
                <w:rFonts w:ascii="Century Gothic" w:eastAsia="Times New Roman" w:hAnsi="Century Gothic" w:cs="Calibri"/>
                <w:b/>
                <w:bCs/>
                <w:color w:val="FFFFFF"/>
                <w:lang w:eastAsia="en-GB"/>
              </w:rPr>
            </w:pPr>
            <w:r w:rsidRPr="00AF0BBF">
              <w:rPr>
                <w:rFonts w:ascii="Century Gothic" w:eastAsia="Times New Roman" w:hAnsi="Century Gothic" w:cs="Calibri"/>
                <w:b/>
                <w:bCs/>
                <w:color w:val="FFFFFF"/>
                <w:lang w:eastAsia="en-GB"/>
              </w:rPr>
              <w:t>Risk</w:t>
            </w:r>
          </w:p>
        </w:tc>
        <w:tc>
          <w:tcPr>
            <w:tcW w:w="3415" w:type="dxa"/>
            <w:tcBorders>
              <w:top w:val="nil"/>
              <w:left w:val="nil"/>
              <w:bottom w:val="nil"/>
              <w:right w:val="nil"/>
            </w:tcBorders>
            <w:shd w:val="clear" w:color="000000" w:fill="E26B0A"/>
            <w:hideMark/>
          </w:tcPr>
          <w:p w14:paraId="2622004A" w14:textId="77777777" w:rsidR="0076281E" w:rsidRPr="00AF0BBF" w:rsidRDefault="0076281E" w:rsidP="00142A47">
            <w:pPr>
              <w:spacing w:after="0" w:line="240" w:lineRule="auto"/>
              <w:jc w:val="center"/>
              <w:rPr>
                <w:rFonts w:ascii="Century Gothic" w:eastAsia="Times New Roman" w:hAnsi="Century Gothic" w:cs="Calibri"/>
                <w:b/>
                <w:bCs/>
                <w:color w:val="FFFFFF"/>
                <w:lang w:eastAsia="en-GB"/>
              </w:rPr>
            </w:pPr>
            <w:r w:rsidRPr="00AF0BBF">
              <w:rPr>
                <w:rFonts w:ascii="Century Gothic" w:eastAsia="Times New Roman" w:hAnsi="Century Gothic" w:cs="Calibri"/>
                <w:b/>
                <w:bCs/>
                <w:color w:val="FFFFFF"/>
                <w:lang w:eastAsia="en-GB"/>
              </w:rPr>
              <w:t>Proposed Treatment</w:t>
            </w:r>
          </w:p>
        </w:tc>
        <w:tc>
          <w:tcPr>
            <w:tcW w:w="1799" w:type="dxa"/>
            <w:tcBorders>
              <w:top w:val="nil"/>
              <w:left w:val="nil"/>
              <w:bottom w:val="nil"/>
              <w:right w:val="nil"/>
            </w:tcBorders>
            <w:shd w:val="clear" w:color="000000" w:fill="E26B0A"/>
            <w:noWrap/>
            <w:hideMark/>
          </w:tcPr>
          <w:p w14:paraId="0171CB6A" w14:textId="77777777" w:rsidR="0076281E" w:rsidRPr="00AF0BBF" w:rsidRDefault="0076281E" w:rsidP="00142A47">
            <w:pPr>
              <w:spacing w:after="0" w:line="240" w:lineRule="auto"/>
              <w:jc w:val="center"/>
              <w:rPr>
                <w:rFonts w:ascii="Century Gothic" w:eastAsia="Times New Roman" w:hAnsi="Century Gothic" w:cs="Calibri"/>
                <w:b/>
                <w:bCs/>
                <w:color w:val="FFFFFF"/>
                <w:lang w:eastAsia="en-GB"/>
              </w:rPr>
            </w:pPr>
            <w:r w:rsidRPr="00AF0BBF">
              <w:rPr>
                <w:rFonts w:ascii="Century Gothic" w:eastAsia="Times New Roman" w:hAnsi="Century Gothic" w:cs="Calibri"/>
                <w:b/>
                <w:bCs/>
                <w:color w:val="FFFFFF"/>
                <w:lang w:eastAsia="en-GB"/>
              </w:rPr>
              <w:t>Residual Likelihood</w:t>
            </w:r>
          </w:p>
        </w:tc>
        <w:tc>
          <w:tcPr>
            <w:tcW w:w="2171" w:type="dxa"/>
            <w:tcBorders>
              <w:top w:val="nil"/>
              <w:left w:val="nil"/>
              <w:bottom w:val="nil"/>
              <w:right w:val="nil"/>
            </w:tcBorders>
            <w:shd w:val="clear" w:color="000000" w:fill="E26B0A"/>
            <w:noWrap/>
            <w:hideMark/>
          </w:tcPr>
          <w:p w14:paraId="0595524A" w14:textId="77777777" w:rsidR="0076281E" w:rsidRPr="00AF0BBF" w:rsidRDefault="0076281E" w:rsidP="00142A47">
            <w:pPr>
              <w:spacing w:after="0" w:line="240" w:lineRule="auto"/>
              <w:jc w:val="center"/>
              <w:rPr>
                <w:rFonts w:ascii="Century Gothic" w:eastAsia="Times New Roman" w:hAnsi="Century Gothic" w:cs="Calibri"/>
                <w:b/>
                <w:bCs/>
                <w:color w:val="FFFFFF"/>
                <w:lang w:eastAsia="en-GB"/>
              </w:rPr>
            </w:pPr>
            <w:r w:rsidRPr="00AF0BBF">
              <w:rPr>
                <w:rFonts w:ascii="Century Gothic" w:eastAsia="Times New Roman" w:hAnsi="Century Gothic" w:cs="Calibri"/>
                <w:b/>
                <w:bCs/>
                <w:color w:val="FFFFFF"/>
                <w:lang w:eastAsia="en-GB"/>
              </w:rPr>
              <w:t>Residual Consequence</w:t>
            </w:r>
          </w:p>
        </w:tc>
        <w:tc>
          <w:tcPr>
            <w:tcW w:w="1214" w:type="dxa"/>
            <w:tcBorders>
              <w:top w:val="nil"/>
              <w:left w:val="nil"/>
              <w:bottom w:val="nil"/>
              <w:right w:val="nil"/>
            </w:tcBorders>
            <w:shd w:val="clear" w:color="000000" w:fill="E26B0A"/>
            <w:noWrap/>
            <w:hideMark/>
          </w:tcPr>
          <w:p w14:paraId="4C829DE0" w14:textId="77777777" w:rsidR="0076281E" w:rsidRPr="00AF0BBF" w:rsidRDefault="0076281E" w:rsidP="00142A47">
            <w:pPr>
              <w:spacing w:after="0" w:line="240" w:lineRule="auto"/>
              <w:jc w:val="center"/>
              <w:rPr>
                <w:rFonts w:ascii="Century Gothic" w:eastAsia="Times New Roman" w:hAnsi="Century Gothic" w:cs="Calibri"/>
                <w:b/>
                <w:bCs/>
                <w:color w:val="FFFFFF"/>
                <w:lang w:eastAsia="en-GB"/>
              </w:rPr>
            </w:pPr>
            <w:r w:rsidRPr="00AF0BBF">
              <w:rPr>
                <w:rFonts w:ascii="Century Gothic" w:eastAsia="Times New Roman" w:hAnsi="Century Gothic" w:cs="Calibri"/>
                <w:b/>
                <w:bCs/>
                <w:color w:val="FFFFFF"/>
                <w:lang w:eastAsia="en-GB"/>
              </w:rPr>
              <w:t>Residual Risk</w:t>
            </w:r>
          </w:p>
        </w:tc>
      </w:tr>
      <w:tr w:rsidR="0076281E" w:rsidRPr="00AF0BBF" w14:paraId="1A929DB8" w14:textId="77777777" w:rsidTr="00142A47">
        <w:trPr>
          <w:trHeight w:val="966"/>
        </w:trPr>
        <w:tc>
          <w:tcPr>
            <w:tcW w:w="663" w:type="dxa"/>
            <w:tcBorders>
              <w:top w:val="nil"/>
              <w:left w:val="nil"/>
              <w:bottom w:val="nil"/>
              <w:right w:val="nil"/>
            </w:tcBorders>
            <w:shd w:val="clear" w:color="FDE9D9" w:fill="FDE9D9"/>
            <w:noWrap/>
            <w:vAlign w:val="bottom"/>
            <w:hideMark/>
          </w:tcPr>
          <w:p w14:paraId="032EB96A" w14:textId="77777777" w:rsidR="0076281E" w:rsidRPr="00AF0BBF" w:rsidRDefault="0076281E" w:rsidP="00142A47">
            <w:pPr>
              <w:spacing w:after="0" w:line="240" w:lineRule="auto"/>
              <w:rPr>
                <w:rFonts w:ascii="Calibri" w:eastAsia="Times New Roman" w:hAnsi="Calibri" w:cs="Calibri"/>
                <w:b/>
                <w:bCs/>
                <w:color w:val="000000"/>
                <w:lang w:eastAsia="en-GB"/>
              </w:rPr>
            </w:pPr>
            <w:r w:rsidRPr="00AF0BBF">
              <w:rPr>
                <w:rFonts w:ascii="Calibri" w:eastAsia="Times New Roman" w:hAnsi="Calibri" w:cs="Calibri"/>
                <w:b/>
                <w:bCs/>
                <w:color w:val="000000"/>
                <w:lang w:eastAsia="en-GB"/>
              </w:rPr>
              <w:t>R1</w:t>
            </w:r>
          </w:p>
        </w:tc>
        <w:tc>
          <w:tcPr>
            <w:tcW w:w="4220" w:type="dxa"/>
            <w:tcBorders>
              <w:top w:val="nil"/>
              <w:left w:val="nil"/>
              <w:bottom w:val="nil"/>
              <w:right w:val="nil"/>
            </w:tcBorders>
            <w:shd w:val="clear" w:color="FDE9D9" w:fill="FDE9D9"/>
            <w:vAlign w:val="bottom"/>
            <w:hideMark/>
          </w:tcPr>
          <w:p w14:paraId="328BB94D" w14:textId="77777777" w:rsidR="0076281E" w:rsidRPr="00AF0BBF" w:rsidRDefault="0076281E" w:rsidP="00142A47">
            <w:pPr>
              <w:spacing w:after="0" w:line="240" w:lineRule="auto"/>
              <w:rPr>
                <w:rFonts w:ascii="Calibri" w:eastAsia="Times New Roman" w:hAnsi="Calibri" w:cs="Calibri"/>
                <w:color w:val="000000"/>
                <w:lang w:eastAsia="en-GB"/>
              </w:rPr>
            </w:pPr>
            <w:r w:rsidRPr="00AF0BBF">
              <w:rPr>
                <w:rFonts w:ascii="Calibri" w:eastAsia="Times New Roman" w:hAnsi="Calibri" w:cs="Calibri"/>
                <w:color w:val="000000"/>
                <w:lang w:eastAsia="en-GB"/>
              </w:rPr>
              <w:t>Not segmenting the network increases the likelihood of unauthorized access and lateral movement across sensitive systems.</w:t>
            </w:r>
          </w:p>
        </w:tc>
        <w:tc>
          <w:tcPr>
            <w:tcW w:w="3506" w:type="dxa"/>
            <w:tcBorders>
              <w:top w:val="nil"/>
              <w:left w:val="nil"/>
              <w:bottom w:val="nil"/>
              <w:right w:val="nil"/>
            </w:tcBorders>
            <w:shd w:val="clear" w:color="FDE9D9" w:fill="FDE9D9"/>
            <w:vAlign w:val="bottom"/>
            <w:hideMark/>
          </w:tcPr>
          <w:p w14:paraId="355095BE" w14:textId="77777777" w:rsidR="0076281E" w:rsidRPr="00AF0BBF" w:rsidRDefault="0076281E" w:rsidP="00142A47">
            <w:pPr>
              <w:spacing w:after="0" w:line="240" w:lineRule="auto"/>
              <w:rPr>
                <w:rFonts w:ascii="Calibri" w:eastAsia="Times New Roman" w:hAnsi="Calibri" w:cs="Calibri"/>
                <w:color w:val="000000"/>
                <w:lang w:eastAsia="en-GB"/>
              </w:rPr>
            </w:pPr>
            <w:r w:rsidRPr="00AF0BBF">
              <w:rPr>
                <w:rFonts w:ascii="Calibri" w:eastAsia="Times New Roman" w:hAnsi="Calibri" w:cs="Calibri"/>
                <w:color w:val="000000"/>
                <w:lang w:eastAsia="en-GB"/>
              </w:rPr>
              <w:t>Flat network with centralized data and basic logging.</w:t>
            </w:r>
          </w:p>
        </w:tc>
        <w:tc>
          <w:tcPr>
            <w:tcW w:w="1299" w:type="dxa"/>
            <w:tcBorders>
              <w:top w:val="nil"/>
              <w:left w:val="nil"/>
              <w:bottom w:val="nil"/>
              <w:right w:val="nil"/>
            </w:tcBorders>
            <w:shd w:val="clear" w:color="FDE9D9" w:fill="FDE9D9"/>
            <w:noWrap/>
            <w:vAlign w:val="bottom"/>
            <w:hideMark/>
          </w:tcPr>
          <w:p w14:paraId="6F8D7189"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Likely</w:t>
            </w:r>
          </w:p>
        </w:tc>
        <w:tc>
          <w:tcPr>
            <w:tcW w:w="1730" w:type="dxa"/>
            <w:tcBorders>
              <w:top w:val="nil"/>
              <w:left w:val="nil"/>
              <w:bottom w:val="nil"/>
              <w:right w:val="nil"/>
            </w:tcBorders>
            <w:shd w:val="clear" w:color="FDE9D9" w:fill="FDE9D9"/>
            <w:noWrap/>
            <w:vAlign w:val="bottom"/>
            <w:hideMark/>
          </w:tcPr>
          <w:p w14:paraId="20499AF8"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Major</w:t>
            </w:r>
          </w:p>
        </w:tc>
        <w:tc>
          <w:tcPr>
            <w:tcW w:w="964" w:type="dxa"/>
            <w:tcBorders>
              <w:top w:val="nil"/>
              <w:left w:val="nil"/>
              <w:bottom w:val="nil"/>
              <w:right w:val="nil"/>
            </w:tcBorders>
            <w:shd w:val="clear" w:color="FDE9D9" w:fill="FDE9D9"/>
            <w:noWrap/>
            <w:vAlign w:val="bottom"/>
            <w:hideMark/>
          </w:tcPr>
          <w:p w14:paraId="42CADBDC"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Extreme</w:t>
            </w:r>
          </w:p>
        </w:tc>
        <w:tc>
          <w:tcPr>
            <w:tcW w:w="3415" w:type="dxa"/>
            <w:tcBorders>
              <w:top w:val="nil"/>
              <w:left w:val="nil"/>
              <w:bottom w:val="nil"/>
              <w:right w:val="nil"/>
            </w:tcBorders>
            <w:shd w:val="clear" w:color="FDE9D9" w:fill="FDE9D9"/>
            <w:vAlign w:val="bottom"/>
            <w:hideMark/>
          </w:tcPr>
          <w:p w14:paraId="7B615080" w14:textId="77777777" w:rsidR="0076281E" w:rsidRPr="00AF0BBF" w:rsidRDefault="0076281E" w:rsidP="00142A47">
            <w:pPr>
              <w:spacing w:after="0" w:line="240" w:lineRule="auto"/>
              <w:rPr>
                <w:rFonts w:ascii="Calibri" w:eastAsia="Times New Roman" w:hAnsi="Calibri" w:cs="Calibri"/>
                <w:color w:val="000000"/>
                <w:lang w:eastAsia="en-GB"/>
              </w:rPr>
            </w:pPr>
            <w:r w:rsidRPr="00AF0BBF">
              <w:rPr>
                <w:rFonts w:ascii="Calibri" w:eastAsia="Times New Roman" w:hAnsi="Calibri" w:cs="Calibri"/>
                <w:color w:val="000000"/>
                <w:lang w:eastAsia="en-GB"/>
              </w:rPr>
              <w:t>Mitigate – Implement VLAN-based network segmentation, role-based access controls, and internal firewall policies. (Ref: ISO/IEC 27001 A.13.1.1 – Network controls)</w:t>
            </w:r>
          </w:p>
        </w:tc>
        <w:tc>
          <w:tcPr>
            <w:tcW w:w="1799" w:type="dxa"/>
            <w:tcBorders>
              <w:top w:val="nil"/>
              <w:left w:val="nil"/>
              <w:bottom w:val="nil"/>
              <w:right w:val="nil"/>
            </w:tcBorders>
            <w:shd w:val="clear" w:color="FDE9D9" w:fill="FDE9D9"/>
            <w:noWrap/>
            <w:vAlign w:val="bottom"/>
            <w:hideMark/>
          </w:tcPr>
          <w:p w14:paraId="5F5A2693"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Possible</w:t>
            </w:r>
          </w:p>
        </w:tc>
        <w:tc>
          <w:tcPr>
            <w:tcW w:w="2171" w:type="dxa"/>
            <w:tcBorders>
              <w:top w:val="nil"/>
              <w:left w:val="nil"/>
              <w:bottom w:val="nil"/>
              <w:right w:val="nil"/>
            </w:tcBorders>
            <w:shd w:val="clear" w:color="FDE9D9" w:fill="FDE9D9"/>
            <w:noWrap/>
            <w:vAlign w:val="bottom"/>
            <w:hideMark/>
          </w:tcPr>
          <w:p w14:paraId="2086BAC8"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Moderate</w:t>
            </w:r>
          </w:p>
        </w:tc>
        <w:tc>
          <w:tcPr>
            <w:tcW w:w="1214" w:type="dxa"/>
            <w:tcBorders>
              <w:top w:val="nil"/>
              <w:left w:val="nil"/>
              <w:bottom w:val="nil"/>
              <w:right w:val="nil"/>
            </w:tcBorders>
            <w:shd w:val="clear" w:color="FDE9D9" w:fill="FDE9D9"/>
            <w:noWrap/>
            <w:vAlign w:val="bottom"/>
            <w:hideMark/>
          </w:tcPr>
          <w:p w14:paraId="6BB85B47"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Moderate</w:t>
            </w:r>
          </w:p>
        </w:tc>
      </w:tr>
      <w:tr w:rsidR="0076281E" w:rsidRPr="00AF0BBF" w14:paraId="3F7BD21C" w14:textId="77777777" w:rsidTr="00142A47">
        <w:trPr>
          <w:trHeight w:val="966"/>
        </w:trPr>
        <w:tc>
          <w:tcPr>
            <w:tcW w:w="663" w:type="dxa"/>
            <w:tcBorders>
              <w:top w:val="nil"/>
              <w:left w:val="nil"/>
              <w:bottom w:val="nil"/>
              <w:right w:val="nil"/>
            </w:tcBorders>
            <w:shd w:val="clear" w:color="auto" w:fill="auto"/>
            <w:noWrap/>
            <w:vAlign w:val="bottom"/>
            <w:hideMark/>
          </w:tcPr>
          <w:p w14:paraId="05B9571E" w14:textId="77777777" w:rsidR="0076281E" w:rsidRPr="00AF0BBF" w:rsidRDefault="0076281E" w:rsidP="00142A47">
            <w:pPr>
              <w:spacing w:after="0" w:line="240" w:lineRule="auto"/>
              <w:rPr>
                <w:rFonts w:ascii="Calibri" w:eastAsia="Times New Roman" w:hAnsi="Calibri" w:cs="Calibri"/>
                <w:b/>
                <w:bCs/>
                <w:color w:val="000000"/>
                <w:lang w:eastAsia="en-GB"/>
              </w:rPr>
            </w:pPr>
            <w:r w:rsidRPr="00AF0BBF">
              <w:rPr>
                <w:rFonts w:ascii="Calibri" w:eastAsia="Times New Roman" w:hAnsi="Calibri" w:cs="Calibri"/>
                <w:b/>
                <w:bCs/>
                <w:color w:val="000000"/>
                <w:lang w:eastAsia="en-GB"/>
              </w:rPr>
              <w:t>R2</w:t>
            </w:r>
          </w:p>
        </w:tc>
        <w:tc>
          <w:tcPr>
            <w:tcW w:w="4220" w:type="dxa"/>
            <w:tcBorders>
              <w:top w:val="nil"/>
              <w:left w:val="nil"/>
              <w:bottom w:val="nil"/>
              <w:right w:val="nil"/>
            </w:tcBorders>
            <w:shd w:val="clear" w:color="auto" w:fill="auto"/>
            <w:vAlign w:val="bottom"/>
            <w:hideMark/>
          </w:tcPr>
          <w:p w14:paraId="324FC103" w14:textId="77777777" w:rsidR="0076281E" w:rsidRPr="00AF0BBF" w:rsidRDefault="0076281E" w:rsidP="00142A47">
            <w:pPr>
              <w:spacing w:after="0" w:line="240" w:lineRule="auto"/>
              <w:rPr>
                <w:rFonts w:ascii="Calibri" w:eastAsia="Times New Roman" w:hAnsi="Calibri" w:cs="Calibri"/>
                <w:color w:val="000000"/>
                <w:lang w:eastAsia="en-GB"/>
              </w:rPr>
            </w:pPr>
            <w:r w:rsidRPr="00AF0BBF">
              <w:rPr>
                <w:rFonts w:ascii="Calibri" w:eastAsia="Times New Roman" w:hAnsi="Calibri" w:cs="Calibri"/>
                <w:color w:val="000000"/>
                <w:lang w:eastAsia="en-GB"/>
              </w:rPr>
              <w:t>Not implementing multi-factor authentication elevates the likelihood of unauthorized access due to compromised credentials.</w:t>
            </w:r>
          </w:p>
        </w:tc>
        <w:tc>
          <w:tcPr>
            <w:tcW w:w="3506" w:type="dxa"/>
            <w:tcBorders>
              <w:top w:val="nil"/>
              <w:left w:val="nil"/>
              <w:bottom w:val="nil"/>
              <w:right w:val="nil"/>
            </w:tcBorders>
            <w:shd w:val="clear" w:color="auto" w:fill="auto"/>
            <w:vAlign w:val="bottom"/>
            <w:hideMark/>
          </w:tcPr>
          <w:p w14:paraId="38AC62E3" w14:textId="77777777" w:rsidR="0076281E" w:rsidRPr="00AF0BBF" w:rsidRDefault="0076281E" w:rsidP="00142A47">
            <w:pPr>
              <w:spacing w:after="0" w:line="240" w:lineRule="auto"/>
              <w:rPr>
                <w:rFonts w:ascii="Calibri" w:eastAsia="Times New Roman" w:hAnsi="Calibri" w:cs="Calibri"/>
                <w:color w:val="000000"/>
                <w:lang w:eastAsia="en-GB"/>
              </w:rPr>
            </w:pPr>
            <w:r w:rsidRPr="00AF0BBF">
              <w:rPr>
                <w:rFonts w:ascii="Calibri" w:eastAsia="Times New Roman" w:hAnsi="Calibri" w:cs="Calibri"/>
                <w:color w:val="000000"/>
                <w:lang w:eastAsia="en-GB"/>
              </w:rPr>
              <w:t>Password complexity enforced only.</w:t>
            </w:r>
          </w:p>
        </w:tc>
        <w:tc>
          <w:tcPr>
            <w:tcW w:w="1299" w:type="dxa"/>
            <w:tcBorders>
              <w:top w:val="nil"/>
              <w:left w:val="nil"/>
              <w:bottom w:val="nil"/>
              <w:right w:val="nil"/>
            </w:tcBorders>
            <w:shd w:val="clear" w:color="auto" w:fill="auto"/>
            <w:noWrap/>
            <w:vAlign w:val="bottom"/>
            <w:hideMark/>
          </w:tcPr>
          <w:p w14:paraId="485A6D4A"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Likely</w:t>
            </w:r>
          </w:p>
        </w:tc>
        <w:tc>
          <w:tcPr>
            <w:tcW w:w="1730" w:type="dxa"/>
            <w:tcBorders>
              <w:top w:val="nil"/>
              <w:left w:val="nil"/>
              <w:bottom w:val="nil"/>
              <w:right w:val="nil"/>
            </w:tcBorders>
            <w:shd w:val="clear" w:color="auto" w:fill="auto"/>
            <w:noWrap/>
            <w:vAlign w:val="bottom"/>
            <w:hideMark/>
          </w:tcPr>
          <w:p w14:paraId="501F8D05"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Major</w:t>
            </w:r>
          </w:p>
        </w:tc>
        <w:tc>
          <w:tcPr>
            <w:tcW w:w="964" w:type="dxa"/>
            <w:tcBorders>
              <w:top w:val="nil"/>
              <w:left w:val="nil"/>
              <w:bottom w:val="nil"/>
              <w:right w:val="nil"/>
            </w:tcBorders>
            <w:shd w:val="clear" w:color="auto" w:fill="auto"/>
            <w:noWrap/>
            <w:vAlign w:val="bottom"/>
            <w:hideMark/>
          </w:tcPr>
          <w:p w14:paraId="6571CA30"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Extreme</w:t>
            </w:r>
          </w:p>
        </w:tc>
        <w:tc>
          <w:tcPr>
            <w:tcW w:w="3415" w:type="dxa"/>
            <w:tcBorders>
              <w:top w:val="nil"/>
              <w:left w:val="nil"/>
              <w:bottom w:val="nil"/>
              <w:right w:val="nil"/>
            </w:tcBorders>
            <w:shd w:val="clear" w:color="auto" w:fill="auto"/>
            <w:vAlign w:val="bottom"/>
            <w:hideMark/>
          </w:tcPr>
          <w:p w14:paraId="59667751" w14:textId="77777777" w:rsidR="0076281E" w:rsidRPr="00AF0BBF" w:rsidRDefault="0076281E" w:rsidP="00142A47">
            <w:pPr>
              <w:spacing w:after="0" w:line="240" w:lineRule="auto"/>
              <w:rPr>
                <w:rFonts w:ascii="Calibri" w:eastAsia="Times New Roman" w:hAnsi="Calibri" w:cs="Calibri"/>
                <w:color w:val="000000"/>
                <w:lang w:eastAsia="en-GB"/>
              </w:rPr>
            </w:pPr>
            <w:r w:rsidRPr="00AF0BBF">
              <w:rPr>
                <w:rFonts w:ascii="Calibri" w:eastAsia="Times New Roman" w:hAnsi="Calibri" w:cs="Calibri"/>
                <w:color w:val="000000"/>
                <w:lang w:eastAsia="en-GB"/>
              </w:rPr>
              <w:t>Mitigate – Enforce multi-factor authentication for all admin and user accounts. (Ref: ISO/IEC 27001 A.9.4.2 – Secure log-on procedures / A.9.4.3 – Password management system)</w:t>
            </w:r>
          </w:p>
        </w:tc>
        <w:tc>
          <w:tcPr>
            <w:tcW w:w="1799" w:type="dxa"/>
            <w:tcBorders>
              <w:top w:val="nil"/>
              <w:left w:val="nil"/>
              <w:bottom w:val="nil"/>
              <w:right w:val="nil"/>
            </w:tcBorders>
            <w:shd w:val="clear" w:color="auto" w:fill="auto"/>
            <w:noWrap/>
            <w:vAlign w:val="bottom"/>
            <w:hideMark/>
          </w:tcPr>
          <w:p w14:paraId="4AFC3D23"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Unlikely</w:t>
            </w:r>
          </w:p>
        </w:tc>
        <w:tc>
          <w:tcPr>
            <w:tcW w:w="2171" w:type="dxa"/>
            <w:tcBorders>
              <w:top w:val="nil"/>
              <w:left w:val="nil"/>
              <w:bottom w:val="nil"/>
              <w:right w:val="nil"/>
            </w:tcBorders>
            <w:shd w:val="clear" w:color="auto" w:fill="auto"/>
            <w:noWrap/>
            <w:vAlign w:val="bottom"/>
            <w:hideMark/>
          </w:tcPr>
          <w:p w14:paraId="49C231F8"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Moderate</w:t>
            </w:r>
          </w:p>
        </w:tc>
        <w:tc>
          <w:tcPr>
            <w:tcW w:w="1214" w:type="dxa"/>
            <w:tcBorders>
              <w:top w:val="nil"/>
              <w:left w:val="nil"/>
              <w:bottom w:val="nil"/>
              <w:right w:val="nil"/>
            </w:tcBorders>
            <w:shd w:val="clear" w:color="auto" w:fill="auto"/>
            <w:noWrap/>
            <w:vAlign w:val="bottom"/>
            <w:hideMark/>
          </w:tcPr>
          <w:p w14:paraId="3A03D129"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Low</w:t>
            </w:r>
          </w:p>
        </w:tc>
      </w:tr>
      <w:tr w:rsidR="0076281E" w:rsidRPr="00AF0BBF" w14:paraId="4F2560E8" w14:textId="77777777" w:rsidTr="00142A47">
        <w:trPr>
          <w:trHeight w:val="1208"/>
        </w:trPr>
        <w:tc>
          <w:tcPr>
            <w:tcW w:w="663" w:type="dxa"/>
            <w:tcBorders>
              <w:top w:val="nil"/>
              <w:left w:val="nil"/>
              <w:bottom w:val="nil"/>
              <w:right w:val="nil"/>
            </w:tcBorders>
            <w:shd w:val="clear" w:color="FDE9D9" w:fill="FDE9D9"/>
            <w:noWrap/>
            <w:vAlign w:val="bottom"/>
            <w:hideMark/>
          </w:tcPr>
          <w:p w14:paraId="0C384934" w14:textId="77777777" w:rsidR="0076281E" w:rsidRPr="00AF0BBF" w:rsidRDefault="0076281E" w:rsidP="00142A47">
            <w:pPr>
              <w:spacing w:after="0" w:line="240" w:lineRule="auto"/>
              <w:rPr>
                <w:rFonts w:ascii="Calibri" w:eastAsia="Times New Roman" w:hAnsi="Calibri" w:cs="Calibri"/>
                <w:b/>
                <w:bCs/>
                <w:color w:val="000000"/>
                <w:lang w:eastAsia="en-GB"/>
              </w:rPr>
            </w:pPr>
            <w:r w:rsidRPr="00AF0BBF">
              <w:rPr>
                <w:rFonts w:ascii="Calibri" w:eastAsia="Times New Roman" w:hAnsi="Calibri" w:cs="Calibri"/>
                <w:b/>
                <w:bCs/>
                <w:color w:val="000000"/>
                <w:lang w:eastAsia="en-GB"/>
              </w:rPr>
              <w:t>R3</w:t>
            </w:r>
          </w:p>
        </w:tc>
        <w:tc>
          <w:tcPr>
            <w:tcW w:w="4220" w:type="dxa"/>
            <w:tcBorders>
              <w:top w:val="nil"/>
              <w:left w:val="nil"/>
              <w:bottom w:val="nil"/>
              <w:right w:val="nil"/>
            </w:tcBorders>
            <w:shd w:val="clear" w:color="FDE9D9" w:fill="FDE9D9"/>
            <w:vAlign w:val="bottom"/>
            <w:hideMark/>
          </w:tcPr>
          <w:p w14:paraId="665CF8E0" w14:textId="77777777" w:rsidR="0076281E" w:rsidRPr="00AF0BBF" w:rsidRDefault="0076281E" w:rsidP="00142A47">
            <w:pPr>
              <w:spacing w:after="0" w:line="240" w:lineRule="auto"/>
              <w:rPr>
                <w:rFonts w:ascii="Calibri" w:eastAsia="Times New Roman" w:hAnsi="Calibri" w:cs="Calibri"/>
                <w:color w:val="000000"/>
                <w:lang w:eastAsia="en-GB"/>
              </w:rPr>
            </w:pPr>
            <w:r w:rsidRPr="00AF0BBF">
              <w:rPr>
                <w:rFonts w:ascii="Calibri" w:eastAsia="Times New Roman" w:hAnsi="Calibri" w:cs="Calibri"/>
                <w:color w:val="000000"/>
                <w:lang w:eastAsia="en-GB"/>
              </w:rPr>
              <w:t>Not documenting and testing the incident response plan elevates the consequence of an ineffective response during security incidents.</w:t>
            </w:r>
          </w:p>
        </w:tc>
        <w:tc>
          <w:tcPr>
            <w:tcW w:w="3506" w:type="dxa"/>
            <w:tcBorders>
              <w:top w:val="nil"/>
              <w:left w:val="nil"/>
              <w:bottom w:val="nil"/>
              <w:right w:val="nil"/>
            </w:tcBorders>
            <w:shd w:val="clear" w:color="FDE9D9" w:fill="FDE9D9"/>
            <w:vAlign w:val="bottom"/>
            <w:hideMark/>
          </w:tcPr>
          <w:p w14:paraId="17C490EE" w14:textId="77777777" w:rsidR="0076281E" w:rsidRPr="00AF0BBF" w:rsidRDefault="0076281E" w:rsidP="00142A47">
            <w:pPr>
              <w:spacing w:after="0" w:line="240" w:lineRule="auto"/>
              <w:rPr>
                <w:rFonts w:ascii="Calibri" w:eastAsia="Times New Roman" w:hAnsi="Calibri" w:cs="Calibri"/>
                <w:color w:val="000000"/>
                <w:lang w:eastAsia="en-GB"/>
              </w:rPr>
            </w:pPr>
            <w:r w:rsidRPr="00AF0BBF">
              <w:rPr>
                <w:rFonts w:ascii="Calibri" w:eastAsia="Times New Roman" w:hAnsi="Calibri" w:cs="Calibri"/>
                <w:color w:val="000000"/>
                <w:lang w:eastAsia="en-GB"/>
              </w:rPr>
              <w:t>Logging enabled, DR/BCP exists but not tested, occasional workshops held.</w:t>
            </w:r>
          </w:p>
        </w:tc>
        <w:tc>
          <w:tcPr>
            <w:tcW w:w="1299" w:type="dxa"/>
            <w:tcBorders>
              <w:top w:val="nil"/>
              <w:left w:val="nil"/>
              <w:bottom w:val="nil"/>
              <w:right w:val="nil"/>
            </w:tcBorders>
            <w:shd w:val="clear" w:color="FDE9D9" w:fill="FDE9D9"/>
            <w:noWrap/>
            <w:vAlign w:val="bottom"/>
            <w:hideMark/>
          </w:tcPr>
          <w:p w14:paraId="6AF8AEFC"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Possible</w:t>
            </w:r>
          </w:p>
        </w:tc>
        <w:tc>
          <w:tcPr>
            <w:tcW w:w="1730" w:type="dxa"/>
            <w:tcBorders>
              <w:top w:val="nil"/>
              <w:left w:val="nil"/>
              <w:bottom w:val="nil"/>
              <w:right w:val="nil"/>
            </w:tcBorders>
            <w:shd w:val="clear" w:color="FDE9D9" w:fill="FDE9D9"/>
            <w:noWrap/>
            <w:vAlign w:val="bottom"/>
            <w:hideMark/>
          </w:tcPr>
          <w:p w14:paraId="615DE00C"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Major</w:t>
            </w:r>
          </w:p>
        </w:tc>
        <w:tc>
          <w:tcPr>
            <w:tcW w:w="964" w:type="dxa"/>
            <w:tcBorders>
              <w:top w:val="nil"/>
              <w:left w:val="nil"/>
              <w:bottom w:val="nil"/>
              <w:right w:val="nil"/>
            </w:tcBorders>
            <w:shd w:val="clear" w:color="FDE9D9" w:fill="FDE9D9"/>
            <w:noWrap/>
            <w:vAlign w:val="bottom"/>
            <w:hideMark/>
          </w:tcPr>
          <w:p w14:paraId="696918C7"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High</w:t>
            </w:r>
          </w:p>
        </w:tc>
        <w:tc>
          <w:tcPr>
            <w:tcW w:w="3415" w:type="dxa"/>
            <w:tcBorders>
              <w:top w:val="nil"/>
              <w:left w:val="nil"/>
              <w:bottom w:val="nil"/>
              <w:right w:val="nil"/>
            </w:tcBorders>
            <w:shd w:val="clear" w:color="FDE9D9" w:fill="FDE9D9"/>
            <w:vAlign w:val="bottom"/>
            <w:hideMark/>
          </w:tcPr>
          <w:p w14:paraId="7FE8841F" w14:textId="77777777" w:rsidR="0076281E" w:rsidRPr="00AF0BBF" w:rsidRDefault="0076281E" w:rsidP="00142A47">
            <w:pPr>
              <w:spacing w:after="0" w:line="240" w:lineRule="auto"/>
              <w:rPr>
                <w:rFonts w:ascii="Calibri" w:eastAsia="Times New Roman" w:hAnsi="Calibri" w:cs="Calibri"/>
                <w:color w:val="000000"/>
                <w:lang w:eastAsia="en-GB"/>
              </w:rPr>
            </w:pPr>
            <w:r w:rsidRPr="00AF0BBF">
              <w:rPr>
                <w:rFonts w:ascii="Calibri" w:eastAsia="Times New Roman" w:hAnsi="Calibri" w:cs="Calibri"/>
                <w:color w:val="000000"/>
                <w:lang w:eastAsia="en-GB"/>
              </w:rPr>
              <w:t>Mitigate – Develop and test a formal incident response plan, implement awareness training, and conduct regular tabletop exercises. (Ref: ISO/IEC 27001 A.16.1.1 – Responsibilities and procedures / A.17.1.3 – Information backup)</w:t>
            </w:r>
          </w:p>
        </w:tc>
        <w:tc>
          <w:tcPr>
            <w:tcW w:w="1799" w:type="dxa"/>
            <w:tcBorders>
              <w:top w:val="nil"/>
              <w:left w:val="nil"/>
              <w:bottom w:val="nil"/>
              <w:right w:val="nil"/>
            </w:tcBorders>
            <w:shd w:val="clear" w:color="FDE9D9" w:fill="FDE9D9"/>
            <w:noWrap/>
            <w:vAlign w:val="bottom"/>
            <w:hideMark/>
          </w:tcPr>
          <w:p w14:paraId="1621A6CE"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Unlikely</w:t>
            </w:r>
          </w:p>
        </w:tc>
        <w:tc>
          <w:tcPr>
            <w:tcW w:w="2171" w:type="dxa"/>
            <w:tcBorders>
              <w:top w:val="nil"/>
              <w:left w:val="nil"/>
              <w:bottom w:val="nil"/>
              <w:right w:val="nil"/>
            </w:tcBorders>
            <w:shd w:val="clear" w:color="FDE9D9" w:fill="FDE9D9"/>
            <w:noWrap/>
            <w:vAlign w:val="bottom"/>
            <w:hideMark/>
          </w:tcPr>
          <w:p w14:paraId="2408E4F6"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Moderate</w:t>
            </w:r>
          </w:p>
        </w:tc>
        <w:tc>
          <w:tcPr>
            <w:tcW w:w="1214" w:type="dxa"/>
            <w:tcBorders>
              <w:top w:val="nil"/>
              <w:left w:val="nil"/>
              <w:bottom w:val="nil"/>
              <w:right w:val="nil"/>
            </w:tcBorders>
            <w:shd w:val="clear" w:color="FDE9D9" w:fill="FDE9D9"/>
            <w:noWrap/>
            <w:vAlign w:val="bottom"/>
            <w:hideMark/>
          </w:tcPr>
          <w:p w14:paraId="044466B8"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Moderate</w:t>
            </w:r>
          </w:p>
        </w:tc>
      </w:tr>
      <w:tr w:rsidR="0076281E" w:rsidRPr="00AF0BBF" w14:paraId="1E485681" w14:textId="77777777" w:rsidTr="00142A47">
        <w:trPr>
          <w:trHeight w:val="1449"/>
        </w:trPr>
        <w:tc>
          <w:tcPr>
            <w:tcW w:w="663" w:type="dxa"/>
            <w:tcBorders>
              <w:top w:val="nil"/>
              <w:left w:val="nil"/>
              <w:bottom w:val="nil"/>
              <w:right w:val="nil"/>
            </w:tcBorders>
            <w:shd w:val="clear" w:color="auto" w:fill="auto"/>
            <w:noWrap/>
            <w:vAlign w:val="bottom"/>
            <w:hideMark/>
          </w:tcPr>
          <w:p w14:paraId="680389BB" w14:textId="77777777" w:rsidR="0076281E" w:rsidRPr="00AF0BBF" w:rsidRDefault="0076281E" w:rsidP="00142A47">
            <w:pPr>
              <w:spacing w:after="0" w:line="240" w:lineRule="auto"/>
              <w:rPr>
                <w:rFonts w:ascii="Calibri" w:eastAsia="Times New Roman" w:hAnsi="Calibri" w:cs="Calibri"/>
                <w:b/>
                <w:bCs/>
                <w:color w:val="000000"/>
                <w:lang w:eastAsia="en-GB"/>
              </w:rPr>
            </w:pPr>
            <w:r w:rsidRPr="00AF0BBF">
              <w:rPr>
                <w:rFonts w:ascii="Calibri" w:eastAsia="Times New Roman" w:hAnsi="Calibri" w:cs="Calibri"/>
                <w:b/>
                <w:bCs/>
                <w:color w:val="000000"/>
                <w:lang w:eastAsia="en-GB"/>
              </w:rPr>
              <w:t>R4</w:t>
            </w:r>
          </w:p>
        </w:tc>
        <w:tc>
          <w:tcPr>
            <w:tcW w:w="4220" w:type="dxa"/>
            <w:tcBorders>
              <w:top w:val="nil"/>
              <w:left w:val="nil"/>
              <w:bottom w:val="nil"/>
              <w:right w:val="nil"/>
            </w:tcBorders>
            <w:shd w:val="clear" w:color="auto" w:fill="auto"/>
            <w:vAlign w:val="bottom"/>
            <w:hideMark/>
          </w:tcPr>
          <w:p w14:paraId="6AC7C8E3" w14:textId="77777777" w:rsidR="0076281E" w:rsidRPr="00AF0BBF" w:rsidRDefault="0076281E" w:rsidP="00142A47">
            <w:pPr>
              <w:spacing w:after="0" w:line="240" w:lineRule="auto"/>
              <w:rPr>
                <w:rFonts w:ascii="Calibri" w:eastAsia="Times New Roman" w:hAnsi="Calibri" w:cs="Calibri"/>
                <w:color w:val="000000"/>
                <w:lang w:eastAsia="en-GB"/>
              </w:rPr>
            </w:pPr>
            <w:r w:rsidRPr="00AF0BBF">
              <w:rPr>
                <w:rFonts w:ascii="Calibri" w:eastAsia="Times New Roman" w:hAnsi="Calibri" w:cs="Calibri"/>
                <w:color w:val="000000"/>
                <w:lang w:eastAsia="en-GB"/>
              </w:rPr>
              <w:t>Not confirming PCI DSS applicability elevates the risk of non-compliance and mishandling of customer payment data.</w:t>
            </w:r>
          </w:p>
        </w:tc>
        <w:tc>
          <w:tcPr>
            <w:tcW w:w="3506" w:type="dxa"/>
            <w:tcBorders>
              <w:top w:val="nil"/>
              <w:left w:val="nil"/>
              <w:bottom w:val="nil"/>
              <w:right w:val="nil"/>
            </w:tcBorders>
            <w:shd w:val="clear" w:color="auto" w:fill="auto"/>
            <w:vAlign w:val="bottom"/>
            <w:hideMark/>
          </w:tcPr>
          <w:p w14:paraId="0D729345" w14:textId="77777777" w:rsidR="0076281E" w:rsidRPr="00AF0BBF" w:rsidRDefault="0076281E" w:rsidP="00142A47">
            <w:pPr>
              <w:spacing w:after="0" w:line="240" w:lineRule="auto"/>
              <w:rPr>
                <w:rFonts w:ascii="Calibri" w:eastAsia="Times New Roman" w:hAnsi="Calibri" w:cs="Calibri"/>
                <w:color w:val="000000"/>
                <w:lang w:eastAsia="en-GB"/>
              </w:rPr>
            </w:pPr>
            <w:r w:rsidRPr="00AF0BBF">
              <w:rPr>
                <w:rFonts w:ascii="Calibri" w:eastAsia="Times New Roman" w:hAnsi="Calibri" w:cs="Calibri"/>
                <w:color w:val="000000"/>
                <w:lang w:eastAsia="en-GB"/>
              </w:rPr>
              <w:t>PANs are masked; payment processing outsourced. CISO unsure about PCI DSS applicability.</w:t>
            </w:r>
          </w:p>
        </w:tc>
        <w:tc>
          <w:tcPr>
            <w:tcW w:w="1299" w:type="dxa"/>
            <w:tcBorders>
              <w:top w:val="nil"/>
              <w:left w:val="nil"/>
              <w:bottom w:val="nil"/>
              <w:right w:val="nil"/>
            </w:tcBorders>
            <w:shd w:val="clear" w:color="auto" w:fill="auto"/>
            <w:noWrap/>
            <w:vAlign w:val="bottom"/>
            <w:hideMark/>
          </w:tcPr>
          <w:p w14:paraId="7F8879A1"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Possible</w:t>
            </w:r>
          </w:p>
        </w:tc>
        <w:tc>
          <w:tcPr>
            <w:tcW w:w="1730" w:type="dxa"/>
            <w:tcBorders>
              <w:top w:val="nil"/>
              <w:left w:val="nil"/>
              <w:bottom w:val="nil"/>
              <w:right w:val="nil"/>
            </w:tcBorders>
            <w:shd w:val="clear" w:color="auto" w:fill="auto"/>
            <w:noWrap/>
            <w:vAlign w:val="bottom"/>
            <w:hideMark/>
          </w:tcPr>
          <w:p w14:paraId="31AF2534"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Major</w:t>
            </w:r>
          </w:p>
        </w:tc>
        <w:tc>
          <w:tcPr>
            <w:tcW w:w="964" w:type="dxa"/>
            <w:tcBorders>
              <w:top w:val="nil"/>
              <w:left w:val="nil"/>
              <w:bottom w:val="nil"/>
              <w:right w:val="nil"/>
            </w:tcBorders>
            <w:shd w:val="clear" w:color="auto" w:fill="auto"/>
            <w:noWrap/>
            <w:vAlign w:val="bottom"/>
            <w:hideMark/>
          </w:tcPr>
          <w:p w14:paraId="2732FE34"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High</w:t>
            </w:r>
          </w:p>
        </w:tc>
        <w:tc>
          <w:tcPr>
            <w:tcW w:w="3415" w:type="dxa"/>
            <w:tcBorders>
              <w:top w:val="nil"/>
              <w:left w:val="nil"/>
              <w:bottom w:val="nil"/>
              <w:right w:val="nil"/>
            </w:tcBorders>
            <w:shd w:val="clear" w:color="auto" w:fill="auto"/>
            <w:vAlign w:val="bottom"/>
            <w:hideMark/>
          </w:tcPr>
          <w:p w14:paraId="6A4EE136" w14:textId="77777777" w:rsidR="0076281E" w:rsidRPr="00AF0BBF" w:rsidRDefault="0076281E" w:rsidP="00142A47">
            <w:pPr>
              <w:spacing w:after="0" w:line="240" w:lineRule="auto"/>
              <w:rPr>
                <w:rFonts w:ascii="Calibri" w:eastAsia="Times New Roman" w:hAnsi="Calibri" w:cs="Calibri"/>
                <w:color w:val="000000"/>
                <w:lang w:eastAsia="en-GB"/>
              </w:rPr>
            </w:pPr>
            <w:r w:rsidRPr="00AF0BBF">
              <w:rPr>
                <w:rFonts w:ascii="Calibri" w:eastAsia="Times New Roman" w:hAnsi="Calibri" w:cs="Calibri"/>
                <w:color w:val="000000"/>
                <w:lang w:eastAsia="en-GB"/>
              </w:rPr>
              <w:t>Mitigate – Conduct a formal PCI DSS compliance assessment, document third-party roles, and update internal policies. (Ref: ISO/IEC 27001 A.18.1.4 – Privacy and protection of personally identifiable information)</w:t>
            </w:r>
          </w:p>
        </w:tc>
        <w:tc>
          <w:tcPr>
            <w:tcW w:w="1799" w:type="dxa"/>
            <w:tcBorders>
              <w:top w:val="nil"/>
              <w:left w:val="nil"/>
              <w:bottom w:val="nil"/>
              <w:right w:val="nil"/>
            </w:tcBorders>
            <w:shd w:val="clear" w:color="auto" w:fill="auto"/>
            <w:noWrap/>
            <w:vAlign w:val="bottom"/>
            <w:hideMark/>
          </w:tcPr>
          <w:p w14:paraId="6F22CA07"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Unlikely</w:t>
            </w:r>
          </w:p>
        </w:tc>
        <w:tc>
          <w:tcPr>
            <w:tcW w:w="2171" w:type="dxa"/>
            <w:tcBorders>
              <w:top w:val="nil"/>
              <w:left w:val="nil"/>
              <w:bottom w:val="nil"/>
              <w:right w:val="nil"/>
            </w:tcBorders>
            <w:shd w:val="clear" w:color="auto" w:fill="auto"/>
            <w:noWrap/>
            <w:vAlign w:val="bottom"/>
            <w:hideMark/>
          </w:tcPr>
          <w:p w14:paraId="24AD6096"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Moderate</w:t>
            </w:r>
          </w:p>
        </w:tc>
        <w:tc>
          <w:tcPr>
            <w:tcW w:w="1214" w:type="dxa"/>
            <w:tcBorders>
              <w:top w:val="nil"/>
              <w:left w:val="nil"/>
              <w:bottom w:val="nil"/>
              <w:right w:val="nil"/>
            </w:tcBorders>
            <w:shd w:val="clear" w:color="auto" w:fill="auto"/>
            <w:noWrap/>
            <w:vAlign w:val="bottom"/>
            <w:hideMark/>
          </w:tcPr>
          <w:p w14:paraId="2A5F1F81" w14:textId="77777777" w:rsidR="0076281E" w:rsidRPr="00AF0BBF" w:rsidRDefault="0076281E" w:rsidP="00142A47">
            <w:pPr>
              <w:spacing w:after="0" w:line="240" w:lineRule="auto"/>
              <w:jc w:val="center"/>
              <w:rPr>
                <w:rFonts w:ascii="Calibri" w:eastAsia="Times New Roman" w:hAnsi="Calibri" w:cs="Calibri"/>
                <w:color w:val="000000"/>
                <w:lang w:eastAsia="en-GB"/>
              </w:rPr>
            </w:pPr>
            <w:r w:rsidRPr="00AF0BBF">
              <w:rPr>
                <w:rFonts w:ascii="Calibri" w:eastAsia="Times New Roman" w:hAnsi="Calibri" w:cs="Calibri"/>
                <w:color w:val="000000"/>
                <w:lang w:eastAsia="en-GB"/>
              </w:rPr>
              <w:t>Moderate</w:t>
            </w:r>
          </w:p>
        </w:tc>
      </w:tr>
    </w:tbl>
    <w:p w14:paraId="582B6702" w14:textId="77777777" w:rsidR="0076281E" w:rsidRDefault="0076281E" w:rsidP="0076281E">
      <w:pPr>
        <w:rPr>
          <w:rFonts w:asciiTheme="majorHAnsi" w:hAnsiTheme="majorHAnsi" w:cstheme="majorHAnsi"/>
          <w:color w:val="auto"/>
        </w:rPr>
      </w:pPr>
    </w:p>
    <w:p w14:paraId="141B90E5" w14:textId="77777777" w:rsidR="0076281E" w:rsidRPr="00980205" w:rsidRDefault="0076281E" w:rsidP="0076281E">
      <w:pPr>
        <w:rPr>
          <w:rFonts w:asciiTheme="majorHAnsi" w:hAnsiTheme="majorHAnsi" w:cstheme="majorHAnsi"/>
          <w:color w:val="auto"/>
        </w:rPr>
        <w:sectPr w:rsidR="0076281E" w:rsidRPr="00980205" w:rsidSect="0076281E">
          <w:headerReference w:type="even" r:id="rId9"/>
          <w:headerReference w:type="default" r:id="rId10"/>
          <w:pgSz w:w="23811" w:h="16838" w:orient="landscape" w:code="8"/>
          <w:pgMar w:top="1440" w:right="1134" w:bottom="1440" w:left="1440" w:header="709" w:footer="709" w:gutter="0"/>
          <w:cols w:space="708"/>
          <w:titlePg/>
          <w:docGrid w:linePitch="360"/>
        </w:sectPr>
      </w:pPr>
    </w:p>
    <w:p w14:paraId="00925A84" w14:textId="77777777" w:rsidR="0076281E" w:rsidRPr="00980205" w:rsidRDefault="0076281E" w:rsidP="0076281E">
      <w:pPr>
        <w:rPr>
          <w:rFonts w:asciiTheme="majorHAnsi" w:hAnsiTheme="majorHAnsi" w:cstheme="majorHAnsi"/>
          <w:color w:val="auto"/>
        </w:rPr>
      </w:pPr>
    </w:p>
    <w:p w14:paraId="09A72BB6" w14:textId="77777777" w:rsidR="0076281E" w:rsidRPr="00980205" w:rsidRDefault="0076281E" w:rsidP="0076281E">
      <w:pPr>
        <w:keepNext/>
        <w:keepLines/>
        <w:tabs>
          <w:tab w:val="left" w:pos="6232"/>
        </w:tabs>
        <w:spacing w:before="480" w:after="0" w:line="276" w:lineRule="auto"/>
        <w:outlineLvl w:val="0"/>
        <w:rPr>
          <w:rFonts w:ascii="Cambria" w:eastAsia="MS Gothic" w:hAnsi="Cambria" w:cstheme="majorHAnsi"/>
          <w:b/>
          <w:bCs/>
          <w:color w:val="365F91"/>
          <w:sz w:val="28"/>
          <w:szCs w:val="28"/>
        </w:rPr>
      </w:pPr>
      <w:bookmarkStart w:id="0" w:name="_Hlk19553621"/>
      <w:r w:rsidRPr="00980205">
        <w:rPr>
          <w:rFonts w:ascii="Cambria" w:eastAsia="MS Gothic" w:hAnsi="Cambria" w:cstheme="majorHAnsi"/>
          <w:b/>
          <w:bCs/>
          <w:color w:val="365F91"/>
          <w:sz w:val="28"/>
          <w:szCs w:val="28"/>
        </w:rPr>
        <w:t>APPENDIX 1: Risk Matrix</w:t>
      </w:r>
      <w:r>
        <w:rPr>
          <w:rFonts w:ascii="Cambria" w:eastAsia="MS Gothic" w:hAnsi="Cambria" w:cstheme="majorHAnsi"/>
          <w:b/>
          <w:bCs/>
          <w:color w:val="365F91"/>
          <w:sz w:val="28"/>
          <w:szCs w:val="28"/>
        </w:rPr>
        <w:t xml:space="preserve"> and</w:t>
      </w:r>
      <w:r w:rsidRPr="00980205">
        <w:rPr>
          <w:rFonts w:ascii="Cambria" w:eastAsia="MS Gothic" w:hAnsi="Cambria" w:cstheme="majorHAnsi"/>
          <w:b/>
          <w:bCs/>
          <w:color w:val="365F91"/>
          <w:sz w:val="28"/>
          <w:szCs w:val="28"/>
        </w:rPr>
        <w:t xml:space="preserve"> Risk, Likelihood &amp; Consequence Ratings</w:t>
      </w:r>
    </w:p>
    <w:bookmarkEnd w:id="0"/>
    <w:p w14:paraId="6D44899B" w14:textId="77777777" w:rsidR="0076281E" w:rsidRPr="00980205" w:rsidRDefault="0076281E" w:rsidP="0076281E">
      <w:pPr>
        <w:pStyle w:val="HivintHeading1"/>
        <w:rPr>
          <w:rFonts w:ascii="Cambria" w:hAnsi="Cambria" w:cstheme="majorHAnsi"/>
          <w:color w:val="BF4E14" w:themeColor="accent2" w:themeShade="BF"/>
        </w:rPr>
      </w:pPr>
      <w:r w:rsidRPr="00980205">
        <w:rPr>
          <w:rFonts w:ascii="Cambria" w:hAnsi="Cambria" w:cstheme="majorHAnsi"/>
          <w:color w:val="BF4E14" w:themeColor="accent2" w:themeShade="BF"/>
        </w:rPr>
        <w:t>Risk Matrix</w:t>
      </w:r>
    </w:p>
    <w:tbl>
      <w:tblPr>
        <w:tblStyle w:val="GridTable5Dark-Accent2"/>
        <w:tblW w:w="9493" w:type="dxa"/>
        <w:tblLook w:val="04A0" w:firstRow="1" w:lastRow="0" w:firstColumn="1" w:lastColumn="0" w:noHBand="0" w:noVBand="1"/>
      </w:tblPr>
      <w:tblGrid>
        <w:gridCol w:w="824"/>
        <w:gridCol w:w="1268"/>
        <w:gridCol w:w="1480"/>
        <w:gridCol w:w="1480"/>
        <w:gridCol w:w="1480"/>
        <w:gridCol w:w="1480"/>
        <w:gridCol w:w="1481"/>
      </w:tblGrid>
      <w:tr w:rsidR="0076281E" w:rsidRPr="00980205" w14:paraId="009E3C3F" w14:textId="77777777" w:rsidTr="00142A47">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092" w:type="dxa"/>
            <w:gridSpan w:val="2"/>
            <w:vMerge w:val="restart"/>
          </w:tcPr>
          <w:p w14:paraId="795FF641" w14:textId="77777777" w:rsidR="0076281E" w:rsidRPr="00980205" w:rsidRDefault="0076281E" w:rsidP="00142A47">
            <w:pPr>
              <w:rPr>
                <w:rFonts w:asciiTheme="majorHAnsi" w:hAnsiTheme="majorHAnsi" w:cstheme="majorHAnsi"/>
                <w:sz w:val="20"/>
                <w:szCs w:val="20"/>
              </w:rPr>
            </w:pPr>
            <w:r w:rsidRPr="00980205">
              <w:rPr>
                <w:rFonts w:asciiTheme="majorHAnsi" w:hAnsiTheme="majorHAnsi" w:cstheme="majorHAnsi"/>
                <w:sz w:val="20"/>
                <w:szCs w:val="20"/>
              </w:rPr>
              <w:t>Risk Matrix</w:t>
            </w:r>
          </w:p>
        </w:tc>
        <w:tc>
          <w:tcPr>
            <w:tcW w:w="7401" w:type="dxa"/>
            <w:gridSpan w:val="5"/>
          </w:tcPr>
          <w:p w14:paraId="71771645" w14:textId="77777777" w:rsidR="0076281E" w:rsidRPr="00980205" w:rsidRDefault="0076281E" w:rsidP="00142A4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0205">
              <w:rPr>
                <w:rFonts w:asciiTheme="majorHAnsi" w:hAnsiTheme="majorHAnsi" w:cstheme="majorHAnsi"/>
                <w:sz w:val="20"/>
                <w:szCs w:val="20"/>
              </w:rPr>
              <w:t>Consequence</w:t>
            </w:r>
          </w:p>
        </w:tc>
      </w:tr>
      <w:tr w:rsidR="0076281E" w:rsidRPr="00980205" w14:paraId="757F525B" w14:textId="77777777" w:rsidTr="00142A4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092" w:type="dxa"/>
            <w:gridSpan w:val="2"/>
            <w:vMerge/>
          </w:tcPr>
          <w:p w14:paraId="5179F502" w14:textId="77777777" w:rsidR="0076281E" w:rsidRPr="00980205" w:rsidRDefault="0076281E" w:rsidP="00142A47">
            <w:pPr>
              <w:rPr>
                <w:rFonts w:asciiTheme="majorHAnsi" w:hAnsiTheme="majorHAnsi" w:cstheme="majorHAnsi"/>
                <w:b w:val="0"/>
                <w:color w:val="auto"/>
                <w:sz w:val="20"/>
                <w:szCs w:val="20"/>
              </w:rPr>
            </w:pPr>
          </w:p>
        </w:tc>
        <w:tc>
          <w:tcPr>
            <w:tcW w:w="1480" w:type="dxa"/>
          </w:tcPr>
          <w:p w14:paraId="4EB92970" w14:textId="77777777" w:rsidR="0076281E" w:rsidRPr="00980205" w:rsidRDefault="0076281E" w:rsidP="00142A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auto"/>
                <w:sz w:val="20"/>
                <w:szCs w:val="20"/>
              </w:rPr>
            </w:pPr>
            <w:r w:rsidRPr="00980205">
              <w:rPr>
                <w:rFonts w:asciiTheme="majorHAnsi" w:hAnsiTheme="majorHAnsi" w:cstheme="majorHAnsi"/>
                <w:b/>
                <w:color w:val="auto"/>
                <w:sz w:val="20"/>
                <w:szCs w:val="20"/>
              </w:rPr>
              <w:t>Negligible</w:t>
            </w:r>
          </w:p>
        </w:tc>
        <w:tc>
          <w:tcPr>
            <w:tcW w:w="1480" w:type="dxa"/>
          </w:tcPr>
          <w:p w14:paraId="30779F94" w14:textId="77777777" w:rsidR="0076281E" w:rsidRPr="00980205" w:rsidRDefault="0076281E" w:rsidP="00142A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auto"/>
                <w:sz w:val="20"/>
                <w:szCs w:val="20"/>
              </w:rPr>
            </w:pPr>
            <w:r w:rsidRPr="00980205">
              <w:rPr>
                <w:rFonts w:asciiTheme="majorHAnsi" w:hAnsiTheme="majorHAnsi" w:cstheme="majorHAnsi"/>
                <w:b/>
                <w:color w:val="auto"/>
                <w:sz w:val="20"/>
                <w:szCs w:val="20"/>
              </w:rPr>
              <w:t>Minor</w:t>
            </w:r>
          </w:p>
        </w:tc>
        <w:tc>
          <w:tcPr>
            <w:tcW w:w="1480" w:type="dxa"/>
          </w:tcPr>
          <w:p w14:paraId="7831CE33" w14:textId="77777777" w:rsidR="0076281E" w:rsidRPr="00980205" w:rsidRDefault="0076281E" w:rsidP="00142A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auto"/>
                <w:sz w:val="20"/>
                <w:szCs w:val="20"/>
              </w:rPr>
            </w:pPr>
            <w:r w:rsidRPr="00980205">
              <w:rPr>
                <w:rFonts w:asciiTheme="majorHAnsi" w:hAnsiTheme="majorHAnsi" w:cstheme="majorHAnsi"/>
                <w:b/>
                <w:color w:val="auto"/>
                <w:sz w:val="20"/>
                <w:szCs w:val="20"/>
              </w:rPr>
              <w:t>Moderate</w:t>
            </w:r>
          </w:p>
        </w:tc>
        <w:tc>
          <w:tcPr>
            <w:tcW w:w="1480" w:type="dxa"/>
          </w:tcPr>
          <w:p w14:paraId="29C067C6" w14:textId="77777777" w:rsidR="0076281E" w:rsidRPr="00980205" w:rsidRDefault="0076281E" w:rsidP="00142A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auto"/>
                <w:sz w:val="20"/>
                <w:szCs w:val="20"/>
              </w:rPr>
            </w:pPr>
            <w:r w:rsidRPr="00980205">
              <w:rPr>
                <w:rFonts w:asciiTheme="majorHAnsi" w:hAnsiTheme="majorHAnsi" w:cstheme="majorHAnsi"/>
                <w:b/>
                <w:color w:val="auto"/>
                <w:sz w:val="20"/>
                <w:szCs w:val="20"/>
              </w:rPr>
              <w:t>Major</w:t>
            </w:r>
          </w:p>
        </w:tc>
        <w:tc>
          <w:tcPr>
            <w:tcW w:w="1481" w:type="dxa"/>
          </w:tcPr>
          <w:p w14:paraId="5559EA53" w14:textId="77777777" w:rsidR="0076281E" w:rsidRPr="00980205" w:rsidRDefault="0076281E" w:rsidP="00142A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auto"/>
                <w:sz w:val="20"/>
                <w:szCs w:val="20"/>
              </w:rPr>
            </w:pPr>
            <w:r w:rsidRPr="00980205">
              <w:rPr>
                <w:rFonts w:asciiTheme="majorHAnsi" w:hAnsiTheme="majorHAnsi" w:cstheme="majorHAnsi"/>
                <w:b/>
                <w:color w:val="auto"/>
                <w:sz w:val="20"/>
                <w:szCs w:val="20"/>
              </w:rPr>
              <w:t>Severe</w:t>
            </w:r>
          </w:p>
        </w:tc>
      </w:tr>
      <w:tr w:rsidR="0076281E" w:rsidRPr="00980205" w14:paraId="7A72EC22" w14:textId="77777777" w:rsidTr="00142A47">
        <w:trPr>
          <w:trHeight w:val="319"/>
        </w:trPr>
        <w:tc>
          <w:tcPr>
            <w:cnfStyle w:val="001000000000" w:firstRow="0" w:lastRow="0" w:firstColumn="1" w:lastColumn="0" w:oddVBand="0" w:evenVBand="0" w:oddHBand="0" w:evenHBand="0" w:firstRowFirstColumn="0" w:firstRowLastColumn="0" w:lastRowFirstColumn="0" w:lastRowLastColumn="0"/>
            <w:tcW w:w="824" w:type="dxa"/>
            <w:vMerge w:val="restart"/>
            <w:textDirection w:val="btLr"/>
          </w:tcPr>
          <w:p w14:paraId="308775F4" w14:textId="77777777" w:rsidR="0076281E" w:rsidRPr="00980205" w:rsidRDefault="0076281E" w:rsidP="00142A47">
            <w:pPr>
              <w:ind w:left="113" w:right="113"/>
              <w:jc w:val="center"/>
              <w:rPr>
                <w:rFonts w:asciiTheme="majorHAnsi" w:hAnsiTheme="majorHAnsi" w:cstheme="majorHAnsi"/>
                <w:b w:val="0"/>
                <w:color w:val="auto"/>
                <w:sz w:val="20"/>
                <w:szCs w:val="20"/>
              </w:rPr>
            </w:pPr>
            <w:r w:rsidRPr="00980205">
              <w:rPr>
                <w:rFonts w:asciiTheme="majorHAnsi" w:hAnsiTheme="majorHAnsi" w:cstheme="majorHAnsi"/>
                <w:sz w:val="20"/>
                <w:szCs w:val="20"/>
              </w:rPr>
              <w:t>Likelihood</w:t>
            </w:r>
          </w:p>
        </w:tc>
        <w:tc>
          <w:tcPr>
            <w:tcW w:w="1268" w:type="dxa"/>
          </w:tcPr>
          <w:p w14:paraId="57C4E615" w14:textId="77777777" w:rsidR="0076281E" w:rsidRPr="00980205" w:rsidRDefault="0076281E" w:rsidP="00142A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auto"/>
                <w:sz w:val="20"/>
                <w:szCs w:val="20"/>
              </w:rPr>
            </w:pPr>
            <w:r w:rsidRPr="00980205">
              <w:rPr>
                <w:rFonts w:asciiTheme="majorHAnsi" w:hAnsiTheme="majorHAnsi" w:cstheme="majorHAnsi"/>
                <w:b/>
                <w:color w:val="auto"/>
                <w:sz w:val="20"/>
                <w:szCs w:val="20"/>
              </w:rPr>
              <w:t>Almost Certain</w:t>
            </w:r>
          </w:p>
        </w:tc>
        <w:tc>
          <w:tcPr>
            <w:tcW w:w="1480" w:type="dxa"/>
            <w:shd w:val="clear" w:color="auto" w:fill="FFFF00"/>
          </w:tcPr>
          <w:p w14:paraId="37BBA8AB" w14:textId="77777777" w:rsidR="0076281E" w:rsidRPr="00980205" w:rsidRDefault="0076281E" w:rsidP="00142A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Moderate</w:t>
            </w:r>
          </w:p>
        </w:tc>
        <w:tc>
          <w:tcPr>
            <w:tcW w:w="1480" w:type="dxa"/>
            <w:shd w:val="clear" w:color="auto" w:fill="FFC000"/>
          </w:tcPr>
          <w:p w14:paraId="35427752" w14:textId="77777777" w:rsidR="0076281E" w:rsidRPr="00980205" w:rsidRDefault="0076281E" w:rsidP="00142A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High</w:t>
            </w:r>
          </w:p>
        </w:tc>
        <w:tc>
          <w:tcPr>
            <w:tcW w:w="1480" w:type="dxa"/>
            <w:shd w:val="clear" w:color="auto" w:fill="FFC000"/>
          </w:tcPr>
          <w:p w14:paraId="51E85E67" w14:textId="77777777" w:rsidR="0076281E" w:rsidRPr="00980205" w:rsidRDefault="0076281E" w:rsidP="00142A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High</w:t>
            </w:r>
          </w:p>
        </w:tc>
        <w:tc>
          <w:tcPr>
            <w:tcW w:w="1480" w:type="dxa"/>
            <w:shd w:val="clear" w:color="auto" w:fill="FF0000"/>
          </w:tcPr>
          <w:p w14:paraId="5A7A788C" w14:textId="77777777" w:rsidR="0076281E" w:rsidRPr="00980205" w:rsidRDefault="0076281E" w:rsidP="00142A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Extreme</w:t>
            </w:r>
          </w:p>
        </w:tc>
        <w:tc>
          <w:tcPr>
            <w:tcW w:w="1481" w:type="dxa"/>
            <w:shd w:val="clear" w:color="auto" w:fill="FF0000"/>
          </w:tcPr>
          <w:p w14:paraId="276F789D" w14:textId="77777777" w:rsidR="0076281E" w:rsidRPr="00980205" w:rsidRDefault="0076281E" w:rsidP="00142A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Extreme</w:t>
            </w:r>
          </w:p>
        </w:tc>
      </w:tr>
      <w:tr w:rsidR="0076281E" w:rsidRPr="00980205" w14:paraId="5C1869C3" w14:textId="77777777" w:rsidTr="00142A4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824" w:type="dxa"/>
            <w:vMerge/>
          </w:tcPr>
          <w:p w14:paraId="25D9D109" w14:textId="77777777" w:rsidR="0076281E" w:rsidRPr="00980205" w:rsidRDefault="0076281E" w:rsidP="00142A47">
            <w:pPr>
              <w:rPr>
                <w:rFonts w:asciiTheme="majorHAnsi" w:hAnsiTheme="majorHAnsi" w:cstheme="majorHAnsi"/>
                <w:b w:val="0"/>
                <w:color w:val="auto"/>
                <w:sz w:val="20"/>
                <w:szCs w:val="20"/>
              </w:rPr>
            </w:pPr>
          </w:p>
        </w:tc>
        <w:tc>
          <w:tcPr>
            <w:tcW w:w="1268" w:type="dxa"/>
          </w:tcPr>
          <w:p w14:paraId="30350356" w14:textId="77777777" w:rsidR="0076281E" w:rsidRPr="00980205" w:rsidRDefault="0076281E" w:rsidP="00142A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auto"/>
                <w:sz w:val="20"/>
                <w:szCs w:val="20"/>
              </w:rPr>
            </w:pPr>
            <w:r w:rsidRPr="00980205">
              <w:rPr>
                <w:rFonts w:asciiTheme="majorHAnsi" w:hAnsiTheme="majorHAnsi" w:cstheme="majorHAnsi"/>
                <w:b/>
                <w:color w:val="auto"/>
                <w:sz w:val="20"/>
                <w:szCs w:val="20"/>
              </w:rPr>
              <w:t>Likely</w:t>
            </w:r>
          </w:p>
        </w:tc>
        <w:tc>
          <w:tcPr>
            <w:tcW w:w="1480" w:type="dxa"/>
            <w:shd w:val="clear" w:color="auto" w:fill="92D050"/>
          </w:tcPr>
          <w:p w14:paraId="7CCDD580" w14:textId="77777777" w:rsidR="0076281E" w:rsidRPr="00980205" w:rsidRDefault="0076281E" w:rsidP="00142A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Low</w:t>
            </w:r>
          </w:p>
        </w:tc>
        <w:tc>
          <w:tcPr>
            <w:tcW w:w="1480" w:type="dxa"/>
            <w:shd w:val="clear" w:color="auto" w:fill="FFFF00"/>
          </w:tcPr>
          <w:p w14:paraId="7F8498D7" w14:textId="77777777" w:rsidR="0076281E" w:rsidRPr="00980205" w:rsidRDefault="0076281E" w:rsidP="00142A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Moderate</w:t>
            </w:r>
          </w:p>
        </w:tc>
        <w:tc>
          <w:tcPr>
            <w:tcW w:w="1480" w:type="dxa"/>
            <w:shd w:val="clear" w:color="auto" w:fill="FFC000"/>
          </w:tcPr>
          <w:p w14:paraId="1CE86E5D" w14:textId="77777777" w:rsidR="0076281E" w:rsidRPr="00980205" w:rsidRDefault="0076281E" w:rsidP="00142A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High</w:t>
            </w:r>
          </w:p>
        </w:tc>
        <w:tc>
          <w:tcPr>
            <w:tcW w:w="1480" w:type="dxa"/>
            <w:shd w:val="clear" w:color="auto" w:fill="FF0000"/>
          </w:tcPr>
          <w:p w14:paraId="1BDE9BD0" w14:textId="77777777" w:rsidR="0076281E" w:rsidRPr="00980205" w:rsidRDefault="0076281E" w:rsidP="00142A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Extreme</w:t>
            </w:r>
          </w:p>
        </w:tc>
        <w:tc>
          <w:tcPr>
            <w:tcW w:w="1481" w:type="dxa"/>
            <w:shd w:val="clear" w:color="auto" w:fill="FF0000"/>
          </w:tcPr>
          <w:p w14:paraId="460C2C9D" w14:textId="77777777" w:rsidR="0076281E" w:rsidRPr="00980205" w:rsidRDefault="0076281E" w:rsidP="00142A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Extreme</w:t>
            </w:r>
          </w:p>
        </w:tc>
      </w:tr>
      <w:tr w:rsidR="0076281E" w:rsidRPr="00980205" w14:paraId="3350E2BB" w14:textId="77777777" w:rsidTr="00142A47">
        <w:trPr>
          <w:trHeight w:val="330"/>
        </w:trPr>
        <w:tc>
          <w:tcPr>
            <w:cnfStyle w:val="001000000000" w:firstRow="0" w:lastRow="0" w:firstColumn="1" w:lastColumn="0" w:oddVBand="0" w:evenVBand="0" w:oddHBand="0" w:evenHBand="0" w:firstRowFirstColumn="0" w:firstRowLastColumn="0" w:lastRowFirstColumn="0" w:lastRowLastColumn="0"/>
            <w:tcW w:w="824" w:type="dxa"/>
            <w:vMerge/>
          </w:tcPr>
          <w:p w14:paraId="2F9E38CE" w14:textId="77777777" w:rsidR="0076281E" w:rsidRPr="00980205" w:rsidRDefault="0076281E" w:rsidP="00142A47">
            <w:pPr>
              <w:rPr>
                <w:rFonts w:asciiTheme="majorHAnsi" w:hAnsiTheme="majorHAnsi" w:cstheme="majorHAnsi"/>
                <w:b w:val="0"/>
                <w:color w:val="auto"/>
                <w:sz w:val="20"/>
                <w:szCs w:val="20"/>
              </w:rPr>
            </w:pPr>
          </w:p>
        </w:tc>
        <w:tc>
          <w:tcPr>
            <w:tcW w:w="1268" w:type="dxa"/>
          </w:tcPr>
          <w:p w14:paraId="63F5FDF1" w14:textId="77777777" w:rsidR="0076281E" w:rsidRPr="00980205" w:rsidRDefault="0076281E" w:rsidP="00142A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auto"/>
                <w:sz w:val="20"/>
                <w:szCs w:val="20"/>
              </w:rPr>
            </w:pPr>
            <w:r w:rsidRPr="00980205">
              <w:rPr>
                <w:rFonts w:asciiTheme="majorHAnsi" w:hAnsiTheme="majorHAnsi" w:cstheme="majorHAnsi"/>
                <w:b/>
                <w:color w:val="auto"/>
                <w:sz w:val="20"/>
                <w:szCs w:val="20"/>
              </w:rPr>
              <w:t>Possible</w:t>
            </w:r>
          </w:p>
        </w:tc>
        <w:tc>
          <w:tcPr>
            <w:tcW w:w="1480" w:type="dxa"/>
            <w:shd w:val="clear" w:color="auto" w:fill="92D050"/>
          </w:tcPr>
          <w:p w14:paraId="6F1BEED9" w14:textId="77777777" w:rsidR="0076281E" w:rsidRPr="00980205" w:rsidRDefault="0076281E" w:rsidP="00142A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Low</w:t>
            </w:r>
          </w:p>
        </w:tc>
        <w:tc>
          <w:tcPr>
            <w:tcW w:w="1480" w:type="dxa"/>
            <w:shd w:val="clear" w:color="auto" w:fill="FFFF00"/>
          </w:tcPr>
          <w:p w14:paraId="1DA6F50B" w14:textId="77777777" w:rsidR="0076281E" w:rsidRPr="00980205" w:rsidRDefault="0076281E" w:rsidP="00142A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Moderate</w:t>
            </w:r>
          </w:p>
        </w:tc>
        <w:tc>
          <w:tcPr>
            <w:tcW w:w="1480" w:type="dxa"/>
            <w:shd w:val="clear" w:color="auto" w:fill="FFC000"/>
          </w:tcPr>
          <w:p w14:paraId="2913645D" w14:textId="77777777" w:rsidR="0076281E" w:rsidRPr="00980205" w:rsidRDefault="0076281E" w:rsidP="00142A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High</w:t>
            </w:r>
          </w:p>
        </w:tc>
        <w:tc>
          <w:tcPr>
            <w:tcW w:w="1480" w:type="dxa"/>
            <w:shd w:val="clear" w:color="auto" w:fill="FFC000"/>
          </w:tcPr>
          <w:p w14:paraId="67FE148E" w14:textId="77777777" w:rsidR="0076281E" w:rsidRPr="00980205" w:rsidRDefault="0076281E" w:rsidP="00142A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High</w:t>
            </w:r>
          </w:p>
        </w:tc>
        <w:tc>
          <w:tcPr>
            <w:tcW w:w="1481" w:type="dxa"/>
            <w:shd w:val="clear" w:color="auto" w:fill="FF0000"/>
          </w:tcPr>
          <w:p w14:paraId="19678473" w14:textId="77777777" w:rsidR="0076281E" w:rsidRPr="00980205" w:rsidRDefault="0076281E" w:rsidP="00142A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Extreme</w:t>
            </w:r>
          </w:p>
        </w:tc>
      </w:tr>
      <w:tr w:rsidR="0076281E" w:rsidRPr="00980205" w14:paraId="2D29B804" w14:textId="77777777" w:rsidTr="00142A4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824" w:type="dxa"/>
            <w:vMerge/>
          </w:tcPr>
          <w:p w14:paraId="4116E731" w14:textId="77777777" w:rsidR="0076281E" w:rsidRPr="00980205" w:rsidRDefault="0076281E" w:rsidP="00142A47">
            <w:pPr>
              <w:rPr>
                <w:rFonts w:asciiTheme="majorHAnsi" w:hAnsiTheme="majorHAnsi" w:cstheme="majorHAnsi"/>
                <w:b w:val="0"/>
                <w:color w:val="auto"/>
                <w:sz w:val="20"/>
                <w:szCs w:val="20"/>
              </w:rPr>
            </w:pPr>
          </w:p>
        </w:tc>
        <w:tc>
          <w:tcPr>
            <w:tcW w:w="1268" w:type="dxa"/>
          </w:tcPr>
          <w:p w14:paraId="26B012AD" w14:textId="77777777" w:rsidR="0076281E" w:rsidRPr="00980205" w:rsidRDefault="0076281E" w:rsidP="00142A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auto"/>
                <w:sz w:val="20"/>
                <w:szCs w:val="20"/>
              </w:rPr>
            </w:pPr>
            <w:r w:rsidRPr="00980205">
              <w:rPr>
                <w:rFonts w:asciiTheme="majorHAnsi" w:hAnsiTheme="majorHAnsi" w:cstheme="majorHAnsi"/>
                <w:b/>
                <w:color w:val="auto"/>
                <w:sz w:val="20"/>
                <w:szCs w:val="20"/>
              </w:rPr>
              <w:t>Unlikely</w:t>
            </w:r>
          </w:p>
        </w:tc>
        <w:tc>
          <w:tcPr>
            <w:tcW w:w="1480" w:type="dxa"/>
            <w:shd w:val="clear" w:color="auto" w:fill="92D050"/>
          </w:tcPr>
          <w:p w14:paraId="4BC94273" w14:textId="77777777" w:rsidR="0076281E" w:rsidRPr="00980205" w:rsidRDefault="0076281E" w:rsidP="00142A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Low</w:t>
            </w:r>
          </w:p>
        </w:tc>
        <w:tc>
          <w:tcPr>
            <w:tcW w:w="1480" w:type="dxa"/>
            <w:shd w:val="clear" w:color="auto" w:fill="92D050"/>
          </w:tcPr>
          <w:p w14:paraId="03071A2F" w14:textId="77777777" w:rsidR="0076281E" w:rsidRPr="00980205" w:rsidRDefault="0076281E" w:rsidP="00142A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Low</w:t>
            </w:r>
          </w:p>
        </w:tc>
        <w:tc>
          <w:tcPr>
            <w:tcW w:w="1480" w:type="dxa"/>
            <w:shd w:val="clear" w:color="auto" w:fill="FFFF00"/>
          </w:tcPr>
          <w:p w14:paraId="42843FD6" w14:textId="77777777" w:rsidR="0076281E" w:rsidRPr="00980205" w:rsidRDefault="0076281E" w:rsidP="00142A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Moderate</w:t>
            </w:r>
          </w:p>
        </w:tc>
        <w:tc>
          <w:tcPr>
            <w:tcW w:w="1480" w:type="dxa"/>
            <w:shd w:val="clear" w:color="auto" w:fill="FFC000"/>
          </w:tcPr>
          <w:p w14:paraId="6691C883" w14:textId="77777777" w:rsidR="0076281E" w:rsidRPr="00980205" w:rsidRDefault="0076281E" w:rsidP="00142A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High</w:t>
            </w:r>
          </w:p>
        </w:tc>
        <w:tc>
          <w:tcPr>
            <w:tcW w:w="1481" w:type="dxa"/>
            <w:shd w:val="clear" w:color="auto" w:fill="FFC000"/>
          </w:tcPr>
          <w:p w14:paraId="01C63D49" w14:textId="77777777" w:rsidR="0076281E" w:rsidRPr="00980205" w:rsidRDefault="0076281E" w:rsidP="00142A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High</w:t>
            </w:r>
          </w:p>
        </w:tc>
      </w:tr>
      <w:tr w:rsidR="0076281E" w:rsidRPr="00980205" w14:paraId="3ADAC832" w14:textId="77777777" w:rsidTr="00142A47">
        <w:trPr>
          <w:trHeight w:val="319"/>
        </w:trPr>
        <w:tc>
          <w:tcPr>
            <w:cnfStyle w:val="001000000000" w:firstRow="0" w:lastRow="0" w:firstColumn="1" w:lastColumn="0" w:oddVBand="0" w:evenVBand="0" w:oddHBand="0" w:evenHBand="0" w:firstRowFirstColumn="0" w:firstRowLastColumn="0" w:lastRowFirstColumn="0" w:lastRowLastColumn="0"/>
            <w:tcW w:w="824" w:type="dxa"/>
            <w:vMerge/>
          </w:tcPr>
          <w:p w14:paraId="34854886" w14:textId="77777777" w:rsidR="0076281E" w:rsidRPr="00980205" w:rsidRDefault="0076281E" w:rsidP="00142A47">
            <w:pPr>
              <w:rPr>
                <w:rFonts w:asciiTheme="majorHAnsi" w:hAnsiTheme="majorHAnsi" w:cstheme="majorHAnsi"/>
                <w:b w:val="0"/>
                <w:color w:val="auto"/>
                <w:sz w:val="20"/>
                <w:szCs w:val="20"/>
              </w:rPr>
            </w:pPr>
          </w:p>
        </w:tc>
        <w:tc>
          <w:tcPr>
            <w:tcW w:w="1268" w:type="dxa"/>
          </w:tcPr>
          <w:p w14:paraId="783C09B4" w14:textId="77777777" w:rsidR="0076281E" w:rsidRPr="00980205" w:rsidRDefault="0076281E" w:rsidP="00142A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auto"/>
                <w:sz w:val="20"/>
                <w:szCs w:val="20"/>
              </w:rPr>
            </w:pPr>
            <w:r w:rsidRPr="00980205">
              <w:rPr>
                <w:rFonts w:asciiTheme="majorHAnsi" w:hAnsiTheme="majorHAnsi" w:cstheme="majorHAnsi"/>
                <w:b/>
                <w:color w:val="auto"/>
                <w:sz w:val="20"/>
                <w:szCs w:val="20"/>
              </w:rPr>
              <w:t>Rare</w:t>
            </w:r>
          </w:p>
        </w:tc>
        <w:tc>
          <w:tcPr>
            <w:tcW w:w="1480" w:type="dxa"/>
            <w:shd w:val="clear" w:color="auto" w:fill="92D050"/>
          </w:tcPr>
          <w:p w14:paraId="324D341B" w14:textId="77777777" w:rsidR="0076281E" w:rsidRPr="00980205" w:rsidRDefault="0076281E" w:rsidP="00142A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Low</w:t>
            </w:r>
          </w:p>
        </w:tc>
        <w:tc>
          <w:tcPr>
            <w:tcW w:w="1480" w:type="dxa"/>
            <w:shd w:val="clear" w:color="auto" w:fill="92D050"/>
          </w:tcPr>
          <w:p w14:paraId="56D4B112" w14:textId="77777777" w:rsidR="0076281E" w:rsidRPr="00980205" w:rsidRDefault="0076281E" w:rsidP="00142A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Low</w:t>
            </w:r>
          </w:p>
        </w:tc>
        <w:tc>
          <w:tcPr>
            <w:tcW w:w="1480" w:type="dxa"/>
            <w:shd w:val="clear" w:color="auto" w:fill="92D050"/>
          </w:tcPr>
          <w:p w14:paraId="3899E165" w14:textId="77777777" w:rsidR="0076281E" w:rsidRPr="00980205" w:rsidRDefault="0076281E" w:rsidP="00142A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Low</w:t>
            </w:r>
          </w:p>
        </w:tc>
        <w:tc>
          <w:tcPr>
            <w:tcW w:w="1480" w:type="dxa"/>
            <w:shd w:val="clear" w:color="auto" w:fill="FFFF00"/>
          </w:tcPr>
          <w:p w14:paraId="0268C214" w14:textId="77777777" w:rsidR="0076281E" w:rsidRPr="00980205" w:rsidRDefault="0076281E" w:rsidP="00142A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Moderate</w:t>
            </w:r>
          </w:p>
        </w:tc>
        <w:tc>
          <w:tcPr>
            <w:tcW w:w="1481" w:type="dxa"/>
            <w:shd w:val="clear" w:color="auto" w:fill="FFC000"/>
          </w:tcPr>
          <w:p w14:paraId="07EA1957" w14:textId="77777777" w:rsidR="0076281E" w:rsidRPr="00980205" w:rsidRDefault="0076281E" w:rsidP="00142A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auto"/>
                <w:sz w:val="20"/>
                <w:szCs w:val="20"/>
              </w:rPr>
            </w:pPr>
            <w:r w:rsidRPr="00980205">
              <w:rPr>
                <w:rFonts w:asciiTheme="majorHAnsi" w:hAnsiTheme="majorHAnsi" w:cstheme="majorHAnsi"/>
                <w:bCs/>
                <w:color w:val="auto"/>
                <w:sz w:val="20"/>
                <w:szCs w:val="20"/>
              </w:rPr>
              <w:t>High</w:t>
            </w:r>
          </w:p>
        </w:tc>
      </w:tr>
    </w:tbl>
    <w:p w14:paraId="763EE95D" w14:textId="77777777" w:rsidR="0076281E" w:rsidRPr="00980205" w:rsidRDefault="0076281E" w:rsidP="0076281E">
      <w:pPr>
        <w:pStyle w:val="HivintHeading1"/>
        <w:rPr>
          <w:rFonts w:ascii="Cambria" w:hAnsi="Cambria" w:cstheme="majorHAnsi"/>
          <w:color w:val="BF4E14" w:themeColor="accent2" w:themeShade="BF"/>
        </w:rPr>
      </w:pPr>
      <w:r w:rsidRPr="00980205">
        <w:rPr>
          <w:rFonts w:ascii="Cambria" w:hAnsi="Cambria" w:cstheme="majorHAnsi"/>
          <w:color w:val="BF4E14" w:themeColor="accent2" w:themeShade="BF"/>
        </w:rPr>
        <w:t>Risk Ratings</w:t>
      </w:r>
    </w:p>
    <w:tbl>
      <w:tblPr>
        <w:tblStyle w:val="GridTable5Dark-Accent2"/>
        <w:tblW w:w="9498" w:type="dxa"/>
        <w:tblLook w:val="04A0" w:firstRow="1" w:lastRow="0" w:firstColumn="1" w:lastColumn="0" w:noHBand="0" w:noVBand="1"/>
      </w:tblPr>
      <w:tblGrid>
        <w:gridCol w:w="1515"/>
        <w:gridCol w:w="7983"/>
      </w:tblGrid>
      <w:tr w:rsidR="0076281E" w:rsidRPr="00980205" w14:paraId="0C7174A7" w14:textId="77777777" w:rsidTr="00142A47">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515" w:type="dxa"/>
          </w:tcPr>
          <w:p w14:paraId="668B8314" w14:textId="77777777" w:rsidR="0076281E" w:rsidRPr="00980205" w:rsidRDefault="0076281E" w:rsidP="00142A47">
            <w:pPr>
              <w:jc w:val="center"/>
              <w:rPr>
                <w:rFonts w:asciiTheme="majorHAnsi" w:hAnsiTheme="majorHAnsi" w:cstheme="majorHAnsi"/>
                <w:bCs w:val="0"/>
                <w:sz w:val="20"/>
                <w:szCs w:val="20"/>
              </w:rPr>
            </w:pPr>
            <w:r w:rsidRPr="00980205">
              <w:rPr>
                <w:rFonts w:asciiTheme="majorHAnsi" w:hAnsiTheme="majorHAnsi" w:cstheme="majorHAnsi"/>
                <w:sz w:val="20"/>
                <w:szCs w:val="20"/>
              </w:rPr>
              <w:t>Risk Rating</w:t>
            </w:r>
          </w:p>
        </w:tc>
        <w:tc>
          <w:tcPr>
            <w:tcW w:w="7983" w:type="dxa"/>
          </w:tcPr>
          <w:p w14:paraId="11307E7E" w14:textId="77777777" w:rsidR="0076281E" w:rsidRPr="00980205" w:rsidRDefault="0076281E" w:rsidP="00142A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980205">
              <w:rPr>
                <w:rFonts w:asciiTheme="majorHAnsi" w:hAnsiTheme="majorHAnsi" w:cstheme="majorHAnsi"/>
                <w:sz w:val="20"/>
                <w:szCs w:val="20"/>
              </w:rPr>
              <w:t>Risk Definition</w:t>
            </w:r>
          </w:p>
        </w:tc>
      </w:tr>
      <w:tr w:rsidR="0076281E" w:rsidRPr="00980205" w14:paraId="463B088A" w14:textId="77777777" w:rsidTr="00142A47">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515" w:type="dxa"/>
          </w:tcPr>
          <w:p w14:paraId="7794EC14" w14:textId="77777777" w:rsidR="0076281E" w:rsidRPr="00980205" w:rsidRDefault="0076281E" w:rsidP="00142A47">
            <w:pPr>
              <w:jc w:val="center"/>
              <w:rPr>
                <w:rFonts w:asciiTheme="majorHAnsi" w:hAnsiTheme="majorHAnsi" w:cstheme="majorHAnsi"/>
                <w:b w:val="0"/>
                <w:color w:val="auto"/>
                <w:sz w:val="20"/>
                <w:szCs w:val="20"/>
              </w:rPr>
            </w:pPr>
            <w:r w:rsidRPr="00980205">
              <w:rPr>
                <w:rFonts w:asciiTheme="majorHAnsi" w:hAnsiTheme="majorHAnsi" w:cstheme="majorHAnsi"/>
                <w:color w:val="auto"/>
                <w:sz w:val="20"/>
                <w:szCs w:val="20"/>
              </w:rPr>
              <w:t>Extreme</w:t>
            </w:r>
          </w:p>
        </w:tc>
        <w:tc>
          <w:tcPr>
            <w:tcW w:w="7983" w:type="dxa"/>
          </w:tcPr>
          <w:p w14:paraId="2731AB0F" w14:textId="77777777" w:rsidR="0076281E" w:rsidRPr="00980205" w:rsidRDefault="0076281E" w:rsidP="00142A47">
            <w:pPr>
              <w:spacing w:after="120" w:line="264"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 xml:space="preserve">The risk threatens the survival of the organisation if it eventuates. </w:t>
            </w:r>
          </w:p>
          <w:p w14:paraId="377C3897" w14:textId="77777777" w:rsidR="0076281E" w:rsidRPr="00980205" w:rsidRDefault="0076281E" w:rsidP="00142A47">
            <w:pPr>
              <w:spacing w:after="120" w:line="264"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An immediate response is required by executive management to mitigate existing risk to the organisation.</w:t>
            </w:r>
          </w:p>
          <w:p w14:paraId="3393C00A" w14:textId="77777777" w:rsidR="0076281E" w:rsidRPr="00980205" w:rsidRDefault="0076281E" w:rsidP="00142A47">
            <w:pPr>
              <w:spacing w:after="120" w:line="264"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A proposed activity posing such a risk must not proceed without executive management sign-off and application of mitigating controls.</w:t>
            </w:r>
          </w:p>
        </w:tc>
      </w:tr>
      <w:tr w:rsidR="0076281E" w:rsidRPr="00980205" w14:paraId="67BE552B" w14:textId="77777777" w:rsidTr="00142A47">
        <w:trPr>
          <w:trHeight w:val="836"/>
        </w:trPr>
        <w:tc>
          <w:tcPr>
            <w:cnfStyle w:val="001000000000" w:firstRow="0" w:lastRow="0" w:firstColumn="1" w:lastColumn="0" w:oddVBand="0" w:evenVBand="0" w:oddHBand="0" w:evenHBand="0" w:firstRowFirstColumn="0" w:firstRowLastColumn="0" w:lastRowFirstColumn="0" w:lastRowLastColumn="0"/>
            <w:tcW w:w="1515" w:type="dxa"/>
          </w:tcPr>
          <w:p w14:paraId="61C365DB" w14:textId="77777777" w:rsidR="0076281E" w:rsidRPr="00980205" w:rsidRDefault="0076281E" w:rsidP="00142A47">
            <w:pPr>
              <w:jc w:val="center"/>
              <w:rPr>
                <w:rFonts w:asciiTheme="majorHAnsi" w:hAnsiTheme="majorHAnsi" w:cstheme="majorHAnsi"/>
                <w:b w:val="0"/>
                <w:color w:val="auto"/>
                <w:sz w:val="20"/>
                <w:szCs w:val="20"/>
              </w:rPr>
            </w:pPr>
            <w:r w:rsidRPr="00980205">
              <w:rPr>
                <w:rFonts w:asciiTheme="majorHAnsi" w:hAnsiTheme="majorHAnsi" w:cstheme="majorHAnsi"/>
                <w:color w:val="auto"/>
                <w:sz w:val="20"/>
                <w:szCs w:val="20"/>
              </w:rPr>
              <w:t>High</w:t>
            </w:r>
          </w:p>
        </w:tc>
        <w:tc>
          <w:tcPr>
            <w:tcW w:w="7983" w:type="dxa"/>
          </w:tcPr>
          <w:p w14:paraId="20276697" w14:textId="77777777" w:rsidR="0076281E" w:rsidRPr="00980205" w:rsidRDefault="0076281E" w:rsidP="00142A47">
            <w:pPr>
              <w:spacing w:after="120" w:line="264"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 xml:space="preserve">The risk threatens the continued operation of an organisational business unit or service. </w:t>
            </w:r>
          </w:p>
          <w:p w14:paraId="22977524" w14:textId="77777777" w:rsidR="0076281E" w:rsidRPr="00980205" w:rsidRDefault="0076281E" w:rsidP="00142A47">
            <w:pPr>
              <w:spacing w:after="120" w:line="264"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A response is required by executive management to mitigate existing risk to the organisation.</w:t>
            </w:r>
          </w:p>
          <w:p w14:paraId="2775A817" w14:textId="77777777" w:rsidR="0076281E" w:rsidRPr="00980205" w:rsidRDefault="0076281E" w:rsidP="00142A47">
            <w:pPr>
              <w:spacing w:after="120" w:line="264"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A proposed activity posing such a risk must not proceed without application of mitigating controls.</w:t>
            </w:r>
          </w:p>
        </w:tc>
      </w:tr>
      <w:tr w:rsidR="0076281E" w:rsidRPr="00980205" w14:paraId="47920514" w14:textId="77777777" w:rsidTr="00142A47">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1515" w:type="dxa"/>
          </w:tcPr>
          <w:p w14:paraId="0BD63228" w14:textId="77777777" w:rsidR="0076281E" w:rsidRPr="00980205" w:rsidRDefault="0076281E" w:rsidP="00142A47">
            <w:pPr>
              <w:jc w:val="center"/>
              <w:rPr>
                <w:rFonts w:asciiTheme="majorHAnsi" w:hAnsiTheme="majorHAnsi" w:cstheme="majorHAnsi"/>
                <w:b w:val="0"/>
                <w:color w:val="auto"/>
                <w:sz w:val="20"/>
                <w:szCs w:val="20"/>
              </w:rPr>
            </w:pPr>
            <w:r w:rsidRPr="00980205">
              <w:rPr>
                <w:rFonts w:asciiTheme="majorHAnsi" w:hAnsiTheme="majorHAnsi" w:cstheme="majorHAnsi"/>
                <w:color w:val="auto"/>
                <w:sz w:val="20"/>
                <w:szCs w:val="20"/>
              </w:rPr>
              <w:t>Moderate</w:t>
            </w:r>
          </w:p>
        </w:tc>
        <w:tc>
          <w:tcPr>
            <w:tcW w:w="7983" w:type="dxa"/>
          </w:tcPr>
          <w:p w14:paraId="334EF2B6" w14:textId="77777777" w:rsidR="0076281E" w:rsidRPr="00980205" w:rsidRDefault="0076281E" w:rsidP="00142A47">
            <w:pPr>
              <w:spacing w:after="120" w:line="264"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 xml:space="preserve">The risk threatens an organisational activity. </w:t>
            </w:r>
          </w:p>
          <w:p w14:paraId="76C20336" w14:textId="77777777" w:rsidR="0076281E" w:rsidRPr="00980205" w:rsidRDefault="0076281E" w:rsidP="00142A47">
            <w:pPr>
              <w:spacing w:after="120" w:line="264"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Controls that are in place must be confirmed to effectively mitigate existing risk, and the risk must be accepted by the risk owner.</w:t>
            </w:r>
          </w:p>
          <w:p w14:paraId="0C021952" w14:textId="77777777" w:rsidR="0076281E" w:rsidRPr="00980205" w:rsidRDefault="0076281E" w:rsidP="00142A47">
            <w:pPr>
              <w:spacing w:after="120" w:line="264"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Action is required at the business unit level to evaluate whether the level of risk posed by the proposed activity is within their risk appetite or apply additional controls.</w:t>
            </w:r>
          </w:p>
        </w:tc>
      </w:tr>
      <w:tr w:rsidR="0076281E" w:rsidRPr="00980205" w14:paraId="53E1933E" w14:textId="77777777" w:rsidTr="00142A47">
        <w:trPr>
          <w:trHeight w:val="77"/>
        </w:trPr>
        <w:tc>
          <w:tcPr>
            <w:cnfStyle w:val="001000000000" w:firstRow="0" w:lastRow="0" w:firstColumn="1" w:lastColumn="0" w:oddVBand="0" w:evenVBand="0" w:oddHBand="0" w:evenHBand="0" w:firstRowFirstColumn="0" w:firstRowLastColumn="0" w:lastRowFirstColumn="0" w:lastRowLastColumn="0"/>
            <w:tcW w:w="1515" w:type="dxa"/>
          </w:tcPr>
          <w:p w14:paraId="47D9A323" w14:textId="77777777" w:rsidR="0076281E" w:rsidRPr="00980205" w:rsidRDefault="0076281E" w:rsidP="00142A47">
            <w:pPr>
              <w:jc w:val="center"/>
              <w:rPr>
                <w:rFonts w:asciiTheme="majorHAnsi" w:hAnsiTheme="majorHAnsi" w:cstheme="majorHAnsi"/>
                <w:b w:val="0"/>
                <w:color w:val="auto"/>
                <w:sz w:val="20"/>
                <w:szCs w:val="20"/>
              </w:rPr>
            </w:pPr>
            <w:r w:rsidRPr="00980205">
              <w:rPr>
                <w:rFonts w:asciiTheme="majorHAnsi" w:hAnsiTheme="majorHAnsi" w:cstheme="majorHAnsi"/>
                <w:color w:val="auto"/>
                <w:sz w:val="20"/>
                <w:szCs w:val="20"/>
              </w:rPr>
              <w:t>Low</w:t>
            </w:r>
          </w:p>
        </w:tc>
        <w:tc>
          <w:tcPr>
            <w:tcW w:w="7983" w:type="dxa"/>
          </w:tcPr>
          <w:p w14:paraId="03544B83" w14:textId="77777777" w:rsidR="0076281E" w:rsidRPr="00980205" w:rsidRDefault="0076281E" w:rsidP="00142A47">
            <w:pPr>
              <w:spacing w:after="120" w:line="264"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 xml:space="preserve">The risk is managed by Business as Usual (BAU) practices and procedures. </w:t>
            </w:r>
          </w:p>
        </w:tc>
      </w:tr>
    </w:tbl>
    <w:p w14:paraId="0FDA8347" w14:textId="77777777" w:rsidR="0076281E" w:rsidRPr="00980205" w:rsidRDefault="0076281E" w:rsidP="0076281E">
      <w:pPr>
        <w:pStyle w:val="HivintHeading1"/>
        <w:rPr>
          <w:rFonts w:ascii="Cambria" w:hAnsi="Cambria" w:cstheme="majorHAnsi"/>
          <w:color w:val="BF4E14" w:themeColor="accent2" w:themeShade="BF"/>
        </w:rPr>
      </w:pPr>
      <w:r w:rsidRPr="00980205">
        <w:rPr>
          <w:rFonts w:ascii="Cambria" w:hAnsi="Cambria" w:cstheme="majorHAnsi"/>
          <w:color w:val="BF4E14" w:themeColor="accent2" w:themeShade="BF"/>
        </w:rPr>
        <w:t>Likelihood Ratings</w:t>
      </w:r>
    </w:p>
    <w:tbl>
      <w:tblPr>
        <w:tblStyle w:val="GridTable5Dark-Accent2"/>
        <w:tblW w:w="9484" w:type="dxa"/>
        <w:tblLook w:val="04A0" w:firstRow="1" w:lastRow="0" w:firstColumn="1" w:lastColumn="0" w:noHBand="0" w:noVBand="1"/>
      </w:tblPr>
      <w:tblGrid>
        <w:gridCol w:w="1097"/>
        <w:gridCol w:w="1898"/>
        <w:gridCol w:w="5349"/>
        <w:gridCol w:w="1140"/>
      </w:tblGrid>
      <w:tr w:rsidR="0076281E" w:rsidRPr="00980205" w14:paraId="46FB527D" w14:textId="77777777" w:rsidTr="00142A47">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03" w:type="dxa"/>
          </w:tcPr>
          <w:p w14:paraId="4CEAE56D" w14:textId="77777777" w:rsidR="0076281E" w:rsidRPr="00980205" w:rsidRDefault="0076281E" w:rsidP="00142A47">
            <w:pPr>
              <w:jc w:val="center"/>
              <w:rPr>
                <w:rFonts w:asciiTheme="majorHAnsi" w:hAnsiTheme="majorHAnsi" w:cstheme="majorHAnsi"/>
                <w:b w:val="0"/>
                <w:sz w:val="20"/>
                <w:szCs w:val="20"/>
              </w:rPr>
            </w:pPr>
            <w:r w:rsidRPr="00980205">
              <w:rPr>
                <w:rFonts w:asciiTheme="majorHAnsi" w:hAnsiTheme="majorHAnsi" w:cstheme="majorHAnsi"/>
                <w:sz w:val="20"/>
                <w:szCs w:val="20"/>
              </w:rPr>
              <w:t>Likelihood</w:t>
            </w:r>
          </w:p>
        </w:tc>
        <w:tc>
          <w:tcPr>
            <w:tcW w:w="1936" w:type="dxa"/>
          </w:tcPr>
          <w:p w14:paraId="6A706DFF" w14:textId="77777777" w:rsidR="0076281E" w:rsidRPr="00980205" w:rsidRDefault="0076281E" w:rsidP="00142A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980205">
              <w:rPr>
                <w:rFonts w:asciiTheme="majorHAnsi" w:hAnsiTheme="majorHAnsi" w:cstheme="majorHAnsi"/>
                <w:sz w:val="20"/>
                <w:szCs w:val="20"/>
              </w:rPr>
              <w:t>Chance</w:t>
            </w:r>
          </w:p>
        </w:tc>
        <w:tc>
          <w:tcPr>
            <w:tcW w:w="5701" w:type="dxa"/>
          </w:tcPr>
          <w:p w14:paraId="7638C2F3" w14:textId="77777777" w:rsidR="0076281E" w:rsidRPr="00980205" w:rsidRDefault="0076281E" w:rsidP="00142A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980205">
              <w:rPr>
                <w:rFonts w:asciiTheme="majorHAnsi" w:hAnsiTheme="majorHAnsi" w:cstheme="majorHAnsi"/>
                <w:sz w:val="20"/>
                <w:szCs w:val="20"/>
              </w:rPr>
              <w:t>Frequency</w:t>
            </w:r>
          </w:p>
        </w:tc>
        <w:tc>
          <w:tcPr>
            <w:tcW w:w="944" w:type="dxa"/>
          </w:tcPr>
          <w:p w14:paraId="7A9BD305" w14:textId="77777777" w:rsidR="0076281E" w:rsidRPr="00980205" w:rsidRDefault="0076281E" w:rsidP="00142A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980205">
              <w:rPr>
                <w:rFonts w:asciiTheme="majorHAnsi" w:hAnsiTheme="majorHAnsi" w:cstheme="majorHAnsi"/>
                <w:sz w:val="20"/>
                <w:szCs w:val="20"/>
              </w:rPr>
              <w:t>Probability</w:t>
            </w:r>
          </w:p>
        </w:tc>
      </w:tr>
      <w:tr w:rsidR="0076281E" w:rsidRPr="00980205" w14:paraId="07553BA4" w14:textId="77777777" w:rsidTr="00142A47">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Pr>
          <w:p w14:paraId="32986000" w14:textId="77777777" w:rsidR="0076281E" w:rsidRPr="00980205" w:rsidRDefault="0076281E" w:rsidP="00142A47">
            <w:pPr>
              <w:jc w:val="center"/>
              <w:rPr>
                <w:rFonts w:asciiTheme="majorHAnsi" w:hAnsiTheme="majorHAnsi" w:cstheme="majorHAnsi"/>
                <w:b w:val="0"/>
                <w:color w:val="auto"/>
                <w:sz w:val="20"/>
                <w:szCs w:val="20"/>
              </w:rPr>
            </w:pPr>
            <w:r w:rsidRPr="00980205">
              <w:rPr>
                <w:rFonts w:asciiTheme="majorHAnsi" w:hAnsiTheme="majorHAnsi" w:cstheme="majorHAnsi"/>
                <w:color w:val="auto"/>
                <w:sz w:val="20"/>
                <w:szCs w:val="20"/>
              </w:rPr>
              <w:t>Almost Certain</w:t>
            </w:r>
          </w:p>
        </w:tc>
        <w:tc>
          <w:tcPr>
            <w:tcW w:w="1936" w:type="dxa"/>
          </w:tcPr>
          <w:p w14:paraId="1AA7AAA2"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0"/>
                <w:szCs w:val="20"/>
              </w:rPr>
            </w:pPr>
            <w:r w:rsidRPr="00980205">
              <w:rPr>
                <w:rFonts w:asciiTheme="majorHAnsi" w:hAnsiTheme="majorHAnsi" w:cstheme="majorHAnsi"/>
                <w:color w:val="auto"/>
                <w:sz w:val="20"/>
                <w:szCs w:val="20"/>
              </w:rPr>
              <w:t>Is expected to occur in most circumstances.</w:t>
            </w:r>
          </w:p>
        </w:tc>
        <w:tc>
          <w:tcPr>
            <w:tcW w:w="5701" w:type="dxa"/>
          </w:tcPr>
          <w:p w14:paraId="2D49B908"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0"/>
                <w:szCs w:val="20"/>
              </w:rPr>
            </w:pPr>
            <w:r w:rsidRPr="00980205">
              <w:rPr>
                <w:rFonts w:asciiTheme="majorHAnsi" w:hAnsiTheme="majorHAnsi" w:cstheme="majorHAnsi"/>
                <w:color w:val="auto"/>
                <w:sz w:val="20"/>
                <w:szCs w:val="20"/>
              </w:rPr>
              <w:t>Has occurred 9 or 10 times in the past 10 years in the organisation or circumstances are in train that will almost certainly cause it to happen.</w:t>
            </w:r>
          </w:p>
        </w:tc>
        <w:tc>
          <w:tcPr>
            <w:tcW w:w="944" w:type="dxa"/>
          </w:tcPr>
          <w:p w14:paraId="004C39E2"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0"/>
                <w:szCs w:val="20"/>
              </w:rPr>
            </w:pPr>
            <w:r w:rsidRPr="00980205">
              <w:rPr>
                <w:rFonts w:asciiTheme="majorHAnsi" w:hAnsiTheme="majorHAnsi" w:cstheme="majorHAnsi"/>
                <w:color w:val="auto"/>
                <w:sz w:val="20"/>
                <w:szCs w:val="20"/>
              </w:rPr>
              <w:t>&gt;/=95%</w:t>
            </w:r>
          </w:p>
        </w:tc>
      </w:tr>
      <w:tr w:rsidR="0076281E" w:rsidRPr="00980205" w14:paraId="772772C4" w14:textId="77777777" w:rsidTr="00142A47">
        <w:trPr>
          <w:trHeight w:val="705"/>
        </w:trPr>
        <w:tc>
          <w:tcPr>
            <w:cnfStyle w:val="001000000000" w:firstRow="0" w:lastRow="0" w:firstColumn="1" w:lastColumn="0" w:oddVBand="0" w:evenVBand="0" w:oddHBand="0" w:evenHBand="0" w:firstRowFirstColumn="0" w:firstRowLastColumn="0" w:lastRowFirstColumn="0" w:lastRowLastColumn="0"/>
            <w:tcW w:w="903" w:type="dxa"/>
          </w:tcPr>
          <w:p w14:paraId="6BDDC051" w14:textId="77777777" w:rsidR="0076281E" w:rsidRPr="00980205" w:rsidRDefault="0076281E" w:rsidP="00142A47">
            <w:pPr>
              <w:jc w:val="center"/>
              <w:rPr>
                <w:rFonts w:asciiTheme="majorHAnsi" w:hAnsiTheme="majorHAnsi" w:cstheme="majorHAnsi"/>
                <w:b w:val="0"/>
                <w:color w:val="auto"/>
                <w:sz w:val="20"/>
                <w:szCs w:val="20"/>
              </w:rPr>
            </w:pPr>
            <w:r w:rsidRPr="00980205">
              <w:rPr>
                <w:rFonts w:asciiTheme="majorHAnsi" w:hAnsiTheme="majorHAnsi" w:cstheme="majorHAnsi"/>
                <w:color w:val="auto"/>
                <w:sz w:val="20"/>
                <w:szCs w:val="20"/>
              </w:rPr>
              <w:t>Likely</w:t>
            </w:r>
          </w:p>
        </w:tc>
        <w:tc>
          <w:tcPr>
            <w:tcW w:w="1936" w:type="dxa"/>
          </w:tcPr>
          <w:p w14:paraId="3527E56B" w14:textId="77777777" w:rsidR="0076281E" w:rsidRPr="00980205" w:rsidRDefault="0076281E" w:rsidP="00142A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0"/>
              </w:rPr>
            </w:pPr>
            <w:r w:rsidRPr="00980205">
              <w:rPr>
                <w:rFonts w:asciiTheme="majorHAnsi" w:hAnsiTheme="majorHAnsi" w:cstheme="majorHAnsi"/>
                <w:color w:val="auto"/>
                <w:sz w:val="20"/>
                <w:szCs w:val="20"/>
              </w:rPr>
              <w:t xml:space="preserve">Will probably </w:t>
            </w:r>
            <w:proofErr w:type="gramStart"/>
            <w:r w:rsidRPr="00980205">
              <w:rPr>
                <w:rFonts w:asciiTheme="majorHAnsi" w:hAnsiTheme="majorHAnsi" w:cstheme="majorHAnsi"/>
                <w:color w:val="auto"/>
                <w:sz w:val="20"/>
                <w:szCs w:val="20"/>
              </w:rPr>
              <w:t>occur</w:t>
            </w:r>
            <w:proofErr w:type="gramEnd"/>
            <w:r w:rsidRPr="00980205">
              <w:rPr>
                <w:rFonts w:asciiTheme="majorHAnsi" w:hAnsiTheme="majorHAnsi" w:cstheme="majorHAnsi"/>
                <w:color w:val="auto"/>
                <w:sz w:val="20"/>
                <w:szCs w:val="20"/>
              </w:rPr>
              <w:t xml:space="preserve"> in most circumstances.</w:t>
            </w:r>
          </w:p>
        </w:tc>
        <w:tc>
          <w:tcPr>
            <w:tcW w:w="5701" w:type="dxa"/>
          </w:tcPr>
          <w:p w14:paraId="56990A1E" w14:textId="77777777" w:rsidR="0076281E" w:rsidRPr="00980205" w:rsidRDefault="0076281E" w:rsidP="00142A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0"/>
              </w:rPr>
            </w:pPr>
            <w:r w:rsidRPr="00980205">
              <w:rPr>
                <w:rFonts w:asciiTheme="majorHAnsi" w:hAnsiTheme="majorHAnsi" w:cstheme="majorHAnsi"/>
                <w:color w:val="auto"/>
                <w:sz w:val="20"/>
                <w:szCs w:val="20"/>
              </w:rPr>
              <w:t>Occurred more than 7 times over 10 years in the organisation or in other similar organisations or circumstances such that is likely to occur in the next year.</w:t>
            </w:r>
          </w:p>
        </w:tc>
        <w:tc>
          <w:tcPr>
            <w:tcW w:w="944" w:type="dxa"/>
          </w:tcPr>
          <w:p w14:paraId="48260F58" w14:textId="77777777" w:rsidR="0076281E" w:rsidRPr="00980205" w:rsidRDefault="0076281E" w:rsidP="00142A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0"/>
              </w:rPr>
            </w:pPr>
            <w:r w:rsidRPr="00980205">
              <w:rPr>
                <w:rFonts w:asciiTheme="majorHAnsi" w:hAnsiTheme="majorHAnsi" w:cstheme="majorHAnsi"/>
                <w:color w:val="auto"/>
                <w:sz w:val="20"/>
                <w:szCs w:val="20"/>
              </w:rPr>
              <w:t>65% - 95%</w:t>
            </w:r>
          </w:p>
        </w:tc>
      </w:tr>
      <w:tr w:rsidR="0076281E" w:rsidRPr="00980205" w14:paraId="2ABD7F2E" w14:textId="77777777" w:rsidTr="00142A47">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Pr>
          <w:p w14:paraId="3F6AB433" w14:textId="77777777" w:rsidR="0076281E" w:rsidRPr="00980205" w:rsidRDefault="0076281E" w:rsidP="00142A47">
            <w:pPr>
              <w:jc w:val="center"/>
              <w:rPr>
                <w:rFonts w:asciiTheme="majorHAnsi" w:hAnsiTheme="majorHAnsi" w:cstheme="majorHAnsi"/>
                <w:b w:val="0"/>
                <w:color w:val="auto"/>
                <w:sz w:val="20"/>
                <w:szCs w:val="20"/>
              </w:rPr>
            </w:pPr>
            <w:r w:rsidRPr="00980205">
              <w:rPr>
                <w:rFonts w:asciiTheme="majorHAnsi" w:hAnsiTheme="majorHAnsi" w:cstheme="majorHAnsi"/>
                <w:color w:val="auto"/>
                <w:sz w:val="20"/>
                <w:szCs w:val="20"/>
              </w:rPr>
              <w:t>Possible</w:t>
            </w:r>
          </w:p>
        </w:tc>
        <w:tc>
          <w:tcPr>
            <w:tcW w:w="1936" w:type="dxa"/>
          </w:tcPr>
          <w:p w14:paraId="7B8FF10D"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0"/>
                <w:szCs w:val="20"/>
              </w:rPr>
            </w:pPr>
            <w:r w:rsidRPr="00980205">
              <w:rPr>
                <w:rFonts w:asciiTheme="majorHAnsi" w:hAnsiTheme="majorHAnsi" w:cstheme="majorHAnsi"/>
                <w:color w:val="auto"/>
                <w:sz w:val="20"/>
                <w:szCs w:val="20"/>
              </w:rPr>
              <w:t>Might occur at some time.</w:t>
            </w:r>
          </w:p>
        </w:tc>
        <w:tc>
          <w:tcPr>
            <w:tcW w:w="5701" w:type="dxa"/>
          </w:tcPr>
          <w:p w14:paraId="5C1F6879"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0"/>
                <w:szCs w:val="20"/>
              </w:rPr>
            </w:pPr>
            <w:r w:rsidRPr="00980205">
              <w:rPr>
                <w:rFonts w:asciiTheme="majorHAnsi" w:hAnsiTheme="majorHAnsi" w:cstheme="majorHAnsi"/>
                <w:color w:val="auto"/>
                <w:sz w:val="20"/>
                <w:szCs w:val="20"/>
              </w:rPr>
              <w:t>Has occurred in this organisation more than 3 times in the past 10 years, or occurs regularly in similar organisations, or is considered to have a reasonable likelihood of occurring in the next few years.</w:t>
            </w:r>
          </w:p>
        </w:tc>
        <w:tc>
          <w:tcPr>
            <w:tcW w:w="944" w:type="dxa"/>
          </w:tcPr>
          <w:p w14:paraId="3BF7C140"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0"/>
                <w:szCs w:val="20"/>
              </w:rPr>
            </w:pPr>
            <w:r w:rsidRPr="00980205">
              <w:rPr>
                <w:rFonts w:asciiTheme="majorHAnsi" w:hAnsiTheme="majorHAnsi" w:cstheme="majorHAnsi"/>
                <w:color w:val="auto"/>
                <w:sz w:val="20"/>
                <w:szCs w:val="20"/>
              </w:rPr>
              <w:t>35% - 65%</w:t>
            </w:r>
          </w:p>
        </w:tc>
      </w:tr>
      <w:tr w:rsidR="0076281E" w:rsidRPr="00980205" w14:paraId="465561EA" w14:textId="77777777" w:rsidTr="00142A47">
        <w:trPr>
          <w:trHeight w:val="460"/>
        </w:trPr>
        <w:tc>
          <w:tcPr>
            <w:cnfStyle w:val="001000000000" w:firstRow="0" w:lastRow="0" w:firstColumn="1" w:lastColumn="0" w:oddVBand="0" w:evenVBand="0" w:oddHBand="0" w:evenHBand="0" w:firstRowFirstColumn="0" w:firstRowLastColumn="0" w:lastRowFirstColumn="0" w:lastRowLastColumn="0"/>
            <w:tcW w:w="903" w:type="dxa"/>
          </w:tcPr>
          <w:p w14:paraId="42C4D3C3" w14:textId="77777777" w:rsidR="0076281E" w:rsidRPr="00980205" w:rsidRDefault="0076281E" w:rsidP="00142A47">
            <w:pPr>
              <w:jc w:val="center"/>
              <w:rPr>
                <w:rFonts w:asciiTheme="majorHAnsi" w:hAnsiTheme="majorHAnsi" w:cstheme="majorHAnsi"/>
                <w:b w:val="0"/>
                <w:color w:val="auto"/>
                <w:sz w:val="20"/>
                <w:szCs w:val="20"/>
              </w:rPr>
            </w:pPr>
            <w:r w:rsidRPr="00980205">
              <w:rPr>
                <w:rFonts w:asciiTheme="majorHAnsi" w:hAnsiTheme="majorHAnsi" w:cstheme="majorHAnsi"/>
                <w:color w:val="auto"/>
                <w:sz w:val="20"/>
                <w:szCs w:val="20"/>
              </w:rPr>
              <w:t>Unlikely</w:t>
            </w:r>
          </w:p>
        </w:tc>
        <w:tc>
          <w:tcPr>
            <w:tcW w:w="1936" w:type="dxa"/>
          </w:tcPr>
          <w:p w14:paraId="13FCC7B2" w14:textId="77777777" w:rsidR="0076281E" w:rsidRPr="00980205" w:rsidRDefault="0076281E" w:rsidP="00142A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0"/>
              </w:rPr>
            </w:pPr>
            <w:r w:rsidRPr="00980205">
              <w:rPr>
                <w:rFonts w:asciiTheme="majorHAnsi" w:hAnsiTheme="majorHAnsi" w:cstheme="majorHAnsi"/>
                <w:color w:val="auto"/>
                <w:sz w:val="20"/>
                <w:szCs w:val="20"/>
              </w:rPr>
              <w:t>Could occur at some time.</w:t>
            </w:r>
          </w:p>
        </w:tc>
        <w:tc>
          <w:tcPr>
            <w:tcW w:w="5701" w:type="dxa"/>
          </w:tcPr>
          <w:p w14:paraId="6385A1B2" w14:textId="77777777" w:rsidR="0076281E" w:rsidRPr="00980205" w:rsidRDefault="0076281E" w:rsidP="00142A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0"/>
              </w:rPr>
            </w:pPr>
            <w:r w:rsidRPr="00980205">
              <w:rPr>
                <w:rFonts w:asciiTheme="majorHAnsi" w:hAnsiTheme="majorHAnsi" w:cstheme="majorHAnsi"/>
                <w:color w:val="auto"/>
                <w:sz w:val="20"/>
                <w:szCs w:val="20"/>
              </w:rPr>
              <w:t>Has occurred 2 or 3 times in 10 years within the organisation or similar organisations.</w:t>
            </w:r>
          </w:p>
        </w:tc>
        <w:tc>
          <w:tcPr>
            <w:tcW w:w="944" w:type="dxa"/>
          </w:tcPr>
          <w:p w14:paraId="1899260C" w14:textId="77777777" w:rsidR="0076281E" w:rsidRPr="00980205" w:rsidRDefault="0076281E" w:rsidP="00142A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20"/>
              </w:rPr>
            </w:pPr>
            <w:r w:rsidRPr="00980205">
              <w:rPr>
                <w:rFonts w:asciiTheme="majorHAnsi" w:hAnsiTheme="majorHAnsi" w:cstheme="majorHAnsi"/>
                <w:color w:val="auto"/>
                <w:sz w:val="20"/>
                <w:szCs w:val="20"/>
              </w:rPr>
              <w:t>5% - 35%</w:t>
            </w:r>
          </w:p>
        </w:tc>
      </w:tr>
      <w:tr w:rsidR="0076281E" w:rsidRPr="00980205" w14:paraId="28003720" w14:textId="77777777" w:rsidTr="00142A47">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903" w:type="dxa"/>
          </w:tcPr>
          <w:p w14:paraId="549A39C1" w14:textId="77777777" w:rsidR="0076281E" w:rsidRPr="00980205" w:rsidRDefault="0076281E" w:rsidP="00142A47">
            <w:pPr>
              <w:jc w:val="center"/>
              <w:rPr>
                <w:rFonts w:asciiTheme="majorHAnsi" w:hAnsiTheme="majorHAnsi" w:cstheme="majorHAnsi"/>
                <w:b w:val="0"/>
                <w:color w:val="auto"/>
                <w:sz w:val="20"/>
                <w:szCs w:val="20"/>
              </w:rPr>
            </w:pPr>
            <w:r w:rsidRPr="00980205">
              <w:rPr>
                <w:rFonts w:asciiTheme="majorHAnsi" w:hAnsiTheme="majorHAnsi" w:cstheme="majorHAnsi"/>
                <w:color w:val="auto"/>
                <w:sz w:val="20"/>
                <w:szCs w:val="20"/>
              </w:rPr>
              <w:lastRenderedPageBreak/>
              <w:t>Rare</w:t>
            </w:r>
          </w:p>
        </w:tc>
        <w:tc>
          <w:tcPr>
            <w:tcW w:w="1936" w:type="dxa"/>
          </w:tcPr>
          <w:p w14:paraId="3BA68298"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0"/>
                <w:szCs w:val="20"/>
              </w:rPr>
            </w:pPr>
            <w:r w:rsidRPr="00980205">
              <w:rPr>
                <w:rFonts w:asciiTheme="majorHAnsi" w:hAnsiTheme="majorHAnsi" w:cstheme="majorHAnsi"/>
                <w:color w:val="auto"/>
                <w:sz w:val="20"/>
                <w:szCs w:val="20"/>
              </w:rPr>
              <w:t>May occur in exceptional circumstances</w:t>
            </w:r>
          </w:p>
        </w:tc>
        <w:tc>
          <w:tcPr>
            <w:tcW w:w="5701" w:type="dxa"/>
          </w:tcPr>
          <w:p w14:paraId="7DECE71E"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0"/>
                <w:szCs w:val="20"/>
              </w:rPr>
            </w:pPr>
            <w:r w:rsidRPr="00980205">
              <w:rPr>
                <w:rFonts w:asciiTheme="majorHAnsi" w:hAnsiTheme="majorHAnsi" w:cstheme="majorHAnsi"/>
                <w:color w:val="auto"/>
                <w:sz w:val="20"/>
                <w:szCs w:val="20"/>
              </w:rPr>
              <w:t>Has occurred or can reasonably be expected to occur only a few times in 100 years.</w:t>
            </w:r>
          </w:p>
        </w:tc>
        <w:tc>
          <w:tcPr>
            <w:tcW w:w="944" w:type="dxa"/>
          </w:tcPr>
          <w:p w14:paraId="046B6B4E"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0"/>
                <w:szCs w:val="20"/>
              </w:rPr>
            </w:pPr>
            <w:r w:rsidRPr="00980205">
              <w:rPr>
                <w:rFonts w:asciiTheme="majorHAnsi" w:hAnsiTheme="majorHAnsi" w:cstheme="majorHAnsi"/>
                <w:color w:val="auto"/>
                <w:sz w:val="20"/>
                <w:szCs w:val="20"/>
              </w:rPr>
              <w:t>&lt;5%</w:t>
            </w:r>
          </w:p>
        </w:tc>
      </w:tr>
    </w:tbl>
    <w:p w14:paraId="2B4F8B69" w14:textId="77777777" w:rsidR="0076281E" w:rsidRPr="00980205" w:rsidRDefault="0076281E" w:rsidP="0076281E">
      <w:pPr>
        <w:rPr>
          <w:rFonts w:asciiTheme="majorHAnsi" w:hAnsiTheme="majorHAnsi" w:cstheme="majorHAnsi"/>
        </w:rPr>
        <w:sectPr w:rsidR="0076281E" w:rsidRPr="00980205" w:rsidSect="0076281E">
          <w:headerReference w:type="even" r:id="rId11"/>
          <w:headerReference w:type="default" r:id="rId12"/>
          <w:headerReference w:type="first" r:id="rId13"/>
          <w:footerReference w:type="first" r:id="rId14"/>
          <w:pgSz w:w="11906" w:h="16838"/>
          <w:pgMar w:top="1134" w:right="1440" w:bottom="1440" w:left="1440" w:header="708" w:footer="708" w:gutter="0"/>
          <w:cols w:space="708"/>
          <w:titlePg/>
          <w:docGrid w:linePitch="360"/>
        </w:sectPr>
      </w:pPr>
    </w:p>
    <w:p w14:paraId="25A40B3F" w14:textId="77777777" w:rsidR="0076281E" w:rsidRPr="00980205" w:rsidRDefault="0076281E" w:rsidP="0076281E">
      <w:pPr>
        <w:pStyle w:val="HivintHeading1"/>
        <w:rPr>
          <w:rFonts w:ascii="Cambria" w:hAnsi="Cambria" w:cstheme="majorHAnsi"/>
          <w:color w:val="BF4E14" w:themeColor="accent2" w:themeShade="BF"/>
        </w:rPr>
      </w:pPr>
      <w:r w:rsidRPr="00980205">
        <w:rPr>
          <w:rFonts w:ascii="Cambria" w:hAnsi="Cambria" w:cstheme="majorHAnsi"/>
          <w:color w:val="BF4E14" w:themeColor="accent2" w:themeShade="BF"/>
        </w:rPr>
        <w:lastRenderedPageBreak/>
        <w:t>Consequence Ratings</w:t>
      </w:r>
    </w:p>
    <w:tbl>
      <w:tblPr>
        <w:tblStyle w:val="GridTable5Dark-Accent2"/>
        <w:tblW w:w="8824" w:type="dxa"/>
        <w:tblLook w:val="04A0" w:firstRow="1" w:lastRow="0" w:firstColumn="1" w:lastColumn="0" w:noHBand="0" w:noVBand="1"/>
      </w:tblPr>
      <w:tblGrid>
        <w:gridCol w:w="1170"/>
        <w:gridCol w:w="1529"/>
        <w:gridCol w:w="1402"/>
        <w:gridCol w:w="1555"/>
        <w:gridCol w:w="1626"/>
        <w:gridCol w:w="1542"/>
      </w:tblGrid>
      <w:tr w:rsidR="0076281E" w:rsidRPr="00980205" w14:paraId="4EE9DA13" w14:textId="77777777" w:rsidTr="0076281E">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tcPr>
          <w:p w14:paraId="21502A09" w14:textId="77777777" w:rsidR="0076281E" w:rsidRPr="00980205" w:rsidRDefault="0076281E" w:rsidP="00142A47">
            <w:pPr>
              <w:jc w:val="center"/>
              <w:rPr>
                <w:rFonts w:asciiTheme="majorHAnsi" w:hAnsiTheme="majorHAnsi" w:cstheme="majorHAnsi"/>
                <w:sz w:val="18"/>
                <w:szCs w:val="18"/>
              </w:rPr>
            </w:pPr>
            <w:r w:rsidRPr="00980205">
              <w:rPr>
                <w:rFonts w:asciiTheme="majorHAnsi" w:hAnsiTheme="majorHAnsi" w:cstheme="majorHAnsi"/>
                <w:sz w:val="18"/>
                <w:szCs w:val="18"/>
              </w:rPr>
              <w:t>Area of Impact</w:t>
            </w:r>
          </w:p>
        </w:tc>
        <w:tc>
          <w:tcPr>
            <w:tcW w:w="0" w:type="auto"/>
          </w:tcPr>
          <w:p w14:paraId="1B694CF3" w14:textId="77777777" w:rsidR="0076281E" w:rsidRPr="00980205" w:rsidRDefault="0076281E" w:rsidP="00142A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980205">
              <w:rPr>
                <w:rFonts w:asciiTheme="majorHAnsi" w:hAnsiTheme="majorHAnsi" w:cstheme="majorHAnsi"/>
                <w:sz w:val="18"/>
                <w:szCs w:val="18"/>
              </w:rPr>
              <w:t>Negligible</w:t>
            </w:r>
          </w:p>
        </w:tc>
        <w:tc>
          <w:tcPr>
            <w:tcW w:w="0" w:type="auto"/>
          </w:tcPr>
          <w:p w14:paraId="31B9CA2A" w14:textId="77777777" w:rsidR="0076281E" w:rsidRPr="00980205" w:rsidRDefault="0076281E" w:rsidP="00142A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980205">
              <w:rPr>
                <w:rFonts w:asciiTheme="majorHAnsi" w:hAnsiTheme="majorHAnsi" w:cstheme="majorHAnsi"/>
                <w:sz w:val="18"/>
                <w:szCs w:val="18"/>
              </w:rPr>
              <w:t>Minor</w:t>
            </w:r>
          </w:p>
        </w:tc>
        <w:tc>
          <w:tcPr>
            <w:tcW w:w="0" w:type="auto"/>
          </w:tcPr>
          <w:p w14:paraId="3F8D7677" w14:textId="77777777" w:rsidR="0076281E" w:rsidRPr="00980205" w:rsidRDefault="0076281E" w:rsidP="00142A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980205">
              <w:rPr>
                <w:rFonts w:asciiTheme="majorHAnsi" w:hAnsiTheme="majorHAnsi" w:cstheme="majorHAnsi"/>
                <w:sz w:val="18"/>
                <w:szCs w:val="18"/>
              </w:rPr>
              <w:t>Moderate</w:t>
            </w:r>
          </w:p>
        </w:tc>
        <w:tc>
          <w:tcPr>
            <w:tcW w:w="0" w:type="auto"/>
          </w:tcPr>
          <w:p w14:paraId="31067877" w14:textId="77777777" w:rsidR="0076281E" w:rsidRPr="00980205" w:rsidRDefault="0076281E" w:rsidP="00142A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980205">
              <w:rPr>
                <w:rFonts w:asciiTheme="majorHAnsi" w:hAnsiTheme="majorHAnsi" w:cstheme="majorHAnsi"/>
                <w:sz w:val="18"/>
                <w:szCs w:val="18"/>
              </w:rPr>
              <w:t>Major</w:t>
            </w:r>
          </w:p>
        </w:tc>
        <w:tc>
          <w:tcPr>
            <w:tcW w:w="0" w:type="auto"/>
          </w:tcPr>
          <w:p w14:paraId="604840C6" w14:textId="77777777" w:rsidR="0076281E" w:rsidRPr="00980205" w:rsidRDefault="0076281E" w:rsidP="00142A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980205">
              <w:rPr>
                <w:rFonts w:asciiTheme="majorHAnsi" w:hAnsiTheme="majorHAnsi" w:cstheme="majorHAnsi"/>
                <w:sz w:val="18"/>
                <w:szCs w:val="18"/>
              </w:rPr>
              <w:t>Severe</w:t>
            </w:r>
          </w:p>
        </w:tc>
      </w:tr>
      <w:tr w:rsidR="0076281E" w:rsidRPr="00980205" w14:paraId="5C3D3FBA" w14:textId="77777777" w:rsidTr="0076281E">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0" w:type="auto"/>
          </w:tcPr>
          <w:p w14:paraId="7C5FE530" w14:textId="77777777" w:rsidR="0076281E" w:rsidRPr="00980205" w:rsidRDefault="0076281E" w:rsidP="00142A47">
            <w:pPr>
              <w:jc w:val="center"/>
              <w:rPr>
                <w:rFonts w:asciiTheme="majorHAnsi" w:hAnsiTheme="majorHAnsi" w:cstheme="majorHAnsi"/>
                <w:b w:val="0"/>
                <w:color w:val="auto"/>
                <w:sz w:val="18"/>
                <w:szCs w:val="18"/>
              </w:rPr>
            </w:pPr>
            <w:r w:rsidRPr="00980205">
              <w:rPr>
                <w:rFonts w:asciiTheme="majorHAnsi" w:hAnsiTheme="majorHAnsi" w:cstheme="majorHAnsi"/>
                <w:color w:val="auto"/>
                <w:sz w:val="18"/>
                <w:szCs w:val="18"/>
              </w:rPr>
              <w:t>Information</w:t>
            </w:r>
          </w:p>
        </w:tc>
        <w:tc>
          <w:tcPr>
            <w:tcW w:w="0" w:type="auto"/>
          </w:tcPr>
          <w:p w14:paraId="05E85DEC"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Compromise of information otherwise in the public domain.</w:t>
            </w:r>
          </w:p>
        </w:tc>
        <w:tc>
          <w:tcPr>
            <w:tcW w:w="0" w:type="auto"/>
          </w:tcPr>
          <w:p w14:paraId="3E67E766"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Minor compromise of information sensitive to internal business unit interests.</w:t>
            </w:r>
          </w:p>
        </w:tc>
        <w:tc>
          <w:tcPr>
            <w:tcW w:w="0" w:type="auto"/>
          </w:tcPr>
          <w:p w14:paraId="33250487"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Compromise of information important to the organisation’s operations.</w:t>
            </w:r>
          </w:p>
        </w:tc>
        <w:tc>
          <w:tcPr>
            <w:tcW w:w="0" w:type="auto"/>
          </w:tcPr>
          <w:p w14:paraId="2E2B8C08"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Compromise of information critical to the organisation’s operations and competitive advantage.</w:t>
            </w:r>
          </w:p>
        </w:tc>
        <w:tc>
          <w:tcPr>
            <w:tcW w:w="0" w:type="auto"/>
          </w:tcPr>
          <w:p w14:paraId="57A7D257"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Compromise of information covered by legal or regulatory obligations.</w:t>
            </w:r>
          </w:p>
        </w:tc>
      </w:tr>
      <w:tr w:rsidR="0076281E" w:rsidRPr="00980205" w14:paraId="51EBE6FE" w14:textId="77777777" w:rsidTr="0076281E">
        <w:trPr>
          <w:trHeight w:val="770"/>
        </w:trPr>
        <w:tc>
          <w:tcPr>
            <w:cnfStyle w:val="001000000000" w:firstRow="0" w:lastRow="0" w:firstColumn="1" w:lastColumn="0" w:oddVBand="0" w:evenVBand="0" w:oddHBand="0" w:evenHBand="0" w:firstRowFirstColumn="0" w:firstRowLastColumn="0" w:lastRowFirstColumn="0" w:lastRowLastColumn="0"/>
            <w:tcW w:w="0" w:type="auto"/>
          </w:tcPr>
          <w:p w14:paraId="34C2A088" w14:textId="77777777" w:rsidR="0076281E" w:rsidRPr="00980205" w:rsidRDefault="0076281E" w:rsidP="00142A47">
            <w:pPr>
              <w:jc w:val="center"/>
              <w:rPr>
                <w:rFonts w:asciiTheme="majorHAnsi" w:hAnsiTheme="majorHAnsi" w:cstheme="majorHAnsi"/>
                <w:b w:val="0"/>
                <w:color w:val="auto"/>
                <w:sz w:val="18"/>
                <w:szCs w:val="18"/>
              </w:rPr>
            </w:pPr>
            <w:r w:rsidRPr="00980205">
              <w:rPr>
                <w:rFonts w:asciiTheme="majorHAnsi" w:hAnsiTheme="majorHAnsi" w:cstheme="majorHAnsi"/>
                <w:color w:val="auto"/>
                <w:sz w:val="18"/>
                <w:szCs w:val="18"/>
              </w:rPr>
              <w:t>Operations</w:t>
            </w:r>
          </w:p>
        </w:tc>
        <w:tc>
          <w:tcPr>
            <w:tcW w:w="0" w:type="auto"/>
          </w:tcPr>
          <w:p w14:paraId="299552B5" w14:textId="77777777" w:rsidR="0076281E" w:rsidRPr="00980205" w:rsidRDefault="0076281E" w:rsidP="00142A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Minimal impact on non-core operations. The impact can be managed as part of Business as Usual (BAU) operations.</w:t>
            </w:r>
          </w:p>
        </w:tc>
        <w:tc>
          <w:tcPr>
            <w:tcW w:w="0" w:type="auto"/>
          </w:tcPr>
          <w:p w14:paraId="6092A04D" w14:textId="77777777" w:rsidR="0076281E" w:rsidRPr="00980205" w:rsidRDefault="0076281E" w:rsidP="00142A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Some impact to organisational operations, such as delays or minor loss in Quality of Service (QoS).</w:t>
            </w:r>
          </w:p>
        </w:tc>
        <w:tc>
          <w:tcPr>
            <w:tcW w:w="0" w:type="auto"/>
          </w:tcPr>
          <w:p w14:paraId="741C8CCD" w14:textId="77777777" w:rsidR="0076281E" w:rsidRPr="00980205" w:rsidRDefault="0076281E" w:rsidP="00142A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Impact on the organisation resulting in degradation of performance which impacts targets.</w:t>
            </w:r>
          </w:p>
        </w:tc>
        <w:tc>
          <w:tcPr>
            <w:tcW w:w="0" w:type="auto"/>
          </w:tcPr>
          <w:p w14:paraId="065284B8" w14:textId="77777777" w:rsidR="0076281E" w:rsidRPr="00980205" w:rsidRDefault="0076281E" w:rsidP="00142A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Breakdown of key business activities leading to reduction in performance, such as service delays, revenue loss, client dissatisfaction, legal/regulatory breaches.</w:t>
            </w:r>
          </w:p>
        </w:tc>
        <w:tc>
          <w:tcPr>
            <w:tcW w:w="0" w:type="auto"/>
          </w:tcPr>
          <w:p w14:paraId="26BA3E11" w14:textId="77777777" w:rsidR="0076281E" w:rsidRPr="00980205" w:rsidRDefault="0076281E" w:rsidP="00142A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Protracted unavailability of key business activities. Survival of the organisation is threatened.</w:t>
            </w:r>
          </w:p>
        </w:tc>
      </w:tr>
      <w:tr w:rsidR="0076281E" w:rsidRPr="00980205" w14:paraId="610583E2" w14:textId="77777777" w:rsidTr="0076281E">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0" w:type="auto"/>
          </w:tcPr>
          <w:p w14:paraId="62098FCA" w14:textId="77777777" w:rsidR="0076281E" w:rsidRPr="00980205" w:rsidRDefault="0076281E" w:rsidP="00142A47">
            <w:pPr>
              <w:jc w:val="center"/>
              <w:rPr>
                <w:rFonts w:asciiTheme="majorHAnsi" w:hAnsiTheme="majorHAnsi" w:cstheme="majorHAnsi"/>
                <w:b w:val="0"/>
                <w:color w:val="auto"/>
                <w:sz w:val="18"/>
                <w:szCs w:val="18"/>
              </w:rPr>
            </w:pPr>
            <w:r w:rsidRPr="00980205">
              <w:rPr>
                <w:rFonts w:asciiTheme="majorHAnsi" w:hAnsiTheme="majorHAnsi" w:cstheme="majorHAnsi"/>
                <w:color w:val="auto"/>
                <w:sz w:val="18"/>
                <w:szCs w:val="18"/>
              </w:rPr>
              <w:t>People</w:t>
            </w:r>
          </w:p>
        </w:tc>
        <w:tc>
          <w:tcPr>
            <w:tcW w:w="0" w:type="auto"/>
          </w:tcPr>
          <w:p w14:paraId="23DE1958"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Minor injury or first aid treatment.</w:t>
            </w:r>
          </w:p>
        </w:tc>
        <w:tc>
          <w:tcPr>
            <w:tcW w:w="0" w:type="auto"/>
          </w:tcPr>
          <w:p w14:paraId="1A7EFA18"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Injury requiring treatment by medical practitioner and/or loss time from workplace.</w:t>
            </w:r>
          </w:p>
        </w:tc>
        <w:tc>
          <w:tcPr>
            <w:tcW w:w="0" w:type="auto"/>
          </w:tcPr>
          <w:p w14:paraId="144D3C3E"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Major injury or hospitalisation.</w:t>
            </w:r>
          </w:p>
        </w:tc>
        <w:tc>
          <w:tcPr>
            <w:tcW w:w="0" w:type="auto"/>
          </w:tcPr>
          <w:p w14:paraId="720CE1F9"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Single death and/or multiple major injuries.</w:t>
            </w:r>
          </w:p>
        </w:tc>
        <w:tc>
          <w:tcPr>
            <w:tcW w:w="0" w:type="auto"/>
          </w:tcPr>
          <w:p w14:paraId="73460A49"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Multiple deaths.</w:t>
            </w:r>
          </w:p>
        </w:tc>
      </w:tr>
      <w:tr w:rsidR="0076281E" w:rsidRPr="00980205" w14:paraId="756DB629" w14:textId="77777777" w:rsidTr="0076281E">
        <w:trPr>
          <w:trHeight w:val="299"/>
        </w:trPr>
        <w:tc>
          <w:tcPr>
            <w:cnfStyle w:val="001000000000" w:firstRow="0" w:lastRow="0" w:firstColumn="1" w:lastColumn="0" w:oddVBand="0" w:evenVBand="0" w:oddHBand="0" w:evenHBand="0" w:firstRowFirstColumn="0" w:firstRowLastColumn="0" w:lastRowFirstColumn="0" w:lastRowLastColumn="0"/>
            <w:tcW w:w="0" w:type="auto"/>
          </w:tcPr>
          <w:p w14:paraId="2BA16E90" w14:textId="77777777" w:rsidR="0076281E" w:rsidRPr="00980205" w:rsidRDefault="0076281E" w:rsidP="00142A47">
            <w:pPr>
              <w:jc w:val="center"/>
              <w:rPr>
                <w:rFonts w:asciiTheme="majorHAnsi" w:hAnsiTheme="majorHAnsi" w:cstheme="majorHAnsi"/>
                <w:b w:val="0"/>
                <w:color w:val="auto"/>
                <w:sz w:val="18"/>
                <w:szCs w:val="18"/>
              </w:rPr>
            </w:pPr>
            <w:r w:rsidRPr="00980205">
              <w:rPr>
                <w:rFonts w:asciiTheme="majorHAnsi" w:hAnsiTheme="majorHAnsi" w:cstheme="majorHAnsi"/>
                <w:color w:val="auto"/>
                <w:sz w:val="18"/>
                <w:szCs w:val="18"/>
              </w:rPr>
              <w:t>Property</w:t>
            </w:r>
          </w:p>
        </w:tc>
        <w:tc>
          <w:tcPr>
            <w:tcW w:w="0" w:type="auto"/>
          </w:tcPr>
          <w:p w14:paraId="6B1B4EA5" w14:textId="77777777" w:rsidR="0076281E" w:rsidRPr="00980205" w:rsidRDefault="0076281E" w:rsidP="00142A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Minor damage of vandalism to asset.</w:t>
            </w:r>
          </w:p>
        </w:tc>
        <w:tc>
          <w:tcPr>
            <w:tcW w:w="0" w:type="auto"/>
          </w:tcPr>
          <w:p w14:paraId="11A502F6" w14:textId="77777777" w:rsidR="0076281E" w:rsidRPr="00980205" w:rsidRDefault="0076281E" w:rsidP="00142A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Minor damage or loss of &lt;5% of total assets.</w:t>
            </w:r>
          </w:p>
        </w:tc>
        <w:tc>
          <w:tcPr>
            <w:tcW w:w="0" w:type="auto"/>
          </w:tcPr>
          <w:p w14:paraId="026F43F4" w14:textId="77777777" w:rsidR="0076281E" w:rsidRPr="00980205" w:rsidRDefault="0076281E" w:rsidP="00142A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Damage or loss of &lt;20% of total assets.</w:t>
            </w:r>
          </w:p>
        </w:tc>
        <w:tc>
          <w:tcPr>
            <w:tcW w:w="0" w:type="auto"/>
          </w:tcPr>
          <w:p w14:paraId="018E9E0B" w14:textId="77777777" w:rsidR="0076281E" w:rsidRPr="00980205" w:rsidRDefault="0076281E" w:rsidP="00142A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Extensive damage or loss &lt;50% of total assets</w:t>
            </w:r>
          </w:p>
        </w:tc>
        <w:tc>
          <w:tcPr>
            <w:tcW w:w="0" w:type="auto"/>
          </w:tcPr>
          <w:p w14:paraId="5751BA87" w14:textId="77777777" w:rsidR="0076281E" w:rsidRPr="00980205" w:rsidRDefault="0076281E" w:rsidP="00142A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Destruction or complete loss of &gt;50% of assets.</w:t>
            </w:r>
          </w:p>
        </w:tc>
      </w:tr>
      <w:tr w:rsidR="0076281E" w:rsidRPr="00980205" w14:paraId="4B26F4B2" w14:textId="77777777" w:rsidTr="0076281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0" w:type="auto"/>
          </w:tcPr>
          <w:p w14:paraId="0CF229ED" w14:textId="77777777" w:rsidR="0076281E" w:rsidRPr="00980205" w:rsidRDefault="0076281E" w:rsidP="00142A47">
            <w:pPr>
              <w:jc w:val="center"/>
              <w:rPr>
                <w:rFonts w:asciiTheme="majorHAnsi" w:hAnsiTheme="majorHAnsi" w:cstheme="majorHAnsi"/>
                <w:b w:val="0"/>
                <w:color w:val="auto"/>
                <w:sz w:val="18"/>
                <w:szCs w:val="18"/>
              </w:rPr>
            </w:pPr>
            <w:r w:rsidRPr="00980205">
              <w:rPr>
                <w:rFonts w:asciiTheme="majorHAnsi" w:hAnsiTheme="majorHAnsi" w:cstheme="majorHAnsi"/>
                <w:color w:val="auto"/>
                <w:sz w:val="18"/>
                <w:szCs w:val="18"/>
              </w:rPr>
              <w:t>Financial</w:t>
            </w:r>
          </w:p>
        </w:tc>
        <w:tc>
          <w:tcPr>
            <w:tcW w:w="0" w:type="auto"/>
          </w:tcPr>
          <w:p w14:paraId="413F1348"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1% of budget (organisational, business unit, or project budget, as applicable).</w:t>
            </w:r>
          </w:p>
        </w:tc>
        <w:tc>
          <w:tcPr>
            <w:tcW w:w="0" w:type="auto"/>
          </w:tcPr>
          <w:p w14:paraId="2BD3951D"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2-5% of annual budget.</w:t>
            </w:r>
          </w:p>
        </w:tc>
        <w:tc>
          <w:tcPr>
            <w:tcW w:w="0" w:type="auto"/>
          </w:tcPr>
          <w:p w14:paraId="6F0C38D9"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5-10% of annual budget.</w:t>
            </w:r>
          </w:p>
        </w:tc>
        <w:tc>
          <w:tcPr>
            <w:tcW w:w="0" w:type="auto"/>
          </w:tcPr>
          <w:p w14:paraId="42EDC954"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&gt; 10% of annual budget.</w:t>
            </w:r>
          </w:p>
        </w:tc>
        <w:tc>
          <w:tcPr>
            <w:tcW w:w="0" w:type="auto"/>
          </w:tcPr>
          <w:p w14:paraId="375175F4"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&gt; 30% of organisational or project budget.</w:t>
            </w:r>
          </w:p>
        </w:tc>
      </w:tr>
      <w:tr w:rsidR="0076281E" w:rsidRPr="00980205" w14:paraId="54149636" w14:textId="77777777" w:rsidTr="0076281E">
        <w:trPr>
          <w:trHeight w:val="927"/>
        </w:trPr>
        <w:tc>
          <w:tcPr>
            <w:cnfStyle w:val="001000000000" w:firstRow="0" w:lastRow="0" w:firstColumn="1" w:lastColumn="0" w:oddVBand="0" w:evenVBand="0" w:oddHBand="0" w:evenHBand="0" w:firstRowFirstColumn="0" w:firstRowLastColumn="0" w:lastRowFirstColumn="0" w:lastRowLastColumn="0"/>
            <w:tcW w:w="0" w:type="auto"/>
          </w:tcPr>
          <w:p w14:paraId="30862F73" w14:textId="77777777" w:rsidR="0076281E" w:rsidRPr="00980205" w:rsidRDefault="0076281E" w:rsidP="00142A47">
            <w:pPr>
              <w:jc w:val="center"/>
              <w:rPr>
                <w:rFonts w:asciiTheme="majorHAnsi" w:hAnsiTheme="majorHAnsi" w:cstheme="majorHAnsi"/>
                <w:b w:val="0"/>
                <w:color w:val="auto"/>
                <w:sz w:val="18"/>
                <w:szCs w:val="18"/>
              </w:rPr>
            </w:pPr>
            <w:r w:rsidRPr="00980205">
              <w:rPr>
                <w:rFonts w:asciiTheme="majorHAnsi" w:hAnsiTheme="majorHAnsi" w:cstheme="majorHAnsi"/>
                <w:color w:val="auto"/>
                <w:sz w:val="18"/>
                <w:szCs w:val="18"/>
              </w:rPr>
              <w:t>Reputation</w:t>
            </w:r>
          </w:p>
        </w:tc>
        <w:tc>
          <w:tcPr>
            <w:tcW w:w="0" w:type="auto"/>
          </w:tcPr>
          <w:p w14:paraId="26D72000" w14:textId="77777777" w:rsidR="0076281E" w:rsidRPr="00980205" w:rsidRDefault="0076281E" w:rsidP="00142A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Local mention only which is quickly forgotten. Freedom to operate unaffected.</w:t>
            </w:r>
          </w:p>
        </w:tc>
        <w:tc>
          <w:tcPr>
            <w:tcW w:w="0" w:type="auto"/>
          </w:tcPr>
          <w:p w14:paraId="25F375F2" w14:textId="77777777" w:rsidR="0076281E" w:rsidRPr="00980205" w:rsidRDefault="0076281E" w:rsidP="00142A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Adverse media coverage at a local or regional level.</w:t>
            </w:r>
          </w:p>
          <w:p w14:paraId="08008582" w14:textId="77777777" w:rsidR="0076281E" w:rsidRPr="00980205" w:rsidRDefault="0076281E" w:rsidP="00142A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Minor brand damage offset by public relations efforts.</w:t>
            </w:r>
          </w:p>
        </w:tc>
        <w:tc>
          <w:tcPr>
            <w:tcW w:w="0" w:type="auto"/>
          </w:tcPr>
          <w:p w14:paraId="170E6F5F" w14:textId="77777777" w:rsidR="0076281E" w:rsidRPr="00980205" w:rsidRDefault="0076281E" w:rsidP="00142A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Adverse media coverage at a local or regional level. Threat of prosecution or sanctions by authorities for breach of laws or regulations.</w:t>
            </w:r>
          </w:p>
          <w:p w14:paraId="1FD34A42" w14:textId="77777777" w:rsidR="0076281E" w:rsidRPr="00980205" w:rsidRDefault="0076281E" w:rsidP="00142A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18"/>
                <w:szCs w:val="18"/>
              </w:rPr>
            </w:pPr>
          </w:p>
        </w:tc>
        <w:tc>
          <w:tcPr>
            <w:tcW w:w="0" w:type="auto"/>
          </w:tcPr>
          <w:p w14:paraId="07D4890B" w14:textId="77777777" w:rsidR="0076281E" w:rsidRPr="00980205" w:rsidRDefault="0076281E" w:rsidP="00142A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Adverse media coverage at a national level, and public, political, and media scrutiny. Brand damage and loss of customers.</w:t>
            </w:r>
          </w:p>
        </w:tc>
        <w:tc>
          <w:tcPr>
            <w:tcW w:w="0" w:type="auto"/>
          </w:tcPr>
          <w:p w14:paraId="7F9A0DE9" w14:textId="77777777" w:rsidR="0076281E" w:rsidRPr="00980205" w:rsidRDefault="0076281E" w:rsidP="00142A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National or International concern, Governmental inquiry. Sustained adverse national or international media scrutiny. Significant Brand damage and loss of customers.</w:t>
            </w:r>
          </w:p>
        </w:tc>
      </w:tr>
      <w:tr w:rsidR="0076281E" w:rsidRPr="00980205" w14:paraId="69A1655B" w14:textId="77777777" w:rsidTr="0076281E">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0" w:type="auto"/>
          </w:tcPr>
          <w:p w14:paraId="34D3651E" w14:textId="77777777" w:rsidR="0076281E" w:rsidRPr="00980205" w:rsidRDefault="0076281E" w:rsidP="00142A47">
            <w:pPr>
              <w:jc w:val="center"/>
              <w:rPr>
                <w:rFonts w:asciiTheme="majorHAnsi" w:hAnsiTheme="majorHAnsi" w:cstheme="majorHAnsi"/>
                <w:b w:val="0"/>
                <w:color w:val="auto"/>
                <w:sz w:val="18"/>
                <w:szCs w:val="18"/>
              </w:rPr>
            </w:pPr>
            <w:r w:rsidRPr="00980205">
              <w:rPr>
                <w:rFonts w:asciiTheme="majorHAnsi" w:hAnsiTheme="majorHAnsi" w:cstheme="majorHAnsi"/>
                <w:color w:val="auto"/>
                <w:sz w:val="18"/>
                <w:szCs w:val="18"/>
              </w:rPr>
              <w:t>Regulatory Compliance</w:t>
            </w:r>
          </w:p>
        </w:tc>
        <w:tc>
          <w:tcPr>
            <w:tcW w:w="0" w:type="auto"/>
          </w:tcPr>
          <w:p w14:paraId="2CDAFF06"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Minor regulatory breach which is remediated through BAU activities.</w:t>
            </w:r>
          </w:p>
        </w:tc>
        <w:tc>
          <w:tcPr>
            <w:tcW w:w="0" w:type="auto"/>
          </w:tcPr>
          <w:p w14:paraId="68765BD3"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Regulatory scrutiny and threats of sanctions or penalties.</w:t>
            </w:r>
          </w:p>
        </w:tc>
        <w:tc>
          <w:tcPr>
            <w:tcW w:w="0" w:type="auto"/>
          </w:tcPr>
          <w:p w14:paraId="1FAD94E8"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Minor breach of laws or regulations, penalties applied to the organisation.</w:t>
            </w:r>
          </w:p>
        </w:tc>
        <w:tc>
          <w:tcPr>
            <w:tcW w:w="0" w:type="auto"/>
          </w:tcPr>
          <w:p w14:paraId="6136474B"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Breach of laws or regulations, sanctions or penalties applied to the organisation, enforceable undertakings applied to the organisation over a short period of time.</w:t>
            </w:r>
          </w:p>
        </w:tc>
        <w:tc>
          <w:tcPr>
            <w:tcW w:w="0" w:type="auto"/>
          </w:tcPr>
          <w:p w14:paraId="7A59FF3B" w14:textId="77777777" w:rsidR="0076281E" w:rsidRPr="00980205" w:rsidRDefault="0076281E" w:rsidP="00142A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18"/>
                <w:szCs w:val="18"/>
              </w:rPr>
            </w:pPr>
            <w:r w:rsidRPr="00980205">
              <w:rPr>
                <w:rFonts w:asciiTheme="majorHAnsi" w:hAnsiTheme="majorHAnsi" w:cstheme="majorHAnsi"/>
                <w:color w:val="auto"/>
                <w:sz w:val="18"/>
                <w:szCs w:val="18"/>
              </w:rPr>
              <w:t xml:space="preserve">Significant breach of laws or regulations, major sanctions or penalties, enforceable undertakings over </w:t>
            </w:r>
            <w:proofErr w:type="gramStart"/>
            <w:r w:rsidRPr="00980205">
              <w:rPr>
                <w:rFonts w:asciiTheme="majorHAnsi" w:hAnsiTheme="majorHAnsi" w:cstheme="majorHAnsi"/>
                <w:color w:val="auto"/>
                <w:sz w:val="18"/>
                <w:szCs w:val="18"/>
              </w:rPr>
              <w:t>a number of</w:t>
            </w:r>
            <w:proofErr w:type="gramEnd"/>
            <w:r w:rsidRPr="00980205">
              <w:rPr>
                <w:rFonts w:asciiTheme="majorHAnsi" w:hAnsiTheme="majorHAnsi" w:cstheme="majorHAnsi"/>
                <w:color w:val="auto"/>
                <w:sz w:val="18"/>
                <w:szCs w:val="18"/>
              </w:rPr>
              <w:t xml:space="preserve"> years, prosecution of directors.</w:t>
            </w:r>
          </w:p>
        </w:tc>
      </w:tr>
    </w:tbl>
    <w:p w14:paraId="55AA94C7" w14:textId="77777777" w:rsidR="0076281E" w:rsidRDefault="0076281E" w:rsidP="0076281E"/>
    <w:sectPr w:rsidR="0076281E" w:rsidSect="0076281E">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93065" w14:textId="77777777" w:rsidR="008F1438" w:rsidRDefault="008F1438" w:rsidP="0076281E">
      <w:pPr>
        <w:spacing w:after="0" w:line="240" w:lineRule="auto"/>
      </w:pPr>
      <w:r>
        <w:separator/>
      </w:r>
    </w:p>
  </w:endnote>
  <w:endnote w:type="continuationSeparator" w:id="0">
    <w:p w14:paraId="2FBFE41A" w14:textId="77777777" w:rsidR="008F1438" w:rsidRDefault="008F1438" w:rsidP="00762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MS PMincho">
    <w:altName w:val="‚l‚r ‚o–¾’©"/>
    <w:panose1 w:val="02020600040205080304"/>
    <w:charset w:val="80"/>
    <w:family w:val="roma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07295" w14:textId="77777777" w:rsidR="0076281E" w:rsidRPr="0060436F" w:rsidRDefault="0076281E" w:rsidP="0076281E">
    <w:pPr>
      <w:pStyle w:val="Footer"/>
      <w:jc w:val="center"/>
      <w:rPr>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6B738" w14:textId="77777777" w:rsidR="00000000" w:rsidRDefault="0000000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9026D" w14:textId="77777777" w:rsidR="008F1438" w:rsidRDefault="008F1438" w:rsidP="0076281E">
      <w:pPr>
        <w:spacing w:after="0" w:line="240" w:lineRule="auto"/>
      </w:pPr>
      <w:r>
        <w:separator/>
      </w:r>
    </w:p>
  </w:footnote>
  <w:footnote w:type="continuationSeparator" w:id="0">
    <w:p w14:paraId="55F7FD16" w14:textId="77777777" w:rsidR="008F1438" w:rsidRDefault="008F1438" w:rsidP="00762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2CFD9" w14:textId="77777777" w:rsidR="00000000" w:rsidRPr="00886F82" w:rsidRDefault="00000000" w:rsidP="006C320F">
    <w:pPr>
      <w:pStyle w:val="Header"/>
      <w:tabs>
        <w:tab w:val="clear" w:pos="4513"/>
        <w:tab w:val="clear" w:pos="9026"/>
        <w:tab w:val="left" w:pos="9880"/>
      </w:tabs>
      <w:rPr>
        <w:rFonts w:eastAsia="MS PMincho" w:cs="Times New Roman"/>
        <w:b/>
        <w:bCs/>
        <w:color w:val="BF4E14" w:themeColor="accent2" w:themeShade="BF"/>
        <w:sz w:val="52"/>
        <w:szCs w:val="52"/>
      </w:rPr>
    </w:pPr>
    <w:r>
      <w:rPr>
        <w:noProof/>
        <w:lang w:val="en-GB" w:eastAsia="en-GB"/>
      </w:rPr>
      <mc:AlternateContent>
        <mc:Choice Requires="wpg">
          <w:drawing>
            <wp:anchor distT="0" distB="0" distL="114300" distR="114300" simplePos="0" relativeHeight="251660288" behindDoc="1" locked="0" layoutInCell="1" allowOverlap="1" wp14:anchorId="7B3B53A3" wp14:editId="2E04952B">
              <wp:simplePos x="0" y="0"/>
              <wp:positionH relativeFrom="column">
                <wp:posOffset>-999460</wp:posOffset>
              </wp:positionH>
              <wp:positionV relativeFrom="paragraph">
                <wp:posOffset>-640966</wp:posOffset>
              </wp:positionV>
              <wp:extent cx="10296525" cy="7336465"/>
              <wp:effectExtent l="0" t="0" r="28575" b="36195"/>
              <wp:wrapNone/>
              <wp:docPr id="28" name="Group 28"/>
              <wp:cNvGraphicFramePr/>
              <a:graphic xmlns:a="http://schemas.openxmlformats.org/drawingml/2006/main">
                <a:graphicData uri="http://schemas.microsoft.com/office/word/2010/wordprocessingGroup">
                  <wpg:wgp>
                    <wpg:cNvGrpSpPr/>
                    <wpg:grpSpPr>
                      <a:xfrm>
                        <a:off x="0" y="0"/>
                        <a:ext cx="10296525" cy="7336465"/>
                        <a:chOff x="0" y="0"/>
                        <a:chExt cx="10296525" cy="7215855"/>
                      </a:xfrm>
                    </wpg:grpSpPr>
                    <pic:pic xmlns:pic="http://schemas.openxmlformats.org/drawingml/2006/picture">
                      <pic:nvPicPr>
                        <pic:cNvPr id="29" name="Picture 6" descr="Untitled-1.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7896225" y="6705600"/>
                          <a:ext cx="2400300" cy="200025"/>
                        </a:xfrm>
                        <a:prstGeom prst="rect">
                          <a:avLst/>
                        </a:prstGeom>
                      </pic:spPr>
                    </pic:pic>
                    <wps:wsp>
                      <wps:cNvPr id="30" name="AutoShape 14"/>
                      <wps:cNvCnPr>
                        <a:cxnSpLocks noChangeShapeType="1"/>
                      </wps:cNvCnPr>
                      <wps:spPr bwMode="auto">
                        <a:xfrm>
                          <a:off x="0" y="1276350"/>
                          <a:ext cx="3452495" cy="0"/>
                        </a:xfrm>
                        <a:prstGeom prst="straightConnector1">
                          <a:avLst/>
                        </a:prstGeom>
                        <a:noFill/>
                        <a:ln w="28575">
                          <a:solidFill>
                            <a:srgbClr val="FAC300"/>
                          </a:solidFill>
                          <a:round/>
                          <a:headEnd/>
                          <a:tailEnd/>
                        </a:ln>
                        <a:extLst>
                          <a:ext uri="{909E8E84-426E-40DD-AFC4-6F175D3DCCD1}">
                            <a14:hiddenFill xmlns:a14="http://schemas.microsoft.com/office/drawing/2010/main">
                              <a:noFill/>
                            </a14:hiddenFill>
                          </a:ext>
                        </a:extLst>
                      </wps:spPr>
                      <wps:bodyPr/>
                    </wps:wsp>
                    <wps:wsp>
                      <wps:cNvPr id="31" name="AutoShape 15"/>
                      <wps:cNvCnPr>
                        <a:cxnSpLocks noChangeShapeType="1"/>
                      </wps:cNvCnPr>
                      <wps:spPr bwMode="auto">
                        <a:xfrm flipV="1">
                          <a:off x="6838950" y="1276350"/>
                          <a:ext cx="3453295" cy="3810"/>
                        </a:xfrm>
                        <a:prstGeom prst="straightConnector1">
                          <a:avLst/>
                        </a:prstGeom>
                        <a:noFill/>
                        <a:ln w="28575">
                          <a:solidFill>
                            <a:srgbClr val="FAC300"/>
                          </a:solidFill>
                          <a:round/>
                          <a:headEnd/>
                          <a:tailEnd/>
                        </a:ln>
                        <a:extLst>
                          <a:ext uri="{909E8E84-426E-40DD-AFC4-6F175D3DCCD1}">
                            <a14:hiddenFill xmlns:a14="http://schemas.microsoft.com/office/drawing/2010/main">
                              <a:noFill/>
                            </a14:hiddenFill>
                          </a:ext>
                        </a:extLst>
                      </wps:spPr>
                      <wps:bodyPr/>
                    </wps:wsp>
                    <wps:wsp>
                      <wps:cNvPr id="32" name="AutoShape 16"/>
                      <wps:cNvCnPr>
                        <a:cxnSpLocks noChangeShapeType="1"/>
                      </wps:cNvCnPr>
                      <wps:spPr bwMode="auto">
                        <a:xfrm flipV="1">
                          <a:off x="3448050" y="1276350"/>
                          <a:ext cx="3451225" cy="3810"/>
                        </a:xfrm>
                        <a:prstGeom prst="straightConnector1">
                          <a:avLst/>
                        </a:prstGeom>
                        <a:noFill/>
                        <a:ln w="2857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 name="AutoShape 17"/>
                      <wps:cNvCnPr>
                        <a:cxnSpLocks noChangeShapeType="1"/>
                      </wps:cNvCnPr>
                      <wps:spPr bwMode="auto">
                        <a:xfrm>
                          <a:off x="10296525" y="0"/>
                          <a:ext cx="0" cy="2375795"/>
                        </a:xfrm>
                        <a:prstGeom prst="straightConnector1">
                          <a:avLst/>
                        </a:prstGeom>
                        <a:noFill/>
                        <a:ln w="28575">
                          <a:solidFill>
                            <a:srgbClr val="FAC300"/>
                          </a:solidFill>
                          <a:round/>
                          <a:headEnd/>
                          <a:tailEnd/>
                        </a:ln>
                        <a:extLst>
                          <a:ext uri="{909E8E84-426E-40DD-AFC4-6F175D3DCCD1}">
                            <a14:hiddenFill xmlns:a14="http://schemas.microsoft.com/office/drawing/2010/main">
                              <a:noFill/>
                            </a14:hiddenFill>
                          </a:ext>
                        </a:extLst>
                      </wps:spPr>
                      <wps:bodyPr/>
                    </wps:wsp>
                    <wps:wsp>
                      <wps:cNvPr id="37" name="AutoShape 18"/>
                      <wps:cNvCnPr>
                        <a:cxnSpLocks noChangeShapeType="1"/>
                      </wps:cNvCnPr>
                      <wps:spPr bwMode="auto">
                        <a:xfrm>
                          <a:off x="10296525" y="2381250"/>
                          <a:ext cx="0" cy="2424780"/>
                        </a:xfrm>
                        <a:prstGeom prst="straightConnector1">
                          <a:avLst/>
                        </a:prstGeom>
                        <a:noFill/>
                        <a:ln w="2857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8" name="AutoShape 19"/>
                      <wps:cNvCnPr>
                        <a:cxnSpLocks noChangeShapeType="1"/>
                      </wps:cNvCnPr>
                      <wps:spPr bwMode="auto">
                        <a:xfrm>
                          <a:off x="10296525" y="4791075"/>
                          <a:ext cx="0" cy="2424780"/>
                        </a:xfrm>
                        <a:prstGeom prst="straightConnector1">
                          <a:avLst/>
                        </a:prstGeom>
                        <a:noFill/>
                        <a:ln w="28575">
                          <a:solidFill>
                            <a:srgbClr val="FAC3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2624FC62" id="Group 28" o:spid="_x0000_s1026" style="position:absolute;margin-left:-78.7pt;margin-top:-50.45pt;width:810.75pt;height:577.65pt;z-index:-251656192;mso-width-relative:margin;mso-height-relative:margin" coordsize="102965,7215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Untitled-1.png" style="position:absolute;left:78962;top:67056;width:24003;height:20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">
                <v:imagedata r:id="rId2" o:title="Untitled-1"/>
              </v:shape>
              <v:shapetype id="_x0000_t32" coordsize="21600,21600" o:spt="32" o:oned="t" path="m,l21600,21600e" filled="f">
                <v:path arrowok="t" fillok="f" o:connecttype="none"/>
                <o:lock v:ext="edit" shapetype="t"/>
              </v:shapetype>
              <v:shape id="AutoShape 14" o:spid="_x0000_s1028" type="#_x0000_t32" style="position:absolute;top:12763;width:345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" strokecolor="#fac300" strokeweight="2.25pt"/>
              <v:shape id="AutoShape 15" o:spid="_x0000_s1029" type="#_x0000_t32" style="position:absolute;left:68389;top:12763;width:34533;height: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" strokecolor="#fac300" strokeweight="2.25pt"/>
              <v:shape id="AutoShape 16" o:spid="_x0000_s1030" type="#_x0000_t32" style="position:absolute;left:34480;top:12763;width:34512;height: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" strokecolor="black [3213]" strokeweight="2.25pt"/>
              <v:shape id="AutoShape 17" o:spid="_x0000_s1031" type="#_x0000_t32" style="position:absolute;left:102965;width:0;height:23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" strokecolor="#fac300" strokeweight="2.25pt"/>
              <v:shape id="AutoShape 18" o:spid="_x0000_s1032" type="#_x0000_t32" style="position:absolute;left:102965;top:23812;width:0;height:242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" strokecolor="black [3213]" strokeweight="2.25pt"/>
              <v:shape id="AutoShape 19" o:spid="_x0000_s1033" type="#_x0000_t32" style="position:absolute;left:102965;top:47910;width:0;height:242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" strokecolor="#fac300" strokeweight="2.25pt"/>
            </v:group>
          </w:pict>
        </mc:Fallback>
      </mc:AlternateContent>
    </w:r>
    <w:r>
      <w:rPr>
        <w:noProof/>
        <w:lang w:val="en-GB" w:eastAsia="en-GB"/>
      </w:rPr>
      <mc:AlternateContent>
        <mc:Choice Requires="wpg">
          <w:drawing>
            <wp:anchor distT="0" distB="0" distL="114300" distR="114300" simplePos="0" relativeHeight="251659264" behindDoc="1" locked="0" layoutInCell="1" allowOverlap="1" wp14:anchorId="00DB5D54" wp14:editId="7A9816A9">
              <wp:simplePos x="0" y="0"/>
              <wp:positionH relativeFrom="column">
                <wp:posOffset>7251700</wp:posOffset>
              </wp:positionH>
              <wp:positionV relativeFrom="paragraph">
                <wp:posOffset>604520</wp:posOffset>
              </wp:positionV>
              <wp:extent cx="10276205" cy="3810"/>
              <wp:effectExtent l="0" t="19050" r="29845" b="34290"/>
              <wp:wrapNone/>
              <wp:docPr id="20" name="Group 20"/>
              <wp:cNvGraphicFramePr/>
              <a:graphic xmlns:a="http://schemas.openxmlformats.org/drawingml/2006/main">
                <a:graphicData uri="http://schemas.microsoft.com/office/word/2010/wordprocessingGroup">
                  <wpg:wgp>
                    <wpg:cNvGrpSpPr/>
                    <wpg:grpSpPr>
                      <a:xfrm>
                        <a:off x="0" y="0"/>
                        <a:ext cx="10276205" cy="3810"/>
                        <a:chOff x="0" y="945264"/>
                        <a:chExt cx="10276479" cy="3829"/>
                      </a:xfrm>
                    </wpg:grpSpPr>
                    <wps:wsp>
                      <wps:cNvPr id="24" name="AutoShape 14"/>
                      <wps:cNvCnPr>
                        <a:cxnSpLocks noChangeShapeType="1"/>
                      </wps:cNvCnPr>
                      <wps:spPr bwMode="auto">
                        <a:xfrm>
                          <a:off x="0" y="945264"/>
                          <a:ext cx="3452495" cy="0"/>
                        </a:xfrm>
                        <a:prstGeom prst="straightConnector1">
                          <a:avLst/>
                        </a:prstGeom>
                        <a:noFill/>
                        <a:ln w="28575">
                          <a:solidFill>
                            <a:srgbClr val="FAC300"/>
                          </a:solidFill>
                          <a:round/>
                          <a:headEnd/>
                          <a:tailEnd/>
                        </a:ln>
                        <a:extLst>
                          <a:ext uri="{909E8E84-426E-40DD-AFC4-6F175D3DCCD1}">
                            <a14:hiddenFill xmlns:a14="http://schemas.microsoft.com/office/drawing/2010/main">
                              <a:noFill/>
                            </a14:hiddenFill>
                          </a:ext>
                        </a:extLst>
                      </wps:spPr>
                      <wps:bodyPr/>
                    </wps:wsp>
                    <wps:wsp>
                      <wps:cNvPr id="26" name="AutoShape 15"/>
                      <wps:cNvCnPr>
                        <a:cxnSpLocks noChangeShapeType="1"/>
                      </wps:cNvCnPr>
                      <wps:spPr bwMode="auto">
                        <a:xfrm flipV="1">
                          <a:off x="6823184" y="945283"/>
                          <a:ext cx="3453295" cy="3810"/>
                        </a:xfrm>
                        <a:prstGeom prst="straightConnector1">
                          <a:avLst/>
                        </a:prstGeom>
                        <a:noFill/>
                        <a:ln w="28575">
                          <a:solidFill>
                            <a:srgbClr val="FAC300"/>
                          </a:solidFill>
                          <a:round/>
                          <a:headEnd/>
                          <a:tailEnd/>
                        </a:ln>
                        <a:extLst>
                          <a:ext uri="{909E8E84-426E-40DD-AFC4-6F175D3DCCD1}">
                            <a14:hiddenFill xmlns:a14="http://schemas.microsoft.com/office/drawing/2010/main">
                              <a:noFill/>
                            </a14:hiddenFill>
                          </a:ext>
                        </a:extLst>
                      </wps:spPr>
                      <wps:bodyPr/>
                    </wps:wsp>
                    <wps:wsp>
                      <wps:cNvPr id="27" name="AutoShape 16"/>
                      <wps:cNvCnPr>
                        <a:cxnSpLocks noChangeShapeType="1"/>
                      </wps:cNvCnPr>
                      <wps:spPr bwMode="auto">
                        <a:xfrm flipV="1">
                          <a:off x="3495347" y="945272"/>
                          <a:ext cx="3451225" cy="3810"/>
                        </a:xfrm>
                        <a:prstGeom prst="straightConnector1">
                          <a:avLst/>
                        </a:prstGeom>
                        <a:noFill/>
                        <a:ln w="2857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0062228" id="Group 20" o:spid="_x0000_s1026" style="position:absolute;margin-left:571pt;margin-top:47.6pt;width:809.15pt;height:.3pt;z-index:-251657216;mso-width-relative:margin;mso-height-relative:margin" coordorigin=",9452" coordsize="10276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">
              <v:shape id="AutoShape 14" o:spid="_x0000_s1027" type="#_x0000_t32" style="position:absolute;top:9452;width:345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" strokecolor="#fac300" strokeweight="2.25pt"/>
              <v:shape id="AutoShape 15" o:spid="_x0000_s1028" type="#_x0000_t32" style="position:absolute;left:68231;top:9452;width:34533;height: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" strokecolor="#fac300" strokeweight="2.25pt"/>
              <v:shape id="AutoShape 16" o:spid="_x0000_s1029" type="#_x0000_t32" style="position:absolute;left:34953;top:9452;width:34512;height: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" strokecolor="black [3213]" strokeweight="2.25p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1D9E4"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38F62" w14:textId="77777777" w:rsidR="00000000" w:rsidRDefault="00000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4C8A5" w14:textId="77777777" w:rsidR="00000000" w:rsidRDefault="00000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65A61" w14:textId="77777777" w:rsidR="00000000" w:rsidRDefault="000000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31085"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E41AC"/>
    <w:multiLevelType w:val="hybridMultilevel"/>
    <w:tmpl w:val="11B6D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284701"/>
    <w:multiLevelType w:val="hybridMultilevel"/>
    <w:tmpl w:val="5B4E1F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0239946">
    <w:abstractNumId w:val="1"/>
  </w:num>
  <w:num w:numId="2" w16cid:durableId="64034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1E"/>
    <w:rsid w:val="00247AD2"/>
    <w:rsid w:val="0076281E"/>
    <w:rsid w:val="008F14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5DFA5D8"/>
  <w15:chartTrackingRefBased/>
  <w15:docId w15:val="{2844E164-7BD9-AE4C-82C9-52E7CA499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81E"/>
    <w:pPr>
      <w:spacing w:line="259" w:lineRule="auto"/>
    </w:pPr>
    <w:rPr>
      <w:rFonts w:cstheme="minorHAnsi"/>
      <w:color w:val="635951"/>
      <w:kern w:val="0"/>
      <w:sz w:val="22"/>
      <w:szCs w:val="22"/>
      <w14:ligatures w14:val="none"/>
    </w:rPr>
  </w:style>
  <w:style w:type="paragraph" w:styleId="Heading1">
    <w:name w:val="heading 1"/>
    <w:basedOn w:val="Normal"/>
    <w:next w:val="Normal"/>
    <w:link w:val="Heading1Char"/>
    <w:uiPriority w:val="9"/>
    <w:qFormat/>
    <w:rsid w:val="00762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8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8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8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81E"/>
    <w:rPr>
      <w:rFonts w:eastAsiaTheme="majorEastAsia" w:cstheme="majorBidi"/>
      <w:color w:val="272727" w:themeColor="text1" w:themeTint="D8"/>
    </w:rPr>
  </w:style>
  <w:style w:type="paragraph" w:styleId="Title">
    <w:name w:val="Title"/>
    <w:basedOn w:val="Normal"/>
    <w:next w:val="Normal"/>
    <w:link w:val="TitleChar"/>
    <w:uiPriority w:val="10"/>
    <w:qFormat/>
    <w:rsid w:val="00762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81E"/>
    <w:pPr>
      <w:spacing w:before="160"/>
      <w:jc w:val="center"/>
    </w:pPr>
    <w:rPr>
      <w:i/>
      <w:iCs/>
      <w:color w:val="404040" w:themeColor="text1" w:themeTint="BF"/>
    </w:rPr>
  </w:style>
  <w:style w:type="character" w:customStyle="1" w:styleId="QuoteChar">
    <w:name w:val="Quote Char"/>
    <w:basedOn w:val="DefaultParagraphFont"/>
    <w:link w:val="Quote"/>
    <w:uiPriority w:val="29"/>
    <w:rsid w:val="0076281E"/>
    <w:rPr>
      <w:i/>
      <w:iCs/>
      <w:color w:val="404040" w:themeColor="text1" w:themeTint="BF"/>
    </w:rPr>
  </w:style>
  <w:style w:type="paragraph" w:styleId="ListParagraph">
    <w:name w:val="List Paragraph"/>
    <w:aliases w:val="Lists"/>
    <w:basedOn w:val="Normal"/>
    <w:link w:val="ListParagraphChar"/>
    <w:uiPriority w:val="34"/>
    <w:qFormat/>
    <w:rsid w:val="0076281E"/>
    <w:pPr>
      <w:ind w:left="720"/>
      <w:contextualSpacing/>
    </w:pPr>
  </w:style>
  <w:style w:type="character" w:styleId="IntenseEmphasis">
    <w:name w:val="Intense Emphasis"/>
    <w:basedOn w:val="DefaultParagraphFont"/>
    <w:uiPriority w:val="21"/>
    <w:qFormat/>
    <w:rsid w:val="0076281E"/>
    <w:rPr>
      <w:i/>
      <w:iCs/>
      <w:color w:val="0F4761" w:themeColor="accent1" w:themeShade="BF"/>
    </w:rPr>
  </w:style>
  <w:style w:type="paragraph" w:styleId="IntenseQuote">
    <w:name w:val="Intense Quote"/>
    <w:basedOn w:val="Normal"/>
    <w:next w:val="Normal"/>
    <w:link w:val="IntenseQuoteChar"/>
    <w:uiPriority w:val="30"/>
    <w:qFormat/>
    <w:rsid w:val="00762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81E"/>
    <w:rPr>
      <w:i/>
      <w:iCs/>
      <w:color w:val="0F4761" w:themeColor="accent1" w:themeShade="BF"/>
    </w:rPr>
  </w:style>
  <w:style w:type="character" w:styleId="IntenseReference">
    <w:name w:val="Intense Reference"/>
    <w:basedOn w:val="DefaultParagraphFont"/>
    <w:uiPriority w:val="32"/>
    <w:qFormat/>
    <w:rsid w:val="0076281E"/>
    <w:rPr>
      <w:b/>
      <w:bCs/>
      <w:smallCaps/>
      <w:color w:val="0F4761" w:themeColor="accent1" w:themeShade="BF"/>
      <w:spacing w:val="5"/>
    </w:rPr>
  </w:style>
  <w:style w:type="paragraph" w:styleId="Header">
    <w:name w:val="header"/>
    <w:basedOn w:val="Normal"/>
    <w:link w:val="HeaderChar"/>
    <w:uiPriority w:val="99"/>
    <w:unhideWhenUsed/>
    <w:rsid w:val="0076281E"/>
    <w:pPr>
      <w:tabs>
        <w:tab w:val="center" w:pos="4513"/>
        <w:tab w:val="right" w:pos="9026"/>
      </w:tabs>
      <w:spacing w:after="0" w:line="240" w:lineRule="auto"/>
    </w:pPr>
    <w:rPr>
      <w:color w:val="000000"/>
    </w:rPr>
  </w:style>
  <w:style w:type="character" w:customStyle="1" w:styleId="HeaderChar">
    <w:name w:val="Header Char"/>
    <w:basedOn w:val="DefaultParagraphFont"/>
    <w:link w:val="Header"/>
    <w:uiPriority w:val="99"/>
    <w:rsid w:val="0076281E"/>
    <w:rPr>
      <w:rFonts w:cstheme="minorHAnsi"/>
      <w:color w:val="000000"/>
      <w:kern w:val="0"/>
      <w:sz w:val="22"/>
      <w:szCs w:val="22"/>
      <w14:ligatures w14:val="none"/>
    </w:rPr>
  </w:style>
  <w:style w:type="paragraph" w:styleId="Footer">
    <w:name w:val="footer"/>
    <w:basedOn w:val="Normal"/>
    <w:link w:val="FooterChar"/>
    <w:uiPriority w:val="99"/>
    <w:unhideWhenUsed/>
    <w:rsid w:val="0076281E"/>
    <w:pPr>
      <w:tabs>
        <w:tab w:val="center" w:pos="4513"/>
        <w:tab w:val="right" w:pos="9026"/>
      </w:tabs>
      <w:spacing w:after="0" w:line="240" w:lineRule="auto"/>
    </w:pPr>
    <w:rPr>
      <w:color w:val="000000"/>
    </w:rPr>
  </w:style>
  <w:style w:type="character" w:customStyle="1" w:styleId="FooterChar">
    <w:name w:val="Footer Char"/>
    <w:basedOn w:val="DefaultParagraphFont"/>
    <w:link w:val="Footer"/>
    <w:uiPriority w:val="99"/>
    <w:rsid w:val="0076281E"/>
    <w:rPr>
      <w:rFonts w:cstheme="minorHAnsi"/>
      <w:color w:val="000000"/>
      <w:kern w:val="0"/>
      <w:sz w:val="22"/>
      <w:szCs w:val="22"/>
      <w14:ligatures w14:val="none"/>
    </w:rPr>
  </w:style>
  <w:style w:type="paragraph" w:customStyle="1" w:styleId="HivintHeading1">
    <w:name w:val="Hivint Heading 1"/>
    <w:basedOn w:val="Heading1"/>
    <w:qFormat/>
    <w:rsid w:val="0076281E"/>
    <w:pPr>
      <w:spacing w:before="240" w:after="0"/>
    </w:pPr>
    <w:rPr>
      <w:rFonts w:ascii="Garamond" w:eastAsia="Garamond" w:hAnsi="Garamond"/>
      <w:b/>
      <w:color w:val="9E8E5C"/>
      <w:sz w:val="26"/>
      <w:szCs w:val="26"/>
    </w:rPr>
  </w:style>
  <w:style w:type="character" w:customStyle="1" w:styleId="ListParagraphChar">
    <w:name w:val="List Paragraph Char"/>
    <w:aliases w:val="Lists Char"/>
    <w:basedOn w:val="DefaultParagraphFont"/>
    <w:link w:val="ListParagraph"/>
    <w:uiPriority w:val="34"/>
    <w:rsid w:val="0076281E"/>
  </w:style>
  <w:style w:type="table" w:styleId="GridTable5Dark-Accent2">
    <w:name w:val="Grid Table 5 Dark Accent 2"/>
    <w:basedOn w:val="TableNormal"/>
    <w:uiPriority w:val="50"/>
    <w:rsid w:val="0076281E"/>
    <w:pPr>
      <w:spacing w:after="0" w:line="240" w:lineRule="auto"/>
    </w:pPr>
    <w:rPr>
      <w:rFonts w:cstheme="minorHAnsi"/>
      <w:color w:val="635951"/>
      <w:kern w:val="0"/>
      <w:sz w:val="22"/>
      <w:szCs w:val="22"/>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1562</Words>
  <Characters>8904</Characters>
  <Application>Microsoft Office Word</Application>
  <DocSecurity>0</DocSecurity>
  <Lines>74</Lines>
  <Paragraphs>20</Paragraphs>
  <ScaleCrop>false</ScaleCrop>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Ganadores Jr.</dc:creator>
  <cp:keywords/>
  <dc:description/>
  <cp:lastModifiedBy>Ernesto Ganadores Jr.</cp:lastModifiedBy>
  <cp:revision>1</cp:revision>
  <dcterms:created xsi:type="dcterms:W3CDTF">2025-04-25T05:09:00Z</dcterms:created>
  <dcterms:modified xsi:type="dcterms:W3CDTF">2025-04-25T05:19:00Z</dcterms:modified>
</cp:coreProperties>
</file>