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Vendor Risk Scorecard Template</w:t>
      </w:r>
    </w:p>
    <w:p>
      <w:pPr>
        <w:pStyle w:val="Heading2"/>
      </w:pPr>
      <w:r>
        <w:t>Vendor Risk Scorecard Summary</w:t>
      </w:r>
    </w:p>
    <w:p>
      <w:pPr/>
      <w:r>
        <w:t>This template is used to assess third-party vendors during onboarding and annual review.</w:t>
      </w:r>
    </w:p>
    <w:p>
      <w:pPr/>
      <w:r>
        <w:t>Each category is rated on a scale from 1 (Low Risk) to 5 (High Risk).</w:t>
      </w:r>
    </w:p>
    <w:p>
      <w:pPr>
        <w:pStyle w:val="Heading2"/>
      </w:pPr>
      <w:r>
        <w:t>Risk Categories</w:t>
      </w:r>
    </w:p>
    <w:p>
      <w:pPr/>
      <w:r>
        <w:t>Data Sensitivity: Type of data the vendor processes or accesses.</w:t>
      </w:r>
    </w:p>
    <w:p>
      <w:pPr/>
      <w:r>
        <w:t>Security Controls: Existence of ISO 27001, SOC 2, or equivalent certifications.</w:t>
      </w:r>
    </w:p>
    <w:p>
      <w:pPr/>
      <w:r>
        <w:t>Incident History: Known breaches or unresolved vulnerabilities.</w:t>
      </w:r>
    </w:p>
    <w:p>
      <w:pPr/>
      <w:r>
        <w:t>Access Level: Degree of access granted to internal systems or networks.</w:t>
      </w:r>
    </w:p>
    <w:p>
      <w:pPr/>
      <w:r>
        <w:t>Compliance Alignment: Alignment with legal, regulatory, and contractual requirements.</w:t>
      </w:r>
    </w:p>
    <w:p>
      <w:pPr>
        <w:pStyle w:val="Heading2"/>
      </w:pPr>
      <w:r>
        <w:t>Scoring and Recommendation</w:t>
      </w:r>
    </w:p>
    <w:p>
      <w:pPr/>
      <w:r>
        <w:t>Total Score 5-10: Low Risk – Approved.</w:t>
      </w:r>
    </w:p>
    <w:p>
      <w:pPr/>
      <w:r>
        <w:t>Total Score 11-15: Medium Risk – Conditional Approval.</w:t>
      </w:r>
    </w:p>
    <w:p>
      <w:pPr/>
      <w:r>
        <w:t>Total Score 16-25: High Risk – Rejected or Mitigation Required.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