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40"/>
      </w:pPr>
      <w:r>
        <w:rPr>
          <w:b/>
          <w:color w:val="C00000"/>
          <w:sz w:val="32"/>
          <w:szCs w:val="32"/>
        </w:rPr>
        <w:t xml:space="preserve">{{school_name}}</w:t>
      </w:r>
    </w:p>
    <w:p>
      <w:pPr>
        <w:jc w:val="center"/>
        <w:spacing w:after="40"/>
      </w:pPr>
      <w:r>
        <w:rPr>
          <w:b/>
          <w:sz w:val="26"/>
          <w:szCs w:val="26"/>
        </w:rPr>
        <w:t xml:space="preserve">MYP Report Card</w:t>
      </w:r>
    </w:p>
    <w:p>
      <w:pPr>
        <w:jc w:val="center"/>
        <w:spacing w:after="200"/>
      </w:pPr>
      <w:r>
        <w:rPr>
          <w:sz w:val="20"/>
          <w:szCs w:val="20"/>
        </w:rPr>
        <w:t xml:space="preserve">Academic Year {{academic_year}}</w:t>
      </w:r>
    </w:p>
    <w:p>
      <w:r>
        <w:rPr>
          <w:b/>
        </w:rPr>
        <w:t xml:space="preserve">Student: </w:t>
      </w:r>
      <w:r>
        <w:t xml:space="preserve">{{student_name}}</w:t>
      </w:r>
    </w:p>
    <w:p>
      <w:r>
        <w:rPr>
          <w:b/>
        </w:rPr>
        <w:t xml:space="preserve">Grade / Section: </w:t>
      </w:r>
      <w:r>
        <w:t xml:space="preserve">{{grade_level}} {{section_name}}</w:t>
      </w:r>
    </w:p>
    <w:p>
      <w:pPr>
        <w:spacing w:after="200"/>
      </w:pPr>
      <w:r>
        <w:rPr>
          <w:b/>
        </w:rPr>
        <w:t xml:space="preserve">LRN: </w:t>
      </w:r>
      <w:r>
        <w:t xml:space="preserve">{{lrn}}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Academic Achievement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200"/>
        <w:gridCol w:w="500"/>
        <w:gridCol w:w="500"/>
        <w:gridCol w:w="500"/>
        <w:gridCol w:w="500"/>
        <w:gridCol w:w="900"/>
        <w:gridCol w:w="1100"/>
        <w:gridCol w:w="1100"/>
        <w:gridCol w:w="1300"/>
      </w:tblGrid>
      <w:tr>
        <w:tc>
          <w:tcPr>
            <w:tcW w:w="32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color w:val="C00000"/>
                <w:sz w:val="18"/>
                <w:szCs w:val="18"/>
              </w:rPr>
              <w:t xml:space="preserve">Subject</w:t>
            </w:r>
          </w:p>
        </w:tc>
        <w:tc>
          <w:tcPr>
            <w:tcW w:w="5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color w:val="C00000"/>
                <w:sz w:val="18"/>
                <w:szCs w:val="18"/>
              </w:rPr>
              <w:t xml:space="preserve">A</w:t>
            </w:r>
          </w:p>
        </w:tc>
        <w:tc>
          <w:tcPr>
            <w:tcW w:w="5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color w:val="C00000"/>
                <w:sz w:val="18"/>
                <w:szCs w:val="18"/>
              </w:rPr>
              <w:t xml:space="preserve">B</w:t>
            </w:r>
          </w:p>
        </w:tc>
        <w:tc>
          <w:tcPr>
            <w:tcW w:w="5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color w:val="C00000"/>
                <w:sz w:val="18"/>
                <w:szCs w:val="18"/>
              </w:rPr>
              <w:t xml:space="preserve">C</w:t>
            </w:r>
          </w:p>
        </w:tc>
        <w:tc>
          <w:tcPr>
            <w:tcW w:w="5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color w:val="C00000"/>
                <w:sz w:val="18"/>
                <w:szCs w:val="18"/>
              </w:rPr>
              <w:t xml:space="preserve">D</w:t>
            </w:r>
          </w:p>
        </w:tc>
        <w:tc>
          <w:tcPr>
            <w:tcW w:w="9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color w:val="C00000"/>
                <w:sz w:val="18"/>
                <w:szCs w:val="18"/>
              </w:rPr>
              <w:t xml:space="preserve">Total /32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color w:val="C00000"/>
                <w:sz w:val="18"/>
                <w:szCs w:val="18"/>
              </w:rPr>
              <w:t xml:space="preserve">Semester 1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color w:val="C00000"/>
                <w:sz w:val="18"/>
                <w:szCs w:val="18"/>
              </w:rPr>
              <w:t xml:space="preserve">Semester 2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color w:val="C00000"/>
                <w:sz w:val="18"/>
                <w:szCs w:val="18"/>
              </w:rPr>
              <w:t xml:space="preserve">MYP Overall</w:t>
            </w:r>
          </w:p>
        </w:tc>
      </w:tr>
      <w:tr>
        <w:tc>
          <w:tcPr>
            <w:tcW w:w="9600" w:type="dxa"/>
            <w:vAlign w:val="center"/>
          </w:tcPr>
          <w:p>
            <w:pPr>
              <w:jc w:val="center"/>
            </w:pPr>
            <w:r>
              <w:t xml:space="preserve">{{#subjects}}</w:t>
            </w:r>
          </w:p>
        </w:tc>
      </w:tr>
      <w:tr>
        <w:tc>
          <w:tcPr>
            <w:tcW w:w="3200" w:type="dxa"/>
            <w:vAlign w:val="center"/>
          </w:tcPr>
          <w:p>
            <w:pPr>
              <w:jc w:val="left"/>
            </w:pPr>
            <w:r>
              <w:t xml:space="preserve">{{subject_name}}</w:t>
            </w:r>
          </w:p>
        </w:tc>
        <w:tc>
          <w:tcPr>
            <w:tcW w:w="500" w:type="dxa"/>
            <w:vAlign w:val="center"/>
          </w:tcPr>
          <w:p>
            <w:pPr>
              <w:jc w:val="center"/>
            </w:pPr>
            <w:r>
              <w:t xml:space="preserve">{{crit_a}}</w:t>
            </w:r>
          </w:p>
        </w:tc>
        <w:tc>
          <w:tcPr>
            <w:tcW w:w="500" w:type="dxa"/>
            <w:vAlign w:val="center"/>
          </w:tcPr>
          <w:p>
            <w:pPr>
              <w:jc w:val="center"/>
            </w:pPr>
            <w:r>
              <w:t xml:space="preserve">{{crit_b}}</w:t>
            </w:r>
          </w:p>
        </w:tc>
        <w:tc>
          <w:tcPr>
            <w:tcW w:w="500" w:type="dxa"/>
            <w:vAlign w:val="center"/>
          </w:tcPr>
          <w:p>
            <w:pPr>
              <w:jc w:val="center"/>
            </w:pPr>
            <w:r>
              <w:t xml:space="preserve">{{crit_c}}</w:t>
            </w:r>
          </w:p>
        </w:tc>
        <w:tc>
          <w:tcPr>
            <w:tcW w:w="500" w:type="dxa"/>
            <w:vAlign w:val="center"/>
          </w:tcPr>
          <w:p>
            <w:pPr>
              <w:jc w:val="center"/>
            </w:pPr>
            <w:r>
              <w:t xml:space="preserve">{{crit_d}}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</w:pPr>
            <w:r>
              <w:t xml:space="preserve">{{criteria_total}}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</w:pPr>
            <w:r>
              <w:t xml:space="preserve">{{sem1_band}}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</w:pPr>
            <w:r>
              <w:t xml:space="preserve">{{sem2_band}}</w:t>
            </w:r>
          </w:p>
        </w:tc>
        <w:tc>
          <w:tcPr>
            <w:tcW w:w="1300" w:type="dxa"/>
            <w:vAlign w:val="center"/>
          </w:tcPr>
          <w:p>
            <w:pPr>
              <w:jc w:val="center"/>
            </w:pPr>
            <w:r>
              <w:rPr>
                <w:b/>
                <w:color w:val="C00000"/>
              </w:rPr>
              <w:t xml:space="preserve">{{myp_overall}}</w:t>
            </w:r>
          </w:p>
        </w:tc>
      </w:tr>
      <w:tr>
        <w:tc>
          <w:tcPr>
            <w:tcW w:w="9600" w:type="dxa"/>
            <w:vAlign w:val="center"/>
          </w:tcPr>
          <w:p>
            <w:pPr>
              <w:jc w:val="center"/>
            </w:pPr>
            <w:r>
              <w:t xml:space="preserve">{{/subjects}}</w:t>
            </w:r>
          </w:p>
        </w:tc>
      </w:tr>
    </w:tbl>
    <w:p>
      <w:pPr>
        <w:spacing w:after="200"/>
      </w:pPr>
      <w:r>
        <w:rPr>
          <w:sz w:val="14"/>
          <w:szCs w:val="14"/>
        </w:rPr>
        <w:t xml:space="preserve">MYP Overall is the stored year-final achievement level (1-7). Semester columns are the recomputed semestral-progress bands. Criterion columns (A-D, Total) are shown when per-criterion data is available.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MYP Grade Boundaries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900"/>
        <w:gridCol w:w="1400"/>
        <w:gridCol w:w="8000"/>
      </w:tblGrid>
      <w:tr>
        <w:tc>
          <w:tcPr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color w:val="C00000"/>
                <w:sz w:val="16"/>
                <w:szCs w:val="16"/>
              </w:rPr>
              <w:t xml:space="preserve">Grade</w:t>
            </w:r>
          </w:p>
        </w:tc>
        <w:tc>
          <w:tcPr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color w:val="C00000"/>
                <w:sz w:val="16"/>
                <w:szCs w:val="16"/>
              </w:rPr>
              <w:t xml:space="preserve">Boundary /32</w:t>
            </w:r>
          </w:p>
        </w:tc>
        <w:tc>
          <w:tcPr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color w:val="C00000"/>
                <w:sz w:val="16"/>
                <w:szCs w:val="16"/>
              </w:rPr>
              <w:t xml:space="preserve">General descriptor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7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</w:pPr>
            <w:r>
              <w:t xml:space="preserve">28-32</w:t>
            </w:r>
          </w:p>
        </w:tc>
        <w:tc>
          <w:tcPr>
            <w:tcW w:w="8000" w:type="dxa"/>
            <w:vAlign w:val="center"/>
          </w:tcPr>
          <w:p>
            <w:pPr>
              <w:jc w:val="left"/>
            </w:pPr>
            <w:r>
              <w:t xml:space="preserve">Produces high-quality, frequently innovative work; comprehensive understanding.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6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</w:pPr>
            <w:r>
              <w:t xml:space="preserve">24-27</w:t>
            </w:r>
          </w:p>
        </w:tc>
        <w:tc>
          <w:tcPr>
            <w:tcW w:w="8000" w:type="dxa"/>
            <w:vAlign w:val="center"/>
          </w:tcPr>
          <w:p>
            <w:pPr>
              <w:jc w:val="left"/>
            </w:pPr>
            <w:r>
              <w:t xml:space="preserve">Produces high-quality work; wide-ranging understanding, consistently applied.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5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</w:pPr>
            <w:r>
              <w:t xml:space="preserve">19-23</w:t>
            </w:r>
          </w:p>
        </w:tc>
        <w:tc>
          <w:tcPr>
            <w:tcW w:w="8000" w:type="dxa"/>
            <w:vAlign w:val="center"/>
          </w:tcPr>
          <w:p>
            <w:pPr>
              <w:jc w:val="left"/>
            </w:pPr>
            <w:r>
              <w:t xml:space="preserve">Produces generally high-quality work; secure understanding, usually applied well.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4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</w:pPr>
            <w:r>
              <w:t xml:space="preserve">15-18</w:t>
            </w:r>
          </w:p>
        </w:tc>
        <w:tc>
          <w:tcPr>
            <w:tcW w:w="8000" w:type="dxa"/>
            <w:vAlign w:val="center"/>
          </w:tcPr>
          <w:p>
            <w:pPr>
              <w:jc w:val="left"/>
            </w:pPr>
            <w:r>
              <w:t xml:space="preserve">Produces good-quality work; solid understanding, sometimes applied.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3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</w:pPr>
            <w:r>
              <w:t xml:space="preserve">10-14</w:t>
            </w:r>
          </w:p>
        </w:tc>
        <w:tc>
          <w:tcPr>
            <w:tcW w:w="8000" w:type="dxa"/>
            <w:vAlign w:val="center"/>
          </w:tcPr>
          <w:p>
            <w:pPr>
              <w:jc w:val="left"/>
            </w:pPr>
            <w:r>
              <w:t xml:space="preserve">Produces work of an acceptable quality; basic understanding, occasionally applied.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2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</w:pPr>
            <w:r>
              <w:t xml:space="preserve">6-9</w:t>
            </w:r>
          </w:p>
        </w:tc>
        <w:tc>
          <w:tcPr>
            <w:tcW w:w="8000" w:type="dxa"/>
            <w:vAlign w:val="center"/>
          </w:tcPr>
          <w:p>
            <w:pPr>
              <w:jc w:val="left"/>
            </w:pPr>
            <w:r>
              <w:t xml:space="preserve">Produces work of limited quality; minimal understanding, rarely applied.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1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</w:pPr>
            <w:r>
              <w:t xml:space="preserve">1-5</w:t>
            </w:r>
          </w:p>
        </w:tc>
        <w:tc>
          <w:tcPr>
            <w:tcW w:w="8000" w:type="dxa"/>
            <w:vAlign w:val="center"/>
          </w:tcPr>
          <w:p>
            <w:pPr>
              <w:jc w:val="left"/>
            </w:pPr>
            <w:r>
              <w:t xml:space="preserve">Produces work of very limited quality; very limited understanding.</w:t>
            </w:r>
          </w:p>
        </w:tc>
      </w:tr>
    </w:tbl>
    <w:p>
      <w:pPr>
        <w:spacing w:after="200"/>
      </w:pPr>
      <w:r>
        <w:rPr>
          <w:sz w:val="14"/>
          <w:szCs w:val="14"/>
        </w:rPr>
        <w:t xml:space="preserve"/>
      </w:r>
    </w:p>
    <w:p>
      <w:pPr>
        <w:jc w:val="center"/>
      </w:pPr>
      <w:r>
        <w:rPr>
          <w:color w:val="808080"/>
          <w:sz w:val="14"/>
          <w:szCs w:val="14"/>
        </w:rPr>
        <w:t xml:space="preserve">Printed by {{printed_by}} on {{printed_at}}. This is a system-generated report card.</w:t>
      </w:r>
    </w:p>
    <w:sectPr>
      <w:pgSz w:w="12240" w:h="15840"/>
      <w:pgMar w:top="720" w:right="720" w:bottom="720" w:left="720" w:header="480" w:footer="48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0"/>
        <w:szCs w:val="20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