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60"/>
      </w:pPr>
      <w:r>
        <w:rPr>
          <w:rFonts w:ascii="Noto Sans" w:hAnsi="Noto Sans"/>
          <w:b/>
          <w:color w:val="18766F"/>
          <w:sz w:val="26"/>
        </w:rPr>
        <w:t>SEMANTIC RESPONSIVE</w:t>
      </w:r>
    </w:p>
    <w:p>
      <w:pPr>
        <w:spacing w:after="40"/>
      </w:pPr>
      <w:r>
        <w:rPr>
          <w:rFonts w:ascii="Noto Serif" w:hAnsi="Noto Serif"/>
          <w:b/>
          <w:color w:val="1F2A44"/>
          <w:sz w:val="68"/>
        </w:rPr>
        <w:t>TYPESETTING</w:t>
      </w:r>
    </w:p>
    <w:p>
      <w:pPr>
        <w:spacing w:after="360"/>
      </w:pPr>
      <w:r>
        <w:rPr>
          <w:rFonts w:ascii="Noto Sans" w:hAnsi="Noto Sans"/>
          <w:b/>
          <w:color w:val="222B35"/>
          <w:sz w:val="32"/>
        </w:rPr>
        <w:t>Product Requirements Document + Agent Handoff</w:t>
      </w:r>
    </w:p>
    <w:tbl>
      <w:tblPr>
        <w:tblW w:type="auto" w:w="0"/>
        <w:jc w:val="center"/>
        <w:tblLayout w:type="autofit"/>
        <w:tblLook w:firstColumn="1" w:firstRow="1" w:lastColumn="0" w:lastRow="0" w:noHBand="0" w:noVBand="1" w:val="04A0"/>
      </w:tblPr>
      <w:tblGrid>
        <w:gridCol w:w="9752"/>
      </w:tblGrid>
      <w:tr>
        <w:trPr>
          <w:cantSplit w:val="true"/>
        </w:trPr>
        <w:tc>
          <w:tcPr>
            <w:tcW w:type="dxa" w:w="9752"/>
            <w:shd w:fill="EAF5F3"/>
            <w:tcBorders>
              <w:top w:val="single" w:sz="8" w:color="18766F"/>
              <w:left w:val="single" w:sz="18" w:color="18766F"/>
              <w:bottom w:val="single" w:sz="8" w:color="18766F"/>
              <w:right w:val="single" w:sz="8" w:color="18766F"/>
            </w:tcBorders>
            <w:tcMar>
              <w:top w:w="150" w:type="dxa"/>
              <w:start w:w="170" w:type="dxa"/>
              <w:bottom w:w="150" w:type="dxa"/>
              <w:end w:w="170" w:type="dxa"/>
            </w:tcMar>
          </w:tcPr>
          <w:p>
            <w:pPr>
              <w:spacing w:after="80"/>
            </w:pPr>
            <w:r>
              <w:rPr>
                <w:rFonts w:ascii="Noto Sans" w:hAnsi="Noto Sans"/>
                <w:b/>
                <w:color w:val="10534F"/>
                <w:sz w:val="20"/>
              </w:rPr>
              <w:t>Core proposition</w:t>
            </w:r>
          </w:p>
          <w:p>
            <w:pPr>
              <w:spacing w:after="0"/>
            </w:pPr>
            <w:r>
              <w:rPr>
                <w:rFonts w:ascii="Noto Sans" w:hAnsi="Noto Sans"/>
                <w:color w:val="222B35"/>
                <w:sz w:val="19"/>
              </w:rPr>
              <w:t>One semantic document. Multiple computed renditions. Persistent identity, relationships, reading position, and annotations.</w:t>
            </w:r>
          </w:p>
        </w:tc>
      </w:tr>
    </w:tbl>
    <w:p>
      <w:pPr>
        <w:spacing w:after="0"/>
      </w:pPr>
    </w:p>
    <w:p>
      <w:pPr>
        <w:spacing w:before="320" w:after="200"/>
      </w:pPr>
      <w:r>
        <w:rPr>
          <w:rFonts w:ascii="Noto Sans" w:hAnsi="Noto Sans"/>
          <w:color w:val="222B35"/>
          <w:sz w:val="22"/>
        </w:rPr>
        <w:t>Proof of concept: scholarly document recomposition across print, e-ink, and digital surfaces</w:t>
      </w:r>
    </w:p>
    <w:tbl>
      <w:tblPr>
        <w:tblW w:type="auto" w:w="0"/>
        <w:jc w:val="center"/>
        <w:tblLayout w:type="fixed"/>
        <w:tblLook w:firstColumn="1" w:firstRow="1" w:lastColumn="0" w:lastRow="0" w:noHBand="0" w:noVBand="1" w:val="04A0"/>
      </w:tblPr>
      <w:tblGrid>
        <w:gridCol w:w="4876"/>
        <w:gridCol w:w="4876"/>
      </w:tblGrid>
      <w:tr>
        <w:trPr>
          <w:cantSplit w:val="true"/>
        </w:trPr>
        <w:tc>
          <w:tcPr>
            <w:tcW w:type="dxa" w:w="2520"/>
            <w:shd w:fill="F3F5F7"/>
            <w:tcBorders>
              <w:top w:val="single" w:sz="5" w:color="D6DCE4"/>
              <w:left w:val="single" w:sz="5" w:color="D6DCE4"/>
              <w:bottom w:val="single" w:sz="5" w:color="D6DCE4"/>
              <w:right w:val="single" w:sz="5" w:color="D6DCE4"/>
            </w:tcBorders>
            <w:tcMar>
              <w:top w:w="90" w:type="dxa"/>
              <w:start w:w="100" w:type="dxa"/>
              <w:bottom w:w="90" w:type="dxa"/>
              <w:end w:w="100" w:type="dxa"/>
            </w:tcMar>
            <w:vAlign w:val="center"/>
          </w:tcPr>
          <w:p>
            <w:r>
              <w:rPr>
                <w:rFonts w:ascii="Noto Sans" w:hAnsi="Noto Sans"/>
                <w:b/>
                <w:color w:val="1F2A44"/>
                <w:sz w:val="18"/>
              </w:rPr>
              <w:t>Working name</w:t>
            </w:r>
          </w:p>
        </w:tc>
        <w:tc>
          <w:tcPr>
            <w:tcW w:type="dxa" w:w="6840"/>
            <w:tcBorders>
              <w:top w:val="single" w:sz="5" w:color="D6DCE4"/>
              <w:left w:val="single" w:sz="5" w:color="D6DCE4"/>
              <w:bottom w:val="single" w:sz="5" w:color="D6DCE4"/>
              <w:right w:val="single" w:sz="5" w:color="D6DCE4"/>
            </w:tcBorders>
            <w:tcMar>
              <w:top w:w="90" w:type="dxa"/>
              <w:start w:w="100" w:type="dxa"/>
              <w:bottom w:w="90" w:type="dxa"/>
              <w:end w:w="100" w:type="dxa"/>
            </w:tcMar>
            <w:vAlign w:val="center"/>
          </w:tcPr>
          <w:p>
            <w:r>
              <w:rPr>
                <w:rFonts w:ascii="Noto Sans" w:hAnsi="Noto Sans"/>
                <w:color w:val="222B35"/>
                <w:sz w:val="18"/>
              </w:rPr>
              <w:t>Semantic Responsive Typesetting (SRT)</w:t>
            </w:r>
          </w:p>
        </w:tc>
      </w:tr>
      <w:tr>
        <w:trPr>
          <w:cantSplit w:val="true"/>
        </w:trPr>
        <w:tc>
          <w:tcPr>
            <w:tcW w:type="dxa" w:w="2520"/>
            <w:shd w:fill="F3F5F7"/>
            <w:tcBorders>
              <w:top w:val="single" w:sz="5" w:color="D6DCE4"/>
              <w:left w:val="single" w:sz="5" w:color="D6DCE4"/>
              <w:bottom w:val="single" w:sz="5" w:color="D6DCE4"/>
              <w:right w:val="single" w:sz="5" w:color="D6DCE4"/>
            </w:tcBorders>
            <w:tcMar>
              <w:top w:w="90" w:type="dxa"/>
              <w:start w:w="100" w:type="dxa"/>
              <w:bottom w:w="90" w:type="dxa"/>
              <w:end w:w="100" w:type="dxa"/>
            </w:tcMar>
            <w:vAlign w:val="center"/>
          </w:tcPr>
          <w:p>
            <w:r>
              <w:rPr>
                <w:rFonts w:ascii="Noto Sans" w:hAnsi="Noto Sans"/>
                <w:b/>
                <w:color w:val="1F2A44"/>
                <w:sz w:val="18"/>
              </w:rPr>
              <w:t>Version / status</w:t>
            </w:r>
          </w:p>
        </w:tc>
        <w:tc>
          <w:tcPr>
            <w:tcW w:type="dxa" w:w="6840"/>
            <w:tcBorders>
              <w:top w:val="single" w:sz="5" w:color="D6DCE4"/>
              <w:left w:val="single" w:sz="5" w:color="D6DCE4"/>
              <w:bottom w:val="single" w:sz="5" w:color="D6DCE4"/>
              <w:right w:val="single" w:sz="5" w:color="D6DCE4"/>
            </w:tcBorders>
            <w:tcMar>
              <w:top w:w="90" w:type="dxa"/>
              <w:start w:w="100" w:type="dxa"/>
              <w:bottom w:w="90" w:type="dxa"/>
              <w:end w:w="100" w:type="dxa"/>
            </w:tcMar>
            <w:vAlign w:val="center"/>
          </w:tcPr>
          <w:p>
            <w:r>
              <w:rPr>
                <w:rFonts w:ascii="Noto Sans" w:hAnsi="Noto Sans"/>
                <w:color w:val="222B35"/>
                <w:sz w:val="18"/>
              </w:rPr>
              <w:t>v0.1 · ready for implementation discovery</w:t>
            </w:r>
          </w:p>
        </w:tc>
      </w:tr>
      <w:tr>
        <w:trPr>
          <w:cantSplit w:val="true"/>
        </w:trPr>
        <w:tc>
          <w:tcPr>
            <w:tcW w:type="dxa" w:w="2520"/>
            <w:shd w:fill="F3F5F7"/>
            <w:tcBorders>
              <w:top w:val="single" w:sz="5" w:color="D6DCE4"/>
              <w:left w:val="single" w:sz="5" w:color="D6DCE4"/>
              <w:bottom w:val="single" w:sz="5" w:color="D6DCE4"/>
              <w:right w:val="single" w:sz="5" w:color="D6DCE4"/>
            </w:tcBorders>
            <w:tcMar>
              <w:top w:w="90" w:type="dxa"/>
              <w:start w:w="100" w:type="dxa"/>
              <w:bottom w:w="90" w:type="dxa"/>
              <w:end w:w="100" w:type="dxa"/>
            </w:tcMar>
            <w:vAlign w:val="center"/>
          </w:tcPr>
          <w:p>
            <w:r>
              <w:rPr>
                <w:rFonts w:ascii="Noto Sans" w:hAnsi="Noto Sans"/>
                <w:b/>
                <w:color w:val="1F2A44"/>
                <w:sz w:val="18"/>
              </w:rPr>
              <w:t>Primary audience</w:t>
            </w:r>
          </w:p>
        </w:tc>
        <w:tc>
          <w:tcPr>
            <w:tcW w:type="dxa" w:w="6840"/>
            <w:tcBorders>
              <w:top w:val="single" w:sz="5" w:color="D6DCE4"/>
              <w:left w:val="single" w:sz="5" w:color="D6DCE4"/>
              <w:bottom w:val="single" w:sz="5" w:color="D6DCE4"/>
              <w:right w:val="single" w:sz="5" w:color="D6DCE4"/>
            </w:tcBorders>
            <w:tcMar>
              <w:top w:w="90" w:type="dxa"/>
              <w:start w:w="100" w:type="dxa"/>
              <w:bottom w:w="90" w:type="dxa"/>
              <w:end w:w="100" w:type="dxa"/>
            </w:tcMar>
            <w:vAlign w:val="center"/>
          </w:tcPr>
          <w:p>
            <w:r>
              <w:rPr>
                <w:rFonts w:ascii="Noto Sans" w:hAnsi="Noto Sans"/>
                <w:color w:val="222B35"/>
                <w:sz w:val="18"/>
              </w:rPr>
              <w:t>Fresh implementation/research agent; technical product lead</w:t>
            </w:r>
          </w:p>
        </w:tc>
      </w:tr>
      <w:tr>
        <w:trPr>
          <w:cantSplit w:val="true"/>
        </w:trPr>
        <w:tc>
          <w:tcPr>
            <w:tcW w:type="dxa" w:w="2520"/>
            <w:shd w:fill="F3F5F7"/>
            <w:tcBorders>
              <w:top w:val="single" w:sz="5" w:color="D6DCE4"/>
              <w:left w:val="single" w:sz="5" w:color="D6DCE4"/>
              <w:bottom w:val="single" w:sz="5" w:color="D6DCE4"/>
              <w:right w:val="single" w:sz="5" w:color="D6DCE4"/>
            </w:tcBorders>
            <w:tcMar>
              <w:top w:w="90" w:type="dxa"/>
              <w:start w:w="100" w:type="dxa"/>
              <w:bottom w:w="90" w:type="dxa"/>
              <w:end w:w="100" w:type="dxa"/>
            </w:tcMar>
            <w:vAlign w:val="center"/>
          </w:tcPr>
          <w:p>
            <w:r>
              <w:rPr>
                <w:rFonts w:ascii="Noto Sans" w:hAnsi="Noto Sans"/>
                <w:b/>
                <w:color w:val="1F2A44"/>
                <w:sz w:val="18"/>
              </w:rPr>
              <w:t>POC thesis</w:t>
            </w:r>
          </w:p>
        </w:tc>
        <w:tc>
          <w:tcPr>
            <w:tcW w:type="dxa" w:w="6840"/>
            <w:tcBorders>
              <w:top w:val="single" w:sz="5" w:color="D6DCE4"/>
              <w:left w:val="single" w:sz="5" w:color="D6DCE4"/>
              <w:bottom w:val="single" w:sz="5" w:color="D6DCE4"/>
              <w:right w:val="single" w:sz="5" w:color="D6DCE4"/>
            </w:tcBorders>
            <w:tcMar>
              <w:top w:w="90" w:type="dxa"/>
              <w:start w:w="100" w:type="dxa"/>
              <w:bottom w:w="90" w:type="dxa"/>
              <w:end w:w="100" w:type="dxa"/>
            </w:tcMar>
            <w:vAlign w:val="center"/>
          </w:tcPr>
          <w:p>
            <w:r>
              <w:rPr>
                <w:rFonts w:ascii="Noto Sans" w:hAnsi="Noto Sans"/>
                <w:color w:val="222B35"/>
                <w:sz w:val="18"/>
              </w:rPr>
              <w:t>The page is a rendition, not the document.</w:t>
            </w:r>
          </w:p>
        </w:tc>
      </w:tr>
      <w:tr>
        <w:trPr>
          <w:cantSplit w:val="true"/>
        </w:trPr>
        <w:tc>
          <w:tcPr>
            <w:tcW w:type="dxa" w:w="2520"/>
            <w:shd w:fill="F3F5F7"/>
            <w:tcBorders>
              <w:top w:val="single" w:sz="5" w:color="D6DCE4"/>
              <w:left w:val="single" w:sz="5" w:color="D6DCE4"/>
              <w:bottom w:val="single" w:sz="5" w:color="D6DCE4"/>
              <w:right w:val="single" w:sz="5" w:color="D6DCE4"/>
            </w:tcBorders>
            <w:tcMar>
              <w:top w:w="90" w:type="dxa"/>
              <w:start w:w="100" w:type="dxa"/>
              <w:bottom w:w="90" w:type="dxa"/>
              <w:end w:w="100" w:type="dxa"/>
            </w:tcMar>
            <w:vAlign w:val="center"/>
          </w:tcPr>
          <w:p>
            <w:r>
              <w:rPr>
                <w:rFonts w:ascii="Noto Sans" w:hAnsi="Noto Sans"/>
                <w:b/>
                <w:color w:val="1F2A44"/>
                <w:sz w:val="18"/>
              </w:rPr>
              <w:t>Default input</w:t>
            </w:r>
          </w:p>
        </w:tc>
        <w:tc>
          <w:tcPr>
            <w:tcW w:type="dxa" w:w="6840"/>
            <w:tcBorders>
              <w:top w:val="single" w:sz="5" w:color="D6DCE4"/>
              <w:left w:val="single" w:sz="5" w:color="D6DCE4"/>
              <w:bottom w:val="single" w:sz="5" w:color="D6DCE4"/>
              <w:right w:val="single" w:sz="5" w:color="D6DCE4"/>
            </w:tcBorders>
            <w:tcMar>
              <w:top w:w="90" w:type="dxa"/>
              <w:start w:w="100" w:type="dxa"/>
              <w:bottom w:w="90" w:type="dxa"/>
              <w:end w:w="100" w:type="dxa"/>
            </w:tcMar>
            <w:vAlign w:val="center"/>
          </w:tcPr>
          <w:p>
            <w:r>
              <w:rPr>
                <w:rFonts w:ascii="Noto Sans" w:hAnsi="Noto Sans"/>
                <w:color w:val="222B35"/>
                <w:sz w:val="18"/>
              </w:rPr>
              <w:t>Structured scholarly article; PDF is a later adapter</w:t>
            </w:r>
          </w:p>
        </w:tc>
      </w:tr>
      <w:tr>
        <w:trPr>
          <w:cantSplit w:val="true"/>
        </w:trPr>
        <w:tc>
          <w:tcPr>
            <w:tcW w:type="dxa" w:w="2520"/>
            <w:shd w:fill="F3F5F7"/>
            <w:tcBorders>
              <w:top w:val="single" w:sz="5" w:color="D6DCE4"/>
              <w:left w:val="single" w:sz="5" w:color="D6DCE4"/>
              <w:bottom w:val="single" w:sz="5" w:color="D6DCE4"/>
              <w:right w:val="single" w:sz="5" w:color="D6DCE4"/>
            </w:tcBorders>
            <w:tcMar>
              <w:top w:w="90" w:type="dxa"/>
              <w:start w:w="100" w:type="dxa"/>
              <w:bottom w:w="90" w:type="dxa"/>
              <w:end w:w="100" w:type="dxa"/>
            </w:tcMar>
            <w:vAlign w:val="center"/>
          </w:tcPr>
          <w:p>
            <w:r>
              <w:rPr>
                <w:rFonts w:ascii="Noto Sans" w:hAnsi="Noto Sans"/>
                <w:b/>
                <w:color w:val="1F2A44"/>
                <w:sz w:val="18"/>
              </w:rPr>
              <w:t>Prepared</w:t>
            </w:r>
          </w:p>
        </w:tc>
        <w:tc>
          <w:tcPr>
            <w:tcW w:type="dxa" w:w="6840"/>
            <w:tcBorders>
              <w:top w:val="single" w:sz="5" w:color="D6DCE4"/>
              <w:left w:val="single" w:sz="5" w:color="D6DCE4"/>
              <w:bottom w:val="single" w:sz="5" w:color="D6DCE4"/>
              <w:right w:val="single" w:sz="5" w:color="D6DCE4"/>
            </w:tcBorders>
            <w:tcMar>
              <w:top w:w="90" w:type="dxa"/>
              <w:start w:w="100" w:type="dxa"/>
              <w:bottom w:w="90" w:type="dxa"/>
              <w:end w:w="100" w:type="dxa"/>
            </w:tcMar>
            <w:vAlign w:val="center"/>
          </w:tcPr>
          <w:p>
            <w:r>
              <w:rPr>
                <w:rFonts w:ascii="Noto Sans" w:hAnsi="Noto Sans"/>
                <w:color w:val="222B35"/>
                <w:sz w:val="18"/>
              </w:rPr>
              <w:t>12 July 2026</w:t>
            </w:r>
          </w:p>
        </w:tc>
      </w:tr>
    </w:tbl>
    <w:p>
      <w:pPr>
        <w:spacing w:before="360"/>
        <w:jc w:val="left"/>
      </w:pPr>
      <w:r>
        <w:rPr>
          <w:rFonts w:ascii="Noto Sans" w:hAnsi="Noto Sans"/>
          <w:i/>
          <w:color w:val="6B7280"/>
          <w:sz w:val="18"/>
        </w:rPr>
        <w:t>This document is intentionally self-contained. The implementing agent should use its defaults unless a blocker makes a decision impossible.</w:t>
      </w:r>
    </w:p>
    <w:p>
      <w:r>
        <w:br w:type="page"/>
      </w:r>
    </w:p>
    <w:p>
      <w:pPr>
        <w:pStyle w:val="Heading1"/>
        <w:keepNext/>
        <w:keepLines/>
      </w:pPr>
      <w:r>
        <w:t>0. Agent handoff — read this first</w:t>
      </w:r>
    </w:p>
    <w:tbl>
      <w:tblPr>
        <w:tblW w:type="auto" w:w="0"/>
        <w:jc w:val="center"/>
        <w:tblLayout w:type="autofit"/>
        <w:tblLook w:firstColumn="1" w:firstRow="1" w:lastColumn="0" w:lastRow="0" w:noHBand="0" w:noVBand="1" w:val="04A0"/>
      </w:tblPr>
      <w:tblGrid>
        <w:gridCol w:w="9752"/>
      </w:tblGrid>
      <w:tr>
        <w:trPr>
          <w:cantSplit w:val="true"/>
        </w:trPr>
        <w:tc>
          <w:tcPr>
            <w:tcW w:type="dxa" w:w="9752"/>
            <w:shd w:fill="EEF4FA"/>
            <w:tcBorders>
              <w:top w:val="single" w:sz="8" w:color="1F2A44"/>
              <w:left w:val="single" w:sz="18" w:color="1F2A44"/>
              <w:bottom w:val="single" w:sz="8" w:color="1F2A44"/>
              <w:right w:val="single" w:sz="8" w:color="1F2A44"/>
            </w:tcBorders>
            <w:tcMar>
              <w:top w:w="150" w:type="dxa"/>
              <w:start w:w="170" w:type="dxa"/>
              <w:bottom w:w="150" w:type="dxa"/>
              <w:end w:w="170" w:type="dxa"/>
            </w:tcMar>
          </w:tcPr>
          <w:p>
            <w:pPr>
              <w:spacing w:after="80"/>
            </w:pPr>
            <w:r>
              <w:rPr>
                <w:rFonts w:ascii="Noto Sans" w:hAnsi="Noto Sans"/>
                <w:b/>
                <w:color w:val="222B35"/>
                <w:sz w:val="20"/>
              </w:rPr>
              <w:t>Mission</w:t>
            </w:r>
          </w:p>
          <w:p>
            <w:pPr>
              <w:spacing w:after="0"/>
            </w:pPr>
            <w:r>
              <w:rPr>
                <w:rFonts w:ascii="Noto Sans" w:hAnsi="Noto Sans"/>
                <w:color w:val="222B35"/>
                <w:sz w:val="19"/>
              </w:rPr>
              <w:t>Build a narrow end-to-end proof of concept that demonstrates semantic responsive typesetting. Do not begin by building a universal PDF converter.</w:t>
            </w:r>
          </w:p>
        </w:tc>
      </w:tr>
    </w:tbl>
    <w:p>
      <w:pPr>
        <w:spacing w:after="0"/>
      </w:pPr>
    </w:p>
    <w:p>
      <w:pPr>
        <w:pStyle w:val="BodyText"/>
      </w:pPr>
      <w:r>
        <w:rPr>
          <w:rFonts w:ascii="Noto Sans" w:hAnsi="Noto Sans"/>
          <w:i w:val="0"/>
          <w:color w:val="222B35"/>
          <w:sz w:val="20"/>
        </w:rPr>
        <w:t>The POC should take one canonical scholarly document and compose it into four materially different surfaces while preserving semantic identity, figure-caption relationships, reading position, and text annotations. The system should make layout decisions visible and should permit target-specific overrides without mutating the source content.</w:t>
      </w:r>
    </w:p>
    <w:p>
      <w:pPr>
        <w:pStyle w:val="Heading2"/>
        <w:keepNext/>
        <w:keepLines/>
      </w:pPr>
      <w:r>
        <w:t>Defaults that should not block implementation</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2376"/>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Decision</w:t>
            </w:r>
          </w:p>
        </w:tc>
        <w:tc>
          <w:tcPr>
            <w:tcW w:type="dxa" w:w="6984"/>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Default</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Name</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Semantic Responsive Typesetting (SRT)</w:t>
            </w:r>
          </w:p>
        </w:tc>
      </w:tr>
      <w:tr>
        <w:trPr>
          <w:cantSplit w:val="true"/>
        </w:trPr>
        <w:tc>
          <w:tcPr>
            <w:tcW w:type="dxa" w:w="23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Canonical model</w:t>
            </w:r>
          </w:p>
        </w:tc>
        <w:tc>
          <w:tcPr>
            <w:tcW w:type="dxa" w:w="69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Custom validated JSON graph inspired by JATS; not PDF, EPUB, or TeX</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First input</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Structured article fixture, preferably JATS-derived or manually normalized</w:t>
            </w:r>
          </w:p>
        </w:tc>
      </w:tr>
      <w:tr>
        <w:trPr>
          <w:cantSplit w:val="true"/>
        </w:trPr>
        <w:tc>
          <w:tcPr>
            <w:tcW w:type="dxa" w:w="23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Rendering approach</w:t>
            </w:r>
          </w:p>
        </w:tc>
        <w:tc>
          <w:tcPr>
            <w:tcW w:type="dxa" w:w="69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HTML/CSS plus a paged-media engine and a thin policy layer</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Targets</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A4 print, large 4:3 e-ink, small tall e-ink, continuous mobile</w:t>
            </w:r>
          </w:p>
        </w:tc>
      </w:tr>
      <w:tr>
        <w:trPr>
          <w:cantSplit w:val="true"/>
        </w:trPr>
        <w:tc>
          <w:tcPr>
            <w:tcW w:type="dxa" w:w="23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Annotations</w:t>
            </w:r>
          </w:p>
        </w:tc>
        <w:tc>
          <w:tcPr>
            <w:tcW w:type="dxa" w:w="69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Text highlight and anchored note in P0; freehand ink is a stretch goal</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PDF ingestion</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P2 adapter; do not let extraction errors obscure the composition POC</w:t>
            </w:r>
          </w:p>
        </w:tc>
      </w:tr>
      <w:tr>
        <w:trPr>
          <w:cantSplit w:val="true"/>
        </w:trPr>
        <w:tc>
          <w:tcPr>
            <w:tcW w:type="dxa" w:w="23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Designer editability</w:t>
            </w:r>
          </w:p>
        </w:tc>
        <w:tc>
          <w:tcPr>
            <w:tcW w:type="dxa" w:w="69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Target-specific rule overrides in P1; Illustrator/InDesign round-trip is out of MVP</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Automation</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Deterministic, explainable rules first; no generative layout dependency</w:t>
            </w:r>
          </w:p>
        </w:tc>
      </w:tr>
    </w:tbl>
    <w:p>
      <w:pPr>
        <w:pStyle w:val="Heading2"/>
        <w:keepNext/>
        <w:keepLines/>
      </w:pPr>
      <w:r>
        <w:t>Immediate deliverable</w:t>
      </w:r>
    </w:p>
    <w:p>
      <w:pPr>
        <w:pStyle w:val="ListBullet"/>
      </w:pPr>
      <w:r>
        <w:rPr>
          <w:rFonts w:ascii="Noto Sans" w:hAnsi="Noto Sans"/>
          <w:color w:val="222B35"/>
          <w:sz w:val="20"/>
        </w:rPr>
        <w:t>A runnable repository with one command to launch the interactive studio.</w:t>
      </w:r>
    </w:p>
    <w:p>
      <w:pPr>
        <w:pStyle w:val="ListBullet"/>
      </w:pPr>
      <w:r>
        <w:rPr>
          <w:rFonts w:ascii="Noto Sans" w:hAnsi="Noto Sans"/>
          <w:color w:val="222B35"/>
          <w:sz w:val="20"/>
        </w:rPr>
        <w:t>One golden scholarly article rendered from the same source into four target profiles.</w:t>
      </w:r>
    </w:p>
    <w:p>
      <w:pPr>
        <w:pStyle w:val="ListBullet"/>
      </w:pPr>
      <w:r>
        <w:rPr>
          <w:rFonts w:ascii="Noto Sans" w:hAnsi="Noto Sans"/>
          <w:color w:val="222B35"/>
          <w:sz w:val="20"/>
        </w:rPr>
        <w:t>Stable semantic IDs embedded in every rendition and a generated layout manifest.</w:t>
      </w:r>
    </w:p>
    <w:p>
      <w:pPr>
        <w:pStyle w:val="ListBullet"/>
      </w:pPr>
      <w:r>
        <w:rPr>
          <w:rFonts w:ascii="Noto Sans" w:hAnsi="Noto Sans"/>
          <w:color w:val="222B35"/>
          <w:sz w:val="20"/>
        </w:rPr>
        <w:t>A target switch that preserves the current semantic reading anchor.</w:t>
      </w:r>
    </w:p>
    <w:p>
      <w:pPr>
        <w:pStyle w:val="ListBullet"/>
      </w:pPr>
      <w:r>
        <w:rPr>
          <w:rFonts w:ascii="Noto Sans" w:hAnsi="Noto Sans"/>
          <w:color w:val="222B35"/>
          <w:sz w:val="20"/>
        </w:rPr>
        <w:t>A text highlight that remains attached to the same words after reflow.</w:t>
      </w:r>
    </w:p>
    <w:p>
      <w:pPr>
        <w:pStyle w:val="ListBullet"/>
      </w:pPr>
      <w:r>
        <w:rPr>
          <w:rFonts w:ascii="Noto Sans" w:hAnsi="Noto Sans"/>
          <w:color w:val="222B35"/>
          <w:sz w:val="20"/>
        </w:rPr>
        <w:t>Screenshot and structural tests for the golden article.</w:t>
      </w:r>
    </w:p>
    <w:p>
      <w:pPr>
        <w:pStyle w:val="ListBullet"/>
      </w:pPr>
      <w:r>
        <w:rPr>
          <w:rFonts w:ascii="Noto Sans" w:hAnsi="Noto Sans"/>
          <w:color w:val="222B35"/>
          <w:sz w:val="20"/>
        </w:rPr>
        <w:t>Architecture decision records for schema, pagination engine, and annotation anchoring.</w:t>
      </w:r>
    </w:p>
    <w:tbl>
      <w:tblPr>
        <w:tblW w:type="auto" w:w="0"/>
        <w:jc w:val="center"/>
        <w:tblLayout w:type="autofit"/>
        <w:tblLook w:firstColumn="1" w:firstRow="1" w:lastColumn="0" w:lastRow="0" w:noHBand="0" w:noVBand="1" w:val="04A0"/>
      </w:tblPr>
      <w:tblGrid>
        <w:gridCol w:w="9752"/>
      </w:tblGrid>
      <w:tr>
        <w:trPr>
          <w:cantSplit w:val="true"/>
        </w:trPr>
        <w:tc>
          <w:tcPr>
            <w:tcW w:type="dxa" w:w="9752"/>
            <w:shd w:fill="FFF4D6"/>
            <w:tcBorders>
              <w:top w:val="single" w:sz="8" w:color="D99816"/>
              <w:left w:val="single" w:sz="18" w:color="D99816"/>
              <w:bottom w:val="single" w:sz="8" w:color="D99816"/>
              <w:right w:val="single" w:sz="8" w:color="D99816"/>
            </w:tcBorders>
            <w:tcMar>
              <w:top w:w="150" w:type="dxa"/>
              <w:start w:w="170" w:type="dxa"/>
              <w:bottom w:w="150" w:type="dxa"/>
              <w:end w:w="170" w:type="dxa"/>
            </w:tcMar>
          </w:tcPr>
          <w:p>
            <w:pPr>
              <w:spacing w:after="80"/>
            </w:pPr>
            <w:r>
              <w:rPr>
                <w:rFonts w:ascii="Noto Sans" w:hAnsi="Noto Sans"/>
                <w:b/>
                <w:color w:val="222B35"/>
                <w:sz w:val="20"/>
              </w:rPr>
              <w:t>Do not over-scope</w:t>
            </w:r>
          </w:p>
          <w:p>
            <w:pPr>
              <w:spacing w:after="0"/>
            </w:pPr>
            <w:r>
              <w:rPr>
                <w:rFonts w:ascii="Noto Sans" w:hAnsi="Noto Sans"/>
                <w:color w:val="222B35"/>
                <w:sz w:val="19"/>
              </w:rPr>
              <w:t>A clean demonstration of one paper across four targets is more valuable than partial support for arbitrary PDFs, scans, equations, collaboration, and design-tool round-tripping.</w:t>
            </w:r>
          </w:p>
        </w:tc>
      </w:tr>
    </w:tbl>
    <w:p>
      <w:pPr>
        <w:spacing w:after="0"/>
      </w:pPr>
    </w:p>
    <w:p>
      <w:pPr>
        <w:pStyle w:val="Heading1"/>
        <w:keepNext/>
        <w:keepLines/>
      </w:pPr>
      <w:r>
        <w:t>1. Executive summary</w:t>
      </w:r>
    </w:p>
    <w:p>
      <w:pPr>
        <w:pStyle w:val="BodyText"/>
      </w:pPr>
      <w:r>
        <w:rPr>
          <w:rFonts w:ascii="Noto Sans" w:hAnsi="Noto Sans"/>
          <w:i w:val="0"/>
          <w:color w:val="222B35"/>
          <w:sz w:val="20"/>
        </w:rPr>
        <w:t>Semantic Responsive Typesetting is a document composition model in which the canonical document is a persistent semantic graph, while pages, columns, coordinates, and line breaks are computed renditions for a particular surface. Content components may move, resize, change variants, or fragment, but their identities and relationships remain stable.</w:t>
      </w:r>
    </w:p>
    <w:p>
      <w:pPr>
        <w:pStyle w:val="BodyText"/>
      </w:pPr>
      <w:r>
        <w:rPr>
          <w:rFonts w:ascii="Noto Sans" w:hAnsi="Noto Sans"/>
          <w:i w:val="0"/>
          <w:color w:val="222B35"/>
          <w:sz w:val="20"/>
        </w:rPr>
        <w:t>The proof of concept uses scholarly articles because they combine long-form prose, finite-page composition, figures, captions, citations, equations, tables, cross-references, and annotation-intensive reading. They also expose the weakness of fixed PDFs on very different e-ink geometries.</w:t>
      </w:r>
    </w:p>
    <w:p>
      <w:pPr>
        <w:pStyle w:val="BodyText"/>
      </w:pPr>
      <w:r>
        <w:rPr>
          <w:rFonts w:ascii="Noto Sans" w:hAnsi="Noto Sans"/>
          <w:i w:val="0"/>
          <w:color w:val="222B35"/>
          <w:sz w:val="20"/>
        </w:rPr>
        <w:t>The product value is broader than PDF-to-EPUB conversion. The same architecture should eventually support data-driven reports, newspapers, brochures, financial publications, learning material, and other workflows that currently flatten content too early and then manually rebuild print and digital variants.</w:t>
      </w:r>
    </w:p>
    <w:p>
      <w:pPr>
        <w:pStyle w:val="Heading2"/>
        <w:keepNext/>
        <w:keepLines/>
      </w:pPr>
      <w:r>
        <w:t>Primary hypothesis</w:t>
      </w:r>
    </w:p>
    <w:tbl>
      <w:tblPr>
        <w:tblW w:type="auto" w:w="0"/>
        <w:jc w:val="center"/>
        <w:tblLayout w:type="autofit"/>
        <w:tblLook w:firstColumn="1" w:firstRow="1" w:lastColumn="0" w:lastRow="0" w:noHBand="0" w:noVBand="1" w:val="04A0"/>
      </w:tblPr>
      <w:tblGrid>
        <w:gridCol w:w="9752"/>
      </w:tblGrid>
      <w:tr>
        <w:trPr>
          <w:cantSplit w:val="true"/>
        </w:trPr>
        <w:tc>
          <w:tcPr>
            <w:tcW w:type="dxa" w:w="9752"/>
            <w:shd w:fill="EAF5F3"/>
            <w:tcBorders>
              <w:top w:val="single" w:sz="8" w:color="18766F"/>
              <w:left w:val="single" w:sz="18" w:color="18766F"/>
              <w:bottom w:val="single" w:sz="8" w:color="18766F"/>
              <w:right w:val="single" w:sz="8" w:color="18766F"/>
            </w:tcBorders>
            <w:tcMar>
              <w:top w:w="150" w:type="dxa"/>
              <w:start w:w="170" w:type="dxa"/>
              <w:bottom w:w="150" w:type="dxa"/>
              <w:end w:w="170" w:type="dxa"/>
            </w:tcMar>
          </w:tcPr>
          <w:p>
            <w:pPr>
              <w:spacing w:after="80"/>
            </w:pPr>
            <w:r>
              <w:rPr>
                <w:rFonts w:ascii="Noto Sans" w:hAnsi="Noto Sans"/>
                <w:b/>
                <w:color w:val="10534F"/>
                <w:sz w:val="20"/>
              </w:rPr>
              <w:t>Hypothesis</w:t>
            </w:r>
          </w:p>
          <w:p>
            <w:pPr>
              <w:spacing w:after="0"/>
            </w:pPr>
            <w:r>
              <w:rPr>
                <w:rFonts w:ascii="Noto Sans" w:hAnsi="Noto Sans"/>
                <w:color w:val="222B35"/>
                <w:sz w:val="19"/>
              </w:rPr>
              <w:t>A canonical semantic graph plus target constraints, layout policies, and non-destructive overrides can generate coherent renditions across heterogeneous widths and finite heights while preserving content identity, relationships, reader position, and annotations.</w:t>
            </w:r>
          </w:p>
        </w:tc>
      </w:tr>
    </w:tbl>
    <w:p>
      <w:pPr>
        <w:spacing w:after="0"/>
      </w:pPr>
    </w:p>
    <w:p>
      <w:pPr>
        <w:pStyle w:val="Heading2"/>
        <w:keepNext/>
        <w:keepLines/>
      </w:pPr>
      <w:r>
        <w:t>Why this POC matters</w:t>
      </w:r>
    </w:p>
    <w:p>
      <w:pPr>
        <w:pStyle w:val="ListBullet"/>
      </w:pPr>
      <w:r>
        <w:rPr>
          <w:rFonts w:ascii="Noto Sans" w:hAnsi="Noto Sans"/>
          <w:color w:val="222B35"/>
          <w:sz w:val="20"/>
        </w:rPr>
        <w:t>It tests whether coordinates can become outputs rather than authored source data.</w:t>
      </w:r>
    </w:p>
    <w:p>
      <w:pPr>
        <w:pStyle w:val="ListBullet"/>
      </w:pPr>
      <w:r>
        <w:rPr>
          <w:rFonts w:ascii="Noto Sans" w:hAnsi="Noto Sans"/>
          <w:color w:val="222B35"/>
          <w:sz w:val="20"/>
        </w:rPr>
        <w:t>It treats finite height and pagination as first-class responsive constraints, not as an afterthought to responsive web layout.</w:t>
      </w:r>
    </w:p>
    <w:p>
      <w:pPr>
        <w:pStyle w:val="ListBullet"/>
      </w:pPr>
      <w:r>
        <w:rPr>
          <w:rFonts w:ascii="Noto Sans" w:hAnsi="Noto Sans"/>
          <w:color w:val="222B35"/>
          <w:sz w:val="20"/>
        </w:rPr>
        <w:t>It separates semantic content from target-specific composition and designer exceptions.</w:t>
      </w:r>
    </w:p>
    <w:p>
      <w:pPr>
        <w:pStyle w:val="ListBullet"/>
      </w:pPr>
      <w:r>
        <w:rPr>
          <w:rFonts w:ascii="Noto Sans" w:hAnsi="Noto Sans"/>
          <w:color w:val="222B35"/>
          <w:sz w:val="20"/>
        </w:rPr>
        <w:t>It provides a concrete foundation for progressive or viewport-first repagination.</w:t>
      </w:r>
    </w:p>
    <w:p>
      <w:pPr>
        <w:pStyle w:val="ListBullet"/>
      </w:pPr>
      <w:r>
        <w:rPr>
          <w:rFonts w:ascii="Noto Sans" w:hAnsi="Noto Sans"/>
          <w:color w:val="222B35"/>
          <w:sz w:val="20"/>
        </w:rPr>
        <w:t>It establishes a durable anchoring model for highlights and, later, freehand ink.</w:t>
      </w:r>
    </w:p>
    <w:p>
      <w:pPr>
        <w:pStyle w:val="Heading1"/>
        <w:keepNext/>
        <w:keepLines/>
      </w:pPr>
      <w:r>
        <w:t>2. Context and problem statement</w:t>
      </w:r>
    </w:p>
    <w:p>
      <w:pPr>
        <w:pStyle w:val="Heading2"/>
        <w:keepNext/>
        <w:keepLines/>
      </w:pPr>
      <w:r>
        <w:t>Current workflow failure</w:t>
      </w:r>
    </w:p>
    <w:p>
      <w:pPr>
        <w:pStyle w:val="BodyText"/>
      </w:pPr>
      <w:r>
        <w:rPr>
          <w:rFonts w:ascii="Noto Sans" w:hAnsi="Noto Sans"/>
          <w:i w:val="0"/>
          <w:color w:val="222B35"/>
          <w:sz w:val="20"/>
        </w:rPr>
        <w:t>Many publishing workflows take incoming data, calculate positions for a fixed page, generate a PDF, and then require a designer to move or repair the result in Illustrator or InDesign. A separate digital version is often rebuilt from the same material. The content becomes geometrically committed too early.</w:t>
      </w:r>
    </w:p>
    <w:tbl>
      <w:tblPr>
        <w:tblW w:type="auto" w:w="0"/>
        <w:jc w:val="center"/>
        <w:tblLook w:firstColumn="1" w:firstRow="1" w:lastColumn="0" w:lastRow="0" w:noHBand="0" w:noVBand="1" w:val="04A0"/>
      </w:tblPr>
      <w:tblGrid>
        <w:gridCol w:w="9752"/>
      </w:tblGrid>
      <w:tr>
        <w:trPr>
          <w:cantSplit w:val="true"/>
        </w:trPr>
        <w:tc>
          <w:tcPr>
            <w:tcW w:type="dxa" w:w="9752"/>
            <w:shd w:fill="F7F8FA"/>
            <w:tcBorders>
              <w:top w:val="single" w:sz="5" w:color="D6DCE4"/>
              <w:left w:val="single" w:sz="5" w:color="D6DCE4"/>
              <w:bottom w:val="single" w:sz="5" w:color="D6DCE4"/>
              <w:right w:val="single" w:sz="5" w:color="D6DCE4"/>
            </w:tcBorders>
            <w:tcMar>
              <w:top w:w="130" w:type="dxa"/>
              <w:start w:w="140" w:type="dxa"/>
              <w:bottom w:w="130" w:type="dxa"/>
              <w:end w:w="140" w:type="dxa"/>
            </w:tcMar>
          </w:tcPr>
          <w:p>
            <w:pPr>
              <w:spacing w:after="0" w:line="240" w:lineRule="auto"/>
            </w:pPr>
            <w:r>
              <w:rPr>
                <w:rFonts w:ascii="DejaVu Sans Mono" w:hAnsi="DejaVu Sans Mono"/>
                <w:color w:val="24313A"/>
                <w:sz w:val="16"/>
              </w:rPr>
              <w:t>Current pattern</w:t>
              <w:br/>
              <w:t>incoming data</w:t>
              <w:br/>
              <w:t xml:space="preserve">  → manual coordinate calculations</w:t>
              <w:br/>
              <w:t xml:space="preserve">  → fixed-size PDF</w:t>
              <w:br/>
              <w:t xml:space="preserve">  → downstream movement and repair</w:t>
              <w:br/>
              <w:t xml:space="preserve">  → separate digital rendition</w:t>
              <w:br/>
              <w:br/>
              <w:t>Desired pattern</w:t>
              <w:br/>
              <w:t>structured content + relationships + layout policy</w:t>
              <w:br/>
              <w:t xml:space="preserve">  → composition for a target profile</w:t>
              <w:br/>
              <w:t xml:space="preserve">  → print, e-ink, web, and editable renditions</w:t>
              <w:br/>
              <w:t xml:space="preserve">  → designer edits only the exceptions</w:t>
            </w:r>
          </w:p>
        </w:tc>
      </w:tr>
    </w:tbl>
    <w:p>
      <w:pPr>
        <w:pStyle w:val="Heading2"/>
        <w:keepNext/>
        <w:keepLines/>
      </w:pPr>
      <w:r>
        <w:t>Observed product pain</w:t>
      </w:r>
    </w:p>
    <w:p>
      <w:pPr>
        <w:pStyle w:val="ListBullet"/>
      </w:pPr>
      <w:r>
        <w:rPr>
          <w:rFonts w:ascii="Noto Sans" w:hAnsi="Noto Sans"/>
          <w:color w:val="222B35"/>
          <w:sz w:val="20"/>
        </w:rPr>
        <w:t>A fixed research-paper PDF feels natural on a large paper-like display but becomes tiny or navigation-heavy on a small, tall display.</w:t>
      </w:r>
    </w:p>
    <w:p>
      <w:pPr>
        <w:pStyle w:val="ListBullet"/>
      </w:pPr>
      <w:r>
        <w:rPr>
          <w:rFonts w:ascii="Noto Sans" w:hAnsi="Noto Sans"/>
          <w:color w:val="222B35"/>
          <w:sz w:val="20"/>
        </w:rPr>
        <w:t>Changing EPUB typography can trigger expensive whole-document repagination even though the reader needs only the current region immediately.</w:t>
      </w:r>
    </w:p>
    <w:p>
      <w:pPr>
        <w:pStyle w:val="ListBullet"/>
      </w:pPr>
      <w:r>
        <w:rPr>
          <w:rFonts w:ascii="Noto Sans" w:hAnsi="Noto Sans"/>
          <w:color w:val="222B35"/>
          <w:sz w:val="20"/>
        </w:rPr>
        <w:t>Annotations tied to page coordinates become brittle when text reflows.</w:t>
      </w:r>
    </w:p>
    <w:p>
      <w:pPr>
        <w:pStyle w:val="ListBullet"/>
      </w:pPr>
      <w:r>
        <w:rPr>
          <w:rFonts w:ascii="Noto Sans" w:hAnsi="Noto Sans"/>
          <w:color w:val="222B35"/>
          <w:sz w:val="20"/>
        </w:rPr>
        <w:t>Responsive web systems usually adapt to width on an effectively infinite vertical canvas; print and e-ink pagination must also solve finite height.</w:t>
      </w:r>
    </w:p>
    <w:p>
      <w:pPr>
        <w:pStyle w:val="ListBullet"/>
      </w:pPr>
      <w:r>
        <w:rPr>
          <w:rFonts w:ascii="Noto Sans" w:hAnsi="Noto Sans"/>
          <w:color w:val="222B35"/>
          <w:sz w:val="20"/>
        </w:rPr>
        <w:t>Existing toolchains split semantic CMSs, paged typesetting, design automation, and designer editability into separate systems.</w:t>
      </w:r>
    </w:p>
    <w:p>
      <w:pPr>
        <w:pStyle w:val="Heading2"/>
        <w:keepNext/>
        <w:keepLines/>
      </w:pPr>
      <w:r>
        <w:t>Problem statement</w:t>
      </w:r>
    </w:p>
    <w:tbl>
      <w:tblPr>
        <w:tblW w:type="auto" w:w="0"/>
        <w:jc w:val="center"/>
        <w:tblLayout w:type="autofit"/>
        <w:tblLook w:firstColumn="1" w:firstRow="1" w:lastColumn="0" w:lastRow="0" w:noHBand="0" w:noVBand="1" w:val="04A0"/>
      </w:tblPr>
      <w:tblGrid>
        <w:gridCol w:w="9752"/>
      </w:tblGrid>
      <w:tr>
        <w:trPr>
          <w:cantSplit w:val="true"/>
        </w:trPr>
        <w:tc>
          <w:tcPr>
            <w:tcW w:type="dxa" w:w="9752"/>
            <w:shd w:fill="FCE8E6"/>
            <w:tcBorders>
              <w:top w:val="single" w:sz="8" w:color="B42318"/>
              <w:left w:val="single" w:sz="18" w:color="B42318"/>
              <w:bottom w:val="single" w:sz="8" w:color="B42318"/>
              <w:right w:val="single" w:sz="8" w:color="B42318"/>
            </w:tcBorders>
            <w:tcMar>
              <w:top w:w="150" w:type="dxa"/>
              <w:start w:w="170" w:type="dxa"/>
              <w:bottom w:w="150" w:type="dxa"/>
              <w:end w:w="170" w:type="dxa"/>
            </w:tcMar>
          </w:tcPr>
          <w:p>
            <w:pPr>
              <w:spacing w:after="80"/>
            </w:pPr>
            <w:r>
              <w:rPr>
                <w:rFonts w:ascii="Noto Sans" w:hAnsi="Noto Sans"/>
                <w:b/>
                <w:color w:val="222B35"/>
                <w:sz w:val="20"/>
              </w:rPr>
              <w:t>Problem</w:t>
            </w:r>
          </w:p>
          <w:p>
            <w:pPr>
              <w:spacing w:after="0"/>
            </w:pPr>
            <w:r>
              <w:rPr>
                <w:rFonts w:ascii="Noto Sans" w:hAnsi="Noto Sans"/>
                <w:color w:val="222B35"/>
                <w:sz w:val="19"/>
              </w:rPr>
              <w:t>Publishers lack a simple, inspectable workflow in which structured text and visual components can be recomposed across different page dimensions while retaining semantic identity, editorial relationships, annotation anchors, and target-specific designer control.</w:t>
            </w:r>
          </w:p>
        </w:tc>
      </w:tr>
    </w:tbl>
    <w:p>
      <w:pPr>
        <w:spacing w:after="0"/>
      </w:pPr>
    </w:p>
    <w:p>
      <w:pPr>
        <w:pStyle w:val="Heading1"/>
        <w:keepNext/>
        <w:keepLines/>
      </w:pPr>
      <w:r>
        <w:t>3. Product vision and principles</w:t>
      </w:r>
    </w:p>
    <w:p>
      <w:pPr>
        <w:pStyle w:val="Heading2"/>
        <w:keepNext/>
        <w:keepLines/>
      </w:pPr>
      <w:r>
        <w:t>Vision</w:t>
      </w:r>
    </w:p>
    <w:p>
      <w:pPr>
        <w:pStyle w:val="BodyText"/>
      </w:pPr>
      <w:r>
        <w:rPr>
          <w:rFonts w:ascii="Noto Sans" w:hAnsi="Noto Sans"/>
          <w:i w:val="0"/>
          <w:color w:val="222B35"/>
          <w:sz w:val="20"/>
        </w:rPr>
        <w:t>A document should be authored or recovered once as structured content. Each target surface should receive a computed rendition. The system should explain how it placed each component, preserve a bidirectional relationship with the source, and record designer changes as target-specific overrides rather than as anonymous coordinate mutations.</w:t>
      </w:r>
    </w:p>
    <w:tbl>
      <w:tblPr>
        <w:tblW w:type="auto" w:w="0"/>
        <w:jc w:val="center"/>
        <w:tblLook w:firstColumn="1" w:firstRow="1" w:lastColumn="0" w:lastRow="0" w:noHBand="0" w:noVBand="1" w:val="04A0"/>
      </w:tblPr>
      <w:tblGrid>
        <w:gridCol w:w="9752"/>
      </w:tblGrid>
      <w:tr>
        <w:trPr>
          <w:cantSplit w:val="true"/>
        </w:trPr>
        <w:tc>
          <w:tcPr>
            <w:tcW w:type="dxa" w:w="9752"/>
            <w:shd w:fill="F7F8FA"/>
            <w:tcBorders>
              <w:top w:val="single" w:sz="5" w:color="D6DCE4"/>
              <w:left w:val="single" w:sz="5" w:color="D6DCE4"/>
              <w:bottom w:val="single" w:sz="5" w:color="D6DCE4"/>
              <w:right w:val="single" w:sz="5" w:color="D6DCE4"/>
            </w:tcBorders>
            <w:tcMar>
              <w:top w:w="130" w:type="dxa"/>
              <w:start w:w="140" w:type="dxa"/>
              <w:bottom w:w="130" w:type="dxa"/>
              <w:end w:w="140" w:type="dxa"/>
            </w:tcMar>
          </w:tcPr>
          <w:p>
            <w:pPr>
              <w:spacing w:after="0" w:line="240" w:lineRule="auto"/>
            </w:pPr>
            <w:r>
              <w:rPr>
                <w:rFonts w:ascii="DejaVu Sans Mono" w:hAnsi="DejaVu Sans Mono"/>
                <w:color w:val="24313A"/>
                <w:sz w:val="16"/>
              </w:rPr>
              <w:t>Canonical semantic document</w:t>
              <w:br/>
              <w:t xml:space="preserve">        + target profile</w:t>
              <w:br/>
              <w:t xml:space="preserve">        + composition policy</w:t>
              <w:br/>
              <w:t xml:space="preserve">        + target-specific overrides</w:t>
              <w:br/>
              <w:t xml:space="preserve">        ↓</w:t>
              <w:br/>
              <w:t>Computed rendition</w:t>
              <w:br/>
              <w:t xml:space="preserve">        ├── continuous web</w:t>
              <w:br/>
              <w:t xml:space="preserve">        ├── paginated e-ink</w:t>
              <w:br/>
              <w:t xml:space="preserve">        ├── print PDF</w:t>
              <w:br/>
              <w:t xml:space="preserve">        └── editable/inspectable design representation</w:t>
            </w:r>
          </w:p>
        </w:tc>
      </w:tr>
    </w:tbl>
    <w:p>
      <w:pPr>
        <w:pStyle w:val="Heading2"/>
        <w:keepNext/>
        <w:keepLines/>
      </w:pPr>
      <w:r>
        <w:t>Product principles</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2592"/>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Principle</w:t>
            </w:r>
          </w:p>
        </w:tc>
        <w:tc>
          <w:tcPr>
            <w:tcW w:type="dxa" w:w="6768"/>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Implication</w:t>
            </w:r>
          </w:p>
        </w:tc>
      </w:tr>
      <w:tr>
        <w:trPr>
          <w:cantSplit w:val="true"/>
        </w:trPr>
        <w:tc>
          <w:tcPr>
            <w:tcW w:type="dxa" w:w="259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The page is a rendition</w:t>
            </w:r>
          </w:p>
        </w:tc>
        <w:tc>
          <w:tcPr>
            <w:tcW w:type="dxa" w:w="676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Page numbers, coordinates, columns, and line breaks are derived, versioned layout data.</w:t>
            </w:r>
          </w:p>
        </w:tc>
      </w:tr>
      <w:tr>
        <w:trPr>
          <w:cantSplit w:val="true"/>
        </w:trPr>
        <w:tc>
          <w:tcPr>
            <w:tcW w:type="dxa" w:w="259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Identity survives movement</w:t>
            </w:r>
          </w:p>
        </w:tc>
        <w:tc>
          <w:tcPr>
            <w:tcW w:type="dxa" w:w="676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 figure remains the same figure when it moves, resizes, or changes variant.</w:t>
            </w:r>
          </w:p>
        </w:tc>
      </w:tr>
      <w:tr>
        <w:trPr>
          <w:cantSplit w:val="true"/>
        </w:trPr>
        <w:tc>
          <w:tcPr>
            <w:tcW w:type="dxa" w:w="259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Movement is governed</w:t>
            </w:r>
          </w:p>
        </w:tc>
        <w:tc>
          <w:tcPr>
            <w:tcW w:type="dxa" w:w="676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Components move according to explicit constraints and editorial policy, not arbitrary repositioning.</w:t>
            </w:r>
          </w:p>
        </w:tc>
      </w:tr>
      <w:tr>
        <w:trPr>
          <w:cantSplit w:val="true"/>
        </w:trPr>
        <w:tc>
          <w:tcPr>
            <w:tcW w:type="dxa" w:w="259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Width and height are first-class</w:t>
            </w:r>
          </w:p>
        </w:tc>
        <w:tc>
          <w:tcPr>
            <w:tcW w:type="dxa" w:w="676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The engine responds to both line measure and finite fragmentation height.</w:t>
            </w:r>
          </w:p>
        </w:tc>
      </w:tr>
      <w:tr>
        <w:trPr>
          <w:cantSplit w:val="true"/>
        </w:trPr>
        <w:tc>
          <w:tcPr>
            <w:tcW w:type="dxa" w:w="259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Relationships outrank proximity</w:t>
            </w:r>
          </w:p>
        </w:tc>
        <w:tc>
          <w:tcPr>
            <w:tcW w:type="dxa" w:w="676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Caption-to-figure, reference-to-object, and note-to-paragraph links persist even when spatial proximity changes.</w:t>
            </w:r>
          </w:p>
        </w:tc>
      </w:tr>
      <w:tr>
        <w:trPr>
          <w:cantSplit w:val="true"/>
        </w:trPr>
        <w:tc>
          <w:tcPr>
            <w:tcW w:type="dxa" w:w="259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Progressive stability matters</w:t>
            </w:r>
          </w:p>
        </w:tc>
        <w:tc>
          <w:tcPr>
            <w:tcW w:type="dxa" w:w="676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The current reading region should become usable before distant pages finish composing.</w:t>
            </w:r>
          </w:p>
        </w:tc>
      </w:tr>
      <w:tr>
        <w:trPr>
          <w:cantSplit w:val="true"/>
        </w:trPr>
        <w:tc>
          <w:tcPr>
            <w:tcW w:type="dxa" w:w="259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No silent content loss</w:t>
            </w:r>
          </w:p>
        </w:tc>
        <w:tc>
          <w:tcPr>
            <w:tcW w:type="dxa" w:w="676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Any summarization, crop, omission, fallback, or failed constraint must be visible in diagnostics.</w:t>
            </w:r>
          </w:p>
        </w:tc>
      </w:tr>
      <w:tr>
        <w:trPr>
          <w:cantSplit w:val="true"/>
        </w:trPr>
        <w:tc>
          <w:tcPr>
            <w:tcW w:type="dxa" w:w="259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Designers edit exceptions</w:t>
            </w:r>
          </w:p>
        </w:tc>
        <w:tc>
          <w:tcPr>
            <w:tcW w:type="dxa" w:w="676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Target-specific overrides are stored separately and do not contaminate other renditions.</w:t>
            </w:r>
          </w:p>
        </w:tc>
      </w:tr>
      <w:tr>
        <w:trPr>
          <w:cantSplit w:val="true"/>
        </w:trPr>
        <w:tc>
          <w:tcPr>
            <w:tcW w:type="dxa" w:w="259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Fidelity can be hybrid</w:t>
            </w:r>
          </w:p>
        </w:tc>
        <w:tc>
          <w:tcPr>
            <w:tcW w:type="dxa" w:w="676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Complex equations, figures, and tables may remain atomic visual objects when semantic reflow would be misleading.</w:t>
            </w:r>
          </w:p>
        </w:tc>
      </w:tr>
    </w:tbl>
    <w:p>
      <w:pPr>
        <w:pStyle w:val="Heading1"/>
        <w:keepNext/>
        <w:keepLines/>
      </w:pPr>
      <w:r>
        <w:t>4. Terminology</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2664"/>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6"/>
              </w:rPr>
              <w:t>Term</w:t>
            </w:r>
          </w:p>
        </w:tc>
        <w:tc>
          <w:tcPr>
            <w:tcW w:type="dxa" w:w="6696"/>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6"/>
              </w:rPr>
              <w:t>Working definition</w:t>
            </w:r>
          </w:p>
        </w:tc>
      </w:tr>
      <w:tr>
        <w:trPr>
          <w:cantSplit w:val="true"/>
        </w:trPr>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Semantic node</w:t>
            </w:r>
          </w:p>
        </w:tc>
        <w:tc>
          <w:tcPr>
            <w:tcW w:type="dxa" w:w="669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A stable content object such as a paragraph, heading, figure, caption, equation, table, or reference.</w:t>
            </w:r>
          </w:p>
        </w:tc>
      </w:tr>
      <w:tr>
        <w:trPr>
          <w:cantSplit w:val="true"/>
        </w:trPr>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Relationship</w:t>
            </w:r>
          </w:p>
        </w:tc>
        <w:tc>
          <w:tcPr>
            <w:tcW w:type="dxa" w:w="669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An explicit link between nodes, such as caption-of, referenced-by, footnote-of, or follows.</w:t>
            </w:r>
          </w:p>
        </w:tc>
      </w:tr>
      <w:tr>
        <w:trPr>
          <w:cantSplit w:val="true"/>
        </w:trPr>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Canonical document graph</w:t>
            </w:r>
          </w:p>
        </w:tc>
        <w:tc>
          <w:tcPr>
            <w:tcW w:type="dxa" w:w="669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The presentation-independent source of truth containing nodes, relationships, source provenance, and permitted layout behavior.</w:t>
            </w:r>
          </w:p>
        </w:tc>
      </w:tr>
      <w:tr>
        <w:trPr>
          <w:cantSplit w:val="true"/>
        </w:trPr>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Layout capability</w:t>
            </w:r>
          </w:p>
        </w:tc>
        <w:tc>
          <w:tcPr>
            <w:tcW w:type="dxa" w:w="669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What a component is allowed to do: split, float, span columns, change variant, scale, or fall back.</w:t>
            </w:r>
          </w:p>
        </w:tc>
      </w:tr>
      <w:tr>
        <w:trPr>
          <w:cantSplit w:val="true"/>
        </w:trPr>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Target profile</w:t>
            </w:r>
          </w:p>
        </w:tc>
        <w:tc>
          <w:tcPr>
            <w:tcW w:type="dxa" w:w="669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The physical/logical dimensions, typography, column rules, interaction mode, and output constraints for one surface.</w:t>
            </w:r>
          </w:p>
        </w:tc>
      </w:tr>
      <w:tr>
        <w:trPr>
          <w:cantSplit w:val="true"/>
        </w:trPr>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Composition policy</w:t>
            </w:r>
          </w:p>
        </w:tc>
        <w:tc>
          <w:tcPr>
            <w:tcW w:type="dxa" w:w="669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Global rules that turn semantic content into a target-specific layout.</w:t>
            </w:r>
          </w:p>
        </w:tc>
      </w:tr>
      <w:tr>
        <w:trPr>
          <w:cantSplit w:val="true"/>
        </w:trPr>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Rendition</w:t>
            </w:r>
          </w:p>
        </w:tc>
        <w:tc>
          <w:tcPr>
            <w:tcW w:type="dxa" w:w="669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A computed arrangement of semantic nodes for one target and one layout configuration.</w:t>
            </w:r>
          </w:p>
        </w:tc>
      </w:tr>
      <w:tr>
        <w:trPr>
          <w:cantSplit w:val="true"/>
        </w:trPr>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Override</w:t>
            </w:r>
          </w:p>
        </w:tc>
        <w:tc>
          <w:tcPr>
            <w:tcW w:type="dxa" w:w="669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A non-destructive, target-specific exception such as moving a figure earlier or forcing a two-column span.</w:t>
            </w:r>
          </w:p>
        </w:tc>
      </w:tr>
      <w:tr>
        <w:trPr>
          <w:cantSplit w:val="true"/>
        </w:trPr>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Provenance map</w:t>
            </w:r>
          </w:p>
        </w:tc>
        <w:tc>
          <w:tcPr>
            <w:tcW w:type="dxa" w:w="669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A mapping from rendered nodes and text ranges back to their canonical source and, when available, original PDF coordinates.</w:t>
            </w:r>
          </w:p>
        </w:tc>
      </w:tr>
      <w:tr>
        <w:trPr>
          <w:cantSplit w:val="true"/>
        </w:trPr>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Semantic reading anchor</w:t>
            </w:r>
          </w:p>
        </w:tc>
        <w:tc>
          <w:tcPr>
            <w:tcW w:type="dxa" w:w="669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The node/text position representing the reader’s location independently of page number.</w:t>
            </w:r>
          </w:p>
        </w:tc>
      </w:tr>
      <w:tr>
        <w:trPr>
          <w:cantSplit w:val="true"/>
        </w:trPr>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Layout version</w:t>
            </w:r>
          </w:p>
        </w:tc>
        <w:tc>
          <w:tcPr>
            <w:tcW w:type="dxa" w:w="669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A cache key derived from document version, target profile, typography, policy, and overrides.</w:t>
            </w:r>
          </w:p>
        </w:tc>
      </w:tr>
    </w:tbl>
    <w:tbl>
      <w:tblPr>
        <w:tblW w:type="auto" w:w="0"/>
        <w:jc w:val="center"/>
        <w:tblLayout w:type="autofit"/>
        <w:tblLook w:firstColumn="1" w:firstRow="1" w:lastColumn="0" w:lastRow="0" w:noHBand="0" w:noVBand="1" w:val="04A0"/>
      </w:tblPr>
      <w:tblGrid>
        <w:gridCol w:w="9752"/>
      </w:tblGrid>
      <w:tr>
        <w:trPr>
          <w:cantSplit w:val="true"/>
        </w:trPr>
        <w:tc>
          <w:tcPr>
            <w:tcW w:type="dxa" w:w="9752"/>
            <w:shd w:fill="EEF4FA"/>
            <w:tcBorders>
              <w:top w:val="single" w:sz="8" w:color="1F2A44"/>
              <w:left w:val="single" w:sz="18" w:color="1F2A44"/>
              <w:bottom w:val="single" w:sz="8" w:color="1F2A44"/>
              <w:right w:val="single" w:sz="8" w:color="1F2A44"/>
            </w:tcBorders>
            <w:tcMar>
              <w:top w:w="150" w:type="dxa"/>
              <w:start w:w="170" w:type="dxa"/>
              <w:bottom w:w="150" w:type="dxa"/>
              <w:end w:w="170" w:type="dxa"/>
            </w:tcMar>
          </w:tcPr>
          <w:p>
            <w:pPr>
              <w:spacing w:after="80"/>
            </w:pPr>
            <w:r>
              <w:rPr>
                <w:rFonts w:ascii="Noto Sans" w:hAnsi="Noto Sans"/>
                <w:b/>
                <w:color w:val="222B35"/>
                <w:sz w:val="20"/>
              </w:rPr>
              <w:t>Naming note</w:t>
            </w:r>
          </w:p>
          <w:p>
            <w:pPr>
              <w:spacing w:after="0"/>
            </w:pPr>
            <w:r>
              <w:rPr>
                <w:rFonts w:ascii="Noto Sans" w:hAnsi="Noto Sans"/>
                <w:color w:val="222B35"/>
                <w:sz w:val="19"/>
              </w:rPr>
              <w:t>“Movable typesetting” is avoided because it strongly evokes historical movable type. “Responsive typography” is too narrow. The recommended umbrella term is Semantic Responsive Typesetting.</w:t>
            </w:r>
          </w:p>
        </w:tc>
      </w:tr>
    </w:tbl>
    <w:p>
      <w:pPr>
        <w:spacing w:after="0"/>
      </w:pPr>
    </w:p>
    <w:p>
      <w:pPr>
        <w:pStyle w:val="Heading1"/>
        <w:keepNext/>
        <w:keepLines/>
      </w:pPr>
      <w:r>
        <w:t>5. Users and jobs to be done</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2520"/>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User</w:t>
            </w:r>
          </w:p>
        </w:tc>
        <w:tc>
          <w:tcPr>
            <w:tcW w:type="dxa" w:w="6840"/>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Primary job</w:t>
            </w:r>
          </w:p>
        </w:tc>
      </w:tr>
      <w:tr>
        <w:trPr>
          <w:cantSplit w:val="true"/>
        </w:trPr>
        <w:tc>
          <w:tcPr>
            <w:tcW w:type="dxa" w:w="252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Publishing automation engineer</w:t>
            </w:r>
          </w:p>
        </w:tc>
        <w:tc>
          <w:tcPr>
            <w:tcW w:type="dxa" w:w="684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Ingest structured data once and reliably generate multiple target renditions without hand-authoring coordinates.</w:t>
            </w:r>
          </w:p>
        </w:tc>
      </w:tr>
      <w:tr>
        <w:trPr>
          <w:cantSplit w:val="true"/>
        </w:trPr>
        <w:tc>
          <w:tcPr>
            <w:tcW w:type="dxa" w:w="252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Designer / art director</w:t>
            </w:r>
          </w:p>
        </w:tc>
        <w:tc>
          <w:tcPr>
            <w:tcW w:type="dxa" w:w="684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Inspect layout decisions, refine exceptional cases, and keep changes isolated to the relevant target.</w:t>
            </w:r>
          </w:p>
        </w:tc>
      </w:tr>
      <w:tr>
        <w:trPr>
          <w:cantSplit w:val="true"/>
        </w:trPr>
        <w:tc>
          <w:tcPr>
            <w:tcW w:type="dxa" w:w="252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Active reader / researcher</w:t>
            </w:r>
          </w:p>
        </w:tc>
        <w:tc>
          <w:tcPr>
            <w:tcW w:type="dxa" w:w="684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Read and annotate the same document comfortably across differently shaped e-ink or digital surfaces.</w:t>
            </w:r>
          </w:p>
        </w:tc>
      </w:tr>
      <w:tr>
        <w:trPr>
          <w:cantSplit w:val="true"/>
        </w:trPr>
        <w:tc>
          <w:tcPr>
            <w:tcW w:type="dxa" w:w="252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Content operations / publisher</w:t>
            </w:r>
          </w:p>
        </w:tc>
        <w:tc>
          <w:tcPr>
            <w:tcW w:type="dxa" w:w="684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Maintain one source of truth, preserve provenance, and reduce duplicated print/digital production work.</w:t>
            </w:r>
          </w:p>
        </w:tc>
      </w:tr>
      <w:tr>
        <w:trPr>
          <w:cantSplit w:val="true"/>
        </w:trPr>
        <w:tc>
          <w:tcPr>
            <w:tcW w:type="dxa" w:w="252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Document/HCI researcher</w:t>
            </w:r>
          </w:p>
        </w:tc>
        <w:tc>
          <w:tcPr>
            <w:tcW w:type="dxa" w:w="684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Measure the effects of representation, viewport geometry, pagination, and annotation continuity.</w:t>
            </w:r>
          </w:p>
        </w:tc>
      </w:tr>
    </w:tbl>
    <w:p>
      <w:pPr>
        <w:pStyle w:val="Heading2"/>
        <w:keepNext/>
        <w:keepLines/>
      </w:pPr>
      <w:r>
        <w:t>Core jobs</w:t>
      </w:r>
    </w:p>
    <w:p>
      <w:pPr>
        <w:pStyle w:val="ListBullet"/>
      </w:pPr>
      <w:r>
        <w:rPr>
          <w:rFonts w:ascii="Noto Sans" w:hAnsi="Noto Sans"/>
          <w:color w:val="222B35"/>
          <w:sz w:val="20"/>
        </w:rPr>
        <w:t>When content or target dimensions change, recompute layout from retained intent rather than manually moving downstream objects.</w:t>
      </w:r>
    </w:p>
    <w:p>
      <w:pPr>
        <w:pStyle w:val="ListBullet"/>
      </w:pPr>
      <w:r>
        <w:rPr>
          <w:rFonts w:ascii="Noto Sans" w:hAnsi="Noto Sans"/>
          <w:color w:val="222B35"/>
          <w:sz w:val="20"/>
        </w:rPr>
        <w:t>When a figure moves, preserve its caption, references, identity, and source mapping.</w:t>
      </w:r>
    </w:p>
    <w:p>
      <w:pPr>
        <w:pStyle w:val="ListBullet"/>
      </w:pPr>
      <w:r>
        <w:rPr>
          <w:rFonts w:ascii="Noto Sans" w:hAnsi="Noto Sans"/>
          <w:color w:val="222B35"/>
          <w:sz w:val="20"/>
        </w:rPr>
        <w:t>When a reader changes device or typography, keep the same semantic position and annotations.</w:t>
      </w:r>
    </w:p>
    <w:p>
      <w:pPr>
        <w:pStyle w:val="ListBullet"/>
      </w:pPr>
      <w:r>
        <w:rPr>
          <w:rFonts w:ascii="Noto Sans" w:hAnsi="Noto Sans"/>
          <w:color w:val="222B35"/>
          <w:sz w:val="20"/>
        </w:rPr>
        <w:t>When a layout rule fails, expose the failure and fallback rather than silently clipping or dropping content.</w:t>
      </w:r>
    </w:p>
    <w:p>
      <w:pPr>
        <w:pStyle w:val="ListBullet"/>
      </w:pPr>
      <w:r>
        <w:rPr>
          <w:rFonts w:ascii="Noto Sans" w:hAnsi="Noto Sans"/>
          <w:color w:val="222B35"/>
          <w:sz w:val="20"/>
        </w:rPr>
        <w:t>When a designer overrides a rendition, record the decision so other targets remain unaffected.</w:t>
      </w:r>
    </w:p>
    <w:p>
      <w:pPr>
        <w:pStyle w:val="Heading1"/>
        <w:keepNext/>
        <w:keepLines/>
      </w:pPr>
      <w:r>
        <w:t>6. Scope</w:t>
      </w:r>
    </w:p>
    <w:p>
      <w:pPr>
        <w:pStyle w:val="Heading2"/>
        <w:keepNext/>
        <w:keepLines/>
      </w:pPr>
      <w:r>
        <w:t>MVP scope (P0)</w:t>
      </w:r>
    </w:p>
    <w:p>
      <w:pPr>
        <w:pStyle w:val="ListBullet"/>
      </w:pPr>
      <w:r>
        <w:rPr>
          <w:rFonts w:ascii="Noto Sans" w:hAnsi="Noto Sans"/>
          <w:color w:val="222B35"/>
          <w:sz w:val="20"/>
        </w:rPr>
        <w:t>One canonical scholarly article plus a small golden set of 3–5 articles for regression testing.</w:t>
      </w:r>
    </w:p>
    <w:p>
      <w:pPr>
        <w:pStyle w:val="ListBullet"/>
      </w:pPr>
      <w:r>
        <w:rPr>
          <w:rFonts w:ascii="Noto Sans" w:hAnsi="Noto Sans"/>
          <w:color w:val="222B35"/>
          <w:sz w:val="20"/>
        </w:rPr>
        <w:t>Structured input via canonical JSON; one JATS/HTML normalization path if feasible.</w:t>
      </w:r>
    </w:p>
    <w:p>
      <w:pPr>
        <w:pStyle w:val="ListBullet"/>
      </w:pPr>
      <w:r>
        <w:rPr>
          <w:rFonts w:ascii="Noto Sans" w:hAnsi="Noto Sans"/>
          <w:color w:val="222B35"/>
          <w:sz w:val="20"/>
        </w:rPr>
        <w:t>Supported nodes: title, author block, abstract, headings, paragraphs, lists, figures, captions, citations, references, simple tables, and display equations as atomic objects.</w:t>
      </w:r>
    </w:p>
    <w:p>
      <w:pPr>
        <w:pStyle w:val="ListBullet"/>
      </w:pPr>
      <w:r>
        <w:rPr>
          <w:rFonts w:ascii="Noto Sans" w:hAnsi="Noto Sans"/>
          <w:color w:val="222B35"/>
          <w:sz w:val="20"/>
        </w:rPr>
        <w:t>Four target profiles: A4 print, large 4:3 e-ink, small tall e-ink, and continuous mobile.</w:t>
      </w:r>
    </w:p>
    <w:p>
      <w:pPr>
        <w:pStyle w:val="ListBullet"/>
      </w:pPr>
      <w:r>
        <w:rPr>
          <w:rFonts w:ascii="Noto Sans" w:hAnsi="Noto Sans"/>
          <w:color w:val="222B35"/>
          <w:sz w:val="20"/>
        </w:rPr>
        <w:t>Rule-based responsive composition across width and finite height.</w:t>
      </w:r>
    </w:p>
    <w:p>
      <w:pPr>
        <w:pStyle w:val="ListBullet"/>
      </w:pPr>
      <w:r>
        <w:rPr>
          <w:rFonts w:ascii="Noto Sans" w:hAnsi="Noto Sans"/>
          <w:color w:val="222B35"/>
          <w:sz w:val="20"/>
        </w:rPr>
        <w:t>Text highlight and anchored note persistence across reflow.</w:t>
      </w:r>
    </w:p>
    <w:p>
      <w:pPr>
        <w:pStyle w:val="ListBullet"/>
      </w:pPr>
      <w:r>
        <w:rPr>
          <w:rFonts w:ascii="Noto Sans" w:hAnsi="Noto Sans"/>
          <w:color w:val="222B35"/>
          <w:sz w:val="20"/>
        </w:rPr>
        <w:t>Semantic reading-position preservation when switching profiles.</w:t>
      </w:r>
    </w:p>
    <w:p>
      <w:pPr>
        <w:pStyle w:val="ListBullet"/>
      </w:pPr>
      <w:r>
        <w:rPr>
          <w:rFonts w:ascii="Noto Sans" w:hAnsi="Noto Sans"/>
          <w:color w:val="222B35"/>
          <w:sz w:val="20"/>
        </w:rPr>
        <w:t>Interactive studio, layout manifest, diagnostics, and HTML/PDF/EPUB-oriented outputs.</w:t>
      </w:r>
    </w:p>
    <w:p>
      <w:pPr>
        <w:pStyle w:val="Heading2"/>
        <w:keepNext/>
        <w:keepLines/>
      </w:pPr>
      <w:r>
        <w:t>P1 extensions</w:t>
      </w:r>
    </w:p>
    <w:p>
      <w:pPr>
        <w:pStyle w:val="ListBullet"/>
      </w:pPr>
      <w:r>
        <w:rPr>
          <w:rFonts w:ascii="Noto Sans" w:hAnsi="Noto Sans"/>
          <w:color w:val="222B35"/>
          <w:sz w:val="20"/>
        </w:rPr>
        <w:t>Target-specific designer overrides for order, span, variant, and placement preference.</w:t>
      </w:r>
    </w:p>
    <w:p>
      <w:pPr>
        <w:pStyle w:val="ListBullet"/>
      </w:pPr>
      <w:r>
        <w:rPr>
          <w:rFonts w:ascii="Noto Sans" w:hAnsi="Noto Sans"/>
          <w:color w:val="222B35"/>
          <w:sz w:val="20"/>
        </w:rPr>
        <w:t>Bidirectional mapping to an original PDF when a source map exists.</w:t>
      </w:r>
    </w:p>
    <w:p>
      <w:pPr>
        <w:pStyle w:val="ListBullet"/>
      </w:pPr>
      <w:r>
        <w:rPr>
          <w:rFonts w:ascii="Noto Sans" w:hAnsi="Noto Sans"/>
          <w:color w:val="222B35"/>
          <w:sz w:val="20"/>
        </w:rPr>
        <w:t>Progressive composition queue: current region, nearby content, then distant content.</w:t>
      </w:r>
    </w:p>
    <w:p>
      <w:pPr>
        <w:pStyle w:val="ListBullet"/>
      </w:pPr>
      <w:r>
        <w:rPr>
          <w:rFonts w:ascii="Noto Sans" w:hAnsi="Noto Sans"/>
          <w:color w:val="222B35"/>
          <w:sz w:val="20"/>
        </w:rPr>
        <w:t>Responsive table variants and dedicated large-object views.</w:t>
      </w:r>
    </w:p>
    <w:p>
      <w:pPr>
        <w:pStyle w:val="ListBullet"/>
      </w:pPr>
      <w:r>
        <w:rPr>
          <w:rFonts w:ascii="Noto Sans" w:hAnsi="Noto Sans"/>
          <w:color w:val="222B35"/>
          <w:sz w:val="20"/>
        </w:rPr>
        <w:t>A basic freehand note attached to a semantic block with normalized local coordinates.</w:t>
      </w:r>
    </w:p>
    <w:p>
      <w:pPr>
        <w:pStyle w:val="Heading2"/>
        <w:keepNext/>
        <w:keepLines/>
      </w:pPr>
      <w:r>
        <w:t>Explicit non-goals for MVP</w:t>
      </w:r>
    </w:p>
    <w:p>
      <w:pPr>
        <w:pStyle w:val="ListBullet"/>
      </w:pPr>
      <w:r>
        <w:rPr>
          <w:rFonts w:ascii="Noto Sans" w:hAnsi="Noto Sans"/>
          <w:color w:val="222B35"/>
          <w:sz w:val="20"/>
        </w:rPr>
        <w:t>Perfect reconstruction of arbitrary PDFs or scanned documents.</w:t>
      </w:r>
    </w:p>
    <w:p>
      <w:pPr>
        <w:pStyle w:val="ListBullet"/>
      </w:pPr>
      <w:r>
        <w:rPr>
          <w:rFonts w:ascii="Noto Sans" w:hAnsi="Noto Sans"/>
          <w:color w:val="222B35"/>
          <w:sz w:val="20"/>
        </w:rPr>
        <w:t>A production CMS, collaborative editor, permissions model, or asset-management platform.</w:t>
      </w:r>
    </w:p>
    <w:p>
      <w:pPr>
        <w:pStyle w:val="ListBullet"/>
      </w:pPr>
      <w:r>
        <w:rPr>
          <w:rFonts w:ascii="Noto Sans" w:hAnsi="Noto Sans"/>
          <w:color w:val="222B35"/>
          <w:sz w:val="20"/>
        </w:rPr>
        <w:t>Full round-trip synchronization with Illustrator or InDesign.</w:t>
      </w:r>
    </w:p>
    <w:p>
      <w:pPr>
        <w:pStyle w:val="ListBullet"/>
      </w:pPr>
      <w:r>
        <w:rPr>
          <w:rFonts w:ascii="Noto Sans" w:hAnsi="Noto Sans"/>
          <w:color w:val="222B35"/>
          <w:sz w:val="20"/>
        </w:rPr>
        <w:t>Semantic editing of arbitrary equations and complex multi-panel scientific figures.</w:t>
      </w:r>
    </w:p>
    <w:p>
      <w:pPr>
        <w:pStyle w:val="ListBullet"/>
      </w:pPr>
      <w:r>
        <w:rPr>
          <w:rFonts w:ascii="Noto Sans" w:hAnsi="Noto Sans"/>
          <w:color w:val="222B35"/>
          <w:sz w:val="20"/>
        </w:rPr>
        <w:t>Perfect deformation of freehand ink spanning several reflowed blocks.</w:t>
      </w:r>
    </w:p>
    <w:p>
      <w:pPr>
        <w:pStyle w:val="ListBullet"/>
      </w:pPr>
      <w:r>
        <w:rPr>
          <w:rFonts w:ascii="Noto Sans" w:hAnsi="Noto Sans"/>
          <w:color w:val="222B35"/>
          <w:sz w:val="20"/>
        </w:rPr>
        <w:t>AI-authored summaries, silent content compression, or generative aesthetic optimization.</w:t>
      </w:r>
    </w:p>
    <w:p>
      <w:pPr>
        <w:pStyle w:val="ListBullet"/>
      </w:pPr>
      <w:r>
        <w:rPr>
          <w:rFonts w:ascii="Noto Sans" w:hAnsi="Noto Sans"/>
          <w:color w:val="222B35"/>
          <w:sz w:val="20"/>
        </w:rPr>
        <w:t>Support for every EPUB/CSS/PDF edge case or every e-reader implementation.</w:t>
      </w:r>
    </w:p>
    <w:p>
      <w:pPr>
        <w:pStyle w:val="Heading1"/>
        <w:keepNext/>
        <w:keepLines/>
      </w:pPr>
      <w:r>
        <w:t>7. Golden-path demo</w:t>
      </w:r>
    </w:p>
    <w:p>
      <w:pPr>
        <w:pStyle w:val="BodyText"/>
      </w:pPr>
      <w:r>
        <w:rPr>
          <w:rFonts w:ascii="Noto Sans" w:hAnsi="Noto Sans"/>
          <w:i w:val="0"/>
          <w:color w:val="222B35"/>
          <w:sz w:val="20"/>
        </w:rPr>
        <w:t>The live demonstration is the most important POC artifact. It should make the architecture visible without requiring the audience to read the source code.</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1584"/>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Step</w:t>
            </w:r>
          </w:p>
        </w:tc>
        <w:tc>
          <w:tcPr>
            <w:tcW w:type="dxa" w:w="7776"/>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Expected behavior</w:t>
            </w:r>
          </w:p>
        </w:tc>
      </w:tr>
      <w:tr>
        <w:trPr>
          <w:cantSplit w:val="true"/>
        </w:trPr>
        <w:tc>
          <w:tcPr>
            <w:tcW w:type="dxa" w:w="15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1. Load</w:t>
            </w:r>
          </w:p>
        </w:tc>
        <w:tc>
          <w:tcPr>
            <w:tcW w:type="dxa" w:w="77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Open one structured paper. Show its semantic outline and source provenance.</w:t>
            </w:r>
          </w:p>
        </w:tc>
      </w:tr>
      <w:tr>
        <w:trPr>
          <w:cantSplit w:val="true"/>
        </w:trPr>
        <w:tc>
          <w:tcPr>
            <w:tcW w:type="dxa" w:w="15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2. Compose</w:t>
            </w:r>
          </w:p>
        </w:tc>
        <w:tc>
          <w:tcPr>
            <w:tcW w:type="dxa" w:w="77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Render it in the large e-ink profile with stable node IDs and a layout manifest.</w:t>
            </w:r>
          </w:p>
        </w:tc>
      </w:tr>
      <w:tr>
        <w:trPr>
          <w:cantSplit w:val="true"/>
        </w:trPr>
        <w:tc>
          <w:tcPr>
            <w:tcW w:type="dxa" w:w="15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3. Switch target</w:t>
            </w:r>
          </w:p>
        </w:tc>
        <w:tc>
          <w:tcPr>
            <w:tcW w:type="dxa" w:w="77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Change to the small tall profile. Text rewraps, figures change placement, captions remain attached, and the current sentence stays in view.</w:t>
            </w:r>
          </w:p>
        </w:tc>
      </w:tr>
      <w:tr>
        <w:trPr>
          <w:cantSplit w:val="true"/>
        </w:trPr>
        <w:tc>
          <w:tcPr>
            <w:tcW w:type="dxa" w:w="15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4. Resize</w:t>
            </w:r>
          </w:p>
        </w:tc>
        <w:tc>
          <w:tcPr>
            <w:tcW w:type="dxa" w:w="77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Adjust width, height, and font size. The layout recomposes without mutating source content.</w:t>
            </w:r>
          </w:p>
        </w:tc>
      </w:tr>
      <w:tr>
        <w:trPr>
          <w:cantSplit w:val="true"/>
        </w:trPr>
        <w:tc>
          <w:tcPr>
            <w:tcW w:type="dxa" w:w="15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5. Annotate</w:t>
            </w:r>
          </w:p>
        </w:tc>
        <w:tc>
          <w:tcPr>
            <w:tcW w:type="dxa" w:w="77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Highlight a sentence and attach a note.</w:t>
            </w:r>
          </w:p>
        </w:tc>
      </w:tr>
      <w:tr>
        <w:trPr>
          <w:cantSplit w:val="true"/>
        </w:trPr>
        <w:tc>
          <w:tcPr>
            <w:tcW w:type="dxa" w:w="15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6. Reflow again</w:t>
            </w:r>
          </w:p>
        </w:tc>
        <w:tc>
          <w:tcPr>
            <w:tcW w:type="dxa" w:w="77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Change target or typography. The highlight remains on the same text and the note remains attached to the same semantic node.</w:t>
            </w:r>
          </w:p>
        </w:tc>
      </w:tr>
      <w:tr>
        <w:trPr>
          <w:cantSplit w:val="true"/>
        </w:trPr>
        <w:tc>
          <w:tcPr>
            <w:tcW w:type="dxa" w:w="15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7. Inspect</w:t>
            </w:r>
          </w:p>
        </w:tc>
        <w:tc>
          <w:tcPr>
            <w:tcW w:type="dxa" w:w="77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Select a rendered object and view its node ID, constraints, source, chosen variant, page, and any fallback.</w:t>
            </w:r>
          </w:p>
        </w:tc>
      </w:tr>
      <w:tr>
        <w:trPr>
          <w:cantSplit w:val="true"/>
        </w:trPr>
        <w:tc>
          <w:tcPr>
            <w:tcW w:type="dxa" w:w="15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8. Override</w:t>
            </w:r>
          </w:p>
        </w:tc>
        <w:tc>
          <w:tcPr>
            <w:tcW w:type="dxa" w:w="77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For A4 only, force one figure to span two columns or move earlier. Other targets remain unchanged.</w:t>
            </w:r>
          </w:p>
        </w:tc>
      </w:tr>
      <w:tr>
        <w:trPr>
          <w:cantSplit w:val="true"/>
        </w:trPr>
        <w:tc>
          <w:tcPr>
            <w:tcW w:type="dxa" w:w="15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9. Export</w:t>
            </w:r>
          </w:p>
        </w:tc>
        <w:tc>
          <w:tcPr>
            <w:tcW w:type="dxa" w:w="77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Export at least paginated PDF and reflowable HTML/EPUB artifacts plus the layout manifest.</w:t>
            </w:r>
          </w:p>
        </w:tc>
      </w:tr>
    </w:tbl>
    <w:p>
      <w:pPr>
        <w:pStyle w:val="Heading2"/>
        <w:keepNext/>
        <w:keepLines/>
      </w:pPr>
      <w:r>
        <w:t>Required visual contrast between targets</w:t>
      </w:r>
    </w:p>
    <w:tbl>
      <w:tblPr>
        <w:tblW w:type="auto" w:w="0"/>
        <w:jc w:val="center"/>
        <w:tblLook w:firstColumn="1" w:firstRow="1" w:lastColumn="0" w:lastRow="0" w:noHBand="0" w:noVBand="1" w:val="04A0"/>
      </w:tblPr>
      <w:tblGrid>
        <w:gridCol w:w="9752"/>
      </w:tblGrid>
      <w:tr>
        <w:trPr>
          <w:cantSplit w:val="true"/>
        </w:trPr>
        <w:tc>
          <w:tcPr>
            <w:tcW w:type="dxa" w:w="9752"/>
            <w:shd w:fill="F7F8FA"/>
            <w:tcBorders>
              <w:top w:val="single" w:sz="5" w:color="D6DCE4"/>
              <w:left w:val="single" w:sz="5" w:color="D6DCE4"/>
              <w:bottom w:val="single" w:sz="5" w:color="D6DCE4"/>
              <w:right w:val="single" w:sz="5" w:color="D6DCE4"/>
            </w:tcBorders>
            <w:tcMar>
              <w:top w:w="130" w:type="dxa"/>
              <w:start w:w="140" w:type="dxa"/>
              <w:bottom w:w="130" w:type="dxa"/>
              <w:end w:w="140" w:type="dxa"/>
            </w:tcMar>
          </w:tcPr>
          <w:p>
            <w:pPr>
              <w:spacing w:after="0" w:line="240" w:lineRule="auto"/>
            </w:pPr>
            <w:r>
              <w:rPr>
                <w:rFonts w:ascii="DejaVu Sans Mono" w:hAnsi="DejaVu Sans Mono"/>
                <w:color w:val="24313A"/>
                <w:sz w:val="16"/>
              </w:rPr>
              <w:t>Large paper-like surface</w:t>
              <w:br/>
              <w:t>┌─────────────────────────────────┐</w:t>
              <w:br/>
              <w:t>│ title                           │</w:t>
              <w:br/>
              <w:t>├────────────────┬────────────────┤</w:t>
              <w:br/>
              <w:t>│ body text      │ figure         │</w:t>
              <w:br/>
              <w:t>│ body text      │ caption        │</w:t>
              <w:br/>
              <w:t>│ body text      │                │</w:t>
              <w:br/>
              <w:t>└────────────────┴────────────────┘</w:t>
              <w:br/>
              <w:br/>
              <w:t>Small tall surface</w:t>
              <w:br/>
              <w:t>┌────────────────┐</w:t>
              <w:br/>
              <w:t>│ title          │</w:t>
              <w:br/>
              <w:t>├────────────────┤</w:t>
              <w:br/>
              <w:t>│ body text      │</w:t>
              <w:br/>
              <w:t>│ body text      │</w:t>
              <w:br/>
              <w:t>├────────────────┤</w:t>
              <w:br/>
              <w:t>│ figure         │</w:t>
              <w:br/>
              <w:t>│ caption        │</w:t>
              <w:br/>
              <w:t>├────────────────┤</w:t>
              <w:br/>
              <w:t>│ body text      │</w:t>
              <w:br/>
              <w:t>└────────────────┘</w:t>
            </w:r>
          </w:p>
        </w:tc>
      </w:tr>
    </w:tbl>
    <w:p>
      <w:pPr>
        <w:pStyle w:val="Heading1"/>
        <w:keepNext/>
        <w:keepLines/>
      </w:pPr>
      <w:r>
        <w:t>8. Functional requirements</w:t>
      </w:r>
    </w:p>
    <w:tbl>
      <w:tblPr>
        <w:tblW w:type="auto" w:w="0"/>
        <w:jc w:val="center"/>
        <w:tblLayout w:type="fixed"/>
        <w:tblLook w:firstColumn="1" w:firstRow="1" w:lastColumn="0" w:lastRow="0" w:noHBand="0" w:noVBand="1" w:val="04A0"/>
      </w:tblPr>
      <w:tblGrid>
        <w:gridCol w:w="3251"/>
        <w:gridCol w:w="3251"/>
        <w:gridCol w:w="3251"/>
      </w:tblGrid>
      <w:tr>
        <w:trPr>
          <w:tblHeader w:val="true"/>
          <w:cantSplit w:val="true"/>
        </w:trPr>
        <w:tc>
          <w:tcPr>
            <w:tcW w:type="dxa" w:w="1872"/>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5"/>
              </w:rPr>
              <w:t>ID</w:t>
            </w:r>
          </w:p>
        </w:tc>
        <w:tc>
          <w:tcPr>
            <w:tcW w:type="dxa" w:w="4824"/>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5"/>
              </w:rPr>
              <w:t>Requirement</w:t>
            </w:r>
          </w:p>
        </w:tc>
        <w:tc>
          <w:tcPr>
            <w:tcW w:type="dxa" w:w="2664"/>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5"/>
              </w:rPr>
              <w:t>Acceptance signal</w:t>
            </w:r>
          </w:p>
        </w:tc>
      </w:tr>
      <w:tr>
        <w:trPr>
          <w:cantSplit w:val="true"/>
        </w:trPr>
        <w:tc>
          <w:tcPr>
            <w:tcW w:type="dxa" w:w="18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FR-01 · Canonical graph</w:t>
            </w:r>
          </w:p>
        </w:tc>
        <w:tc>
          <w:tcPr>
            <w:tcW w:type="dxa" w:w="482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Validate a presentation-independent graph with stable IDs, node types, child order, relationships, layout capabilities, and source provenance.</w:t>
            </w:r>
          </w:p>
        </w:tc>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Same node IDs and content hashes appear in every rendition.</w:t>
            </w:r>
          </w:p>
        </w:tc>
      </w:tr>
      <w:tr>
        <w:trPr>
          <w:cantSplit w:val="true"/>
        </w:trPr>
        <w:tc>
          <w:tcPr>
            <w:tcW w:type="dxa" w:w="18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FR-02 · Normalization</w:t>
            </w:r>
          </w:p>
        </w:tc>
        <w:tc>
          <w:tcPr>
            <w:tcW w:type="dxa" w:w="482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Import the golden document into the canonical graph from JSON, and preferably from one structured scholarly format.</w:t>
            </w:r>
          </w:p>
        </w:tc>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Fixture validates with no manual coordinates in content nodes.</w:t>
            </w:r>
          </w:p>
        </w:tc>
      </w:tr>
      <w:tr>
        <w:trPr>
          <w:cantSplit w:val="true"/>
        </w:trPr>
        <w:tc>
          <w:tcPr>
            <w:tcW w:type="dxa" w:w="18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FR-03 · Width + height composition</w:t>
            </w:r>
          </w:p>
        </w:tc>
        <w:tc>
          <w:tcPr>
            <w:tcW w:type="dxa" w:w="482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Compose text and visual components using available width, finite height, typography, columns, keep rules, fragmentation, and object constraints.</w:t>
            </w:r>
          </w:p>
        </w:tc>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No clipping/overlap; headings, captions, and atomic objects obey declared rules.</w:t>
            </w:r>
          </w:p>
        </w:tc>
      </w:tr>
      <w:tr>
        <w:trPr>
          <w:cantSplit w:val="true"/>
        </w:trPr>
        <w:tc>
          <w:tcPr>
            <w:tcW w:type="dxa" w:w="18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FR-04 · Target profiles</w:t>
            </w:r>
          </w:p>
        </w:tc>
        <w:tc>
          <w:tcPr>
            <w:tcW w:type="dxa" w:w="482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Switch among named profiles without changing canonical content.</w:t>
            </w:r>
          </w:p>
        </w:tc>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All four profiles render from one source and one policy set.</w:t>
            </w:r>
          </w:p>
        </w:tc>
      </w:tr>
      <w:tr>
        <w:trPr>
          <w:cantSplit w:val="true"/>
        </w:trPr>
        <w:tc>
          <w:tcPr>
            <w:tcW w:type="dxa" w:w="18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FR-05 · Component variants</w:t>
            </w:r>
          </w:p>
        </w:tc>
        <w:tc>
          <w:tcPr>
            <w:tcW w:type="dxa" w:w="482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Select permitted variants by target, such as side-by-side, full-width, compact, or dedicated view.</w:t>
            </w:r>
          </w:p>
        </w:tc>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Chosen variant is visible in diagnostics and manifest.</w:t>
            </w:r>
          </w:p>
        </w:tc>
      </w:tr>
      <w:tr>
        <w:trPr>
          <w:cantSplit w:val="true"/>
        </w:trPr>
        <w:tc>
          <w:tcPr>
            <w:tcW w:type="dxa" w:w="18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FR-06 · Stable reading anchor</w:t>
            </w:r>
          </w:p>
        </w:tc>
        <w:tc>
          <w:tcPr>
            <w:tcW w:type="dxa" w:w="482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Represent reader position by node and text offset rather than page number.</w:t>
            </w:r>
          </w:p>
        </w:tc>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Profile changes retain the same sentence within the visible region.</w:t>
            </w:r>
          </w:p>
        </w:tc>
      </w:tr>
      <w:tr>
        <w:trPr>
          <w:cantSplit w:val="true"/>
        </w:trPr>
        <w:tc>
          <w:tcPr>
            <w:tcW w:type="dxa" w:w="18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FR-07 · Annotation anchoring</w:t>
            </w:r>
          </w:p>
        </w:tc>
        <w:tc>
          <w:tcPr>
            <w:tcW w:type="dxa" w:w="482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Store highlights as semantic text ranges with exact quote/context and store notes against a node or text range.</w:t>
            </w:r>
          </w:p>
        </w:tc>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A highlight remains on the exact source words after layout changes.</w:t>
            </w:r>
          </w:p>
        </w:tc>
      </w:tr>
      <w:tr>
        <w:trPr>
          <w:cantSplit w:val="true"/>
        </w:trPr>
        <w:tc>
          <w:tcPr>
            <w:tcW w:type="dxa" w:w="18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FR-08 · Geometry cache</w:t>
            </w:r>
          </w:p>
        </w:tc>
        <w:tc>
          <w:tcPr>
            <w:tcW w:type="dxa" w:w="482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Treat page rectangles and annotation boxes as layout-versioned derived data.</w:t>
            </w:r>
          </w:p>
        </w:tc>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Changing target invalidates geometry without changing the canonical annotation.</w:t>
            </w:r>
          </w:p>
        </w:tc>
      </w:tr>
      <w:tr>
        <w:trPr>
          <w:cantSplit w:val="true"/>
        </w:trPr>
        <w:tc>
          <w:tcPr>
            <w:tcW w:type="dxa" w:w="18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FR-09 · Provenance</w:t>
            </w:r>
          </w:p>
        </w:tc>
        <w:tc>
          <w:tcPr>
            <w:tcW w:type="dxa" w:w="482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Map rendered nodes/text spans back to canonical source and optional original PDF boxes.</w:t>
            </w:r>
          </w:p>
        </w:tc>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Selecting a rendered node reveals its source reference.</w:t>
            </w:r>
          </w:p>
        </w:tc>
      </w:tr>
      <w:tr>
        <w:trPr>
          <w:cantSplit w:val="true"/>
        </w:trPr>
        <w:tc>
          <w:tcPr>
            <w:tcW w:type="dxa" w:w="18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FR-10 · Fallbacks</w:t>
            </w:r>
          </w:p>
        </w:tc>
        <w:tc>
          <w:tcPr>
            <w:tcW w:type="dxa" w:w="482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Use explicit atomic visual fallbacks for content that cannot be safely reflowed.</w:t>
            </w:r>
          </w:p>
        </w:tc>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Fallbacks are labelled; mandatory content is never silently omitted.</w:t>
            </w:r>
          </w:p>
        </w:tc>
      </w:tr>
      <w:tr>
        <w:trPr>
          <w:cantSplit w:val="true"/>
        </w:trPr>
        <w:tc>
          <w:tcPr>
            <w:tcW w:type="dxa" w:w="18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FR-11 · Overrides</w:t>
            </w:r>
          </w:p>
        </w:tc>
        <w:tc>
          <w:tcPr>
            <w:tcW w:type="dxa" w:w="482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Store target-specific placement/variant overrides separately from content.</w:t>
            </w:r>
          </w:p>
        </w:tc>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A print-only override does not alter e-ink or mobile outputs.</w:t>
            </w:r>
          </w:p>
        </w:tc>
      </w:tr>
      <w:tr>
        <w:trPr>
          <w:cantSplit w:val="true"/>
        </w:trPr>
        <w:tc>
          <w:tcPr>
            <w:tcW w:type="dxa" w:w="18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FR-12 · Progressive composition</w:t>
            </w:r>
          </w:p>
        </w:tc>
        <w:tc>
          <w:tcPr>
            <w:tcW w:type="dxa" w:w="482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Support or simulate priority composition for the current anchor, nearby nodes, then distant nodes.</w:t>
            </w:r>
          </w:p>
        </w:tc>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The first stable viewport can render before final page count is available.</w:t>
            </w:r>
          </w:p>
        </w:tc>
      </w:tr>
      <w:tr>
        <w:trPr>
          <w:cantSplit w:val="true"/>
        </w:trPr>
        <w:tc>
          <w:tcPr>
            <w:tcW w:type="dxa" w:w="18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FR-13 · Outputs</w:t>
            </w:r>
          </w:p>
        </w:tc>
        <w:tc>
          <w:tcPr>
            <w:tcW w:type="dxa" w:w="482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Produce continuous HTML, paginated output, PDF, EPUB-oriented package, and a machine-readable layout manifest.</w:t>
            </w:r>
          </w:p>
        </w:tc>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All outputs reference stable semantic IDs.</w:t>
            </w:r>
          </w:p>
        </w:tc>
      </w:tr>
      <w:tr>
        <w:trPr>
          <w:cantSplit w:val="true"/>
        </w:trPr>
        <w:tc>
          <w:tcPr>
            <w:tcW w:type="dxa" w:w="18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FR-14 · Inspection studio</w:t>
            </w:r>
          </w:p>
        </w:tc>
        <w:tc>
          <w:tcPr>
            <w:tcW w:type="dxa" w:w="482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Provide profile controls, document outline, diagnostics, source mapping, and layout/fallback inspection.</w:t>
            </w:r>
          </w:p>
        </w:tc>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The golden-path demo can be completed without developer tools.</w:t>
            </w:r>
          </w:p>
        </w:tc>
      </w:tr>
      <w:tr>
        <w:trPr>
          <w:cantSplit w:val="true"/>
        </w:trPr>
        <w:tc>
          <w:tcPr>
            <w:tcW w:type="dxa" w:w="18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FR-15 · Regression harness</w:t>
            </w:r>
          </w:p>
        </w:tc>
        <w:tc>
          <w:tcPr>
            <w:tcW w:type="dxa" w:w="482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Snapshot structure, layout manifest, and rendered views for the golden set.</w:t>
            </w:r>
          </w:p>
        </w:tc>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5"/>
              </w:rPr>
              <w:t>Changes produce deterministic diffs and fail on overflow or missing nodes.</w:t>
            </w:r>
          </w:p>
        </w:tc>
      </w:tr>
    </w:tbl>
    <w:p>
      <w:pPr>
        <w:pStyle w:val="Heading1"/>
        <w:keepNext/>
        <w:keepLines/>
      </w:pPr>
      <w:r>
        <w:t>9. Non-functional requirements</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2088"/>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Area</w:t>
            </w:r>
          </w:p>
        </w:tc>
        <w:tc>
          <w:tcPr>
            <w:tcW w:type="dxa" w:w="7272"/>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Requirement</w:t>
            </w:r>
          </w:p>
        </w:tc>
      </w:tr>
      <w:tr>
        <w:trPr>
          <w:cantSplit w:val="true"/>
        </w:trPr>
        <w:tc>
          <w:tcPr>
            <w:tcW w:type="dxa" w:w="208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Determinism</w:t>
            </w:r>
          </w:p>
        </w:tc>
        <w:tc>
          <w:tcPr>
            <w:tcW w:type="dxa" w:w="72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The same document, target, policy, typography, and overrides must produce the same semantic order and layout manifest.</w:t>
            </w:r>
          </w:p>
        </w:tc>
      </w:tr>
      <w:tr>
        <w:trPr>
          <w:cantSplit w:val="true"/>
        </w:trPr>
        <w:tc>
          <w:tcPr>
            <w:tcW w:type="dxa" w:w="208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Fidelity</w:t>
            </w:r>
          </w:p>
        </w:tc>
        <w:tc>
          <w:tcPr>
            <w:tcW w:type="dxa" w:w="72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No mandatory text, figure, caption, citation, or reference may disappear without an explicit, inspectable rule.</w:t>
            </w:r>
          </w:p>
        </w:tc>
      </w:tr>
      <w:tr>
        <w:trPr>
          <w:cantSplit w:val="true"/>
        </w:trPr>
        <w:tc>
          <w:tcPr>
            <w:tcW w:type="dxa" w:w="208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Explainability</w:t>
            </w:r>
          </w:p>
        </w:tc>
        <w:tc>
          <w:tcPr>
            <w:tcW w:type="dxa" w:w="72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Every move, variant, fallback, and failed constraint should be attributable to a named rule or override.</w:t>
            </w:r>
          </w:p>
        </w:tc>
      </w:tr>
      <w:tr>
        <w:trPr>
          <w:cantSplit w:val="true"/>
        </w:trPr>
        <w:tc>
          <w:tcPr>
            <w:tcW w:type="dxa" w:w="208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Performance</w:t>
            </w:r>
          </w:p>
        </w:tc>
        <w:tc>
          <w:tcPr>
            <w:tcW w:type="dxa" w:w="72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Use a benchmark harness. Provisional POC targets: ≤1 s median to first stable viewport and ≤5 s full composition for a roughly 20-page article on the reference development machine.</w:t>
            </w:r>
          </w:p>
        </w:tc>
      </w:tr>
      <w:tr>
        <w:trPr>
          <w:cantSplit w:val="true"/>
        </w:trPr>
        <w:tc>
          <w:tcPr>
            <w:tcW w:type="dxa" w:w="208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Accessibility</w:t>
            </w:r>
          </w:p>
        </w:tc>
        <w:tc>
          <w:tcPr>
            <w:tcW w:type="dxa" w:w="72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Preserve logical reading order, headings, alternative text where available, and keyboard-accessible navigation in HTML outputs.</w:t>
            </w:r>
          </w:p>
        </w:tc>
      </w:tr>
      <w:tr>
        <w:trPr>
          <w:cantSplit w:val="true"/>
        </w:trPr>
        <w:tc>
          <w:tcPr>
            <w:tcW w:type="dxa" w:w="208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Modularity</w:t>
            </w:r>
          </w:p>
        </w:tc>
        <w:tc>
          <w:tcPr>
            <w:tcW w:type="dxa" w:w="72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Inputs, canonical schema, composition, annotation anchoring, and exporters must be separable packages.</w:t>
            </w:r>
          </w:p>
        </w:tc>
      </w:tr>
      <w:tr>
        <w:trPr>
          <w:cantSplit w:val="true"/>
        </w:trPr>
        <w:tc>
          <w:tcPr>
            <w:tcW w:type="dxa" w:w="208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Offline capability</w:t>
            </w:r>
          </w:p>
        </w:tc>
        <w:tc>
          <w:tcPr>
            <w:tcW w:type="dxa" w:w="72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The golden demo should run locally without network calls once dependencies and fixtures are installed.</w:t>
            </w:r>
          </w:p>
        </w:tc>
      </w:tr>
      <w:tr>
        <w:trPr>
          <w:cantSplit w:val="true"/>
        </w:trPr>
        <w:tc>
          <w:tcPr>
            <w:tcW w:type="dxa" w:w="208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Testability</w:t>
            </w:r>
          </w:p>
        </w:tc>
        <w:tc>
          <w:tcPr>
            <w:tcW w:type="dxa" w:w="72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Structural assertions and screenshots must cover all target profiles in the golden set.</w:t>
            </w:r>
          </w:p>
        </w:tc>
      </w:tr>
      <w:tr>
        <w:trPr>
          <w:cantSplit w:val="true"/>
        </w:trPr>
        <w:tc>
          <w:tcPr>
            <w:tcW w:type="dxa" w:w="208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Observability</w:t>
            </w:r>
          </w:p>
        </w:tc>
        <w:tc>
          <w:tcPr>
            <w:tcW w:type="dxa" w:w="72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Log layout version, composition timing, fallback count, overflow, and constraint violations.</w:t>
            </w:r>
          </w:p>
        </w:tc>
      </w:tr>
      <w:tr>
        <w:trPr>
          <w:cantSplit w:val="true"/>
        </w:trPr>
        <w:tc>
          <w:tcPr>
            <w:tcW w:type="dxa" w:w="208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No hidden mutation</w:t>
            </w:r>
          </w:p>
        </w:tc>
        <w:tc>
          <w:tcPr>
            <w:tcW w:type="dxa" w:w="72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Rendering and overrides must never rewrite canonical source nodes in place.</w:t>
            </w:r>
          </w:p>
        </w:tc>
      </w:tr>
    </w:tbl>
    <w:tbl>
      <w:tblPr>
        <w:tblW w:type="auto" w:w="0"/>
        <w:jc w:val="center"/>
        <w:tblLayout w:type="autofit"/>
        <w:tblLook w:firstColumn="1" w:firstRow="1" w:lastColumn="0" w:lastRow="0" w:noHBand="0" w:noVBand="1" w:val="04A0"/>
      </w:tblPr>
      <w:tblGrid>
        <w:gridCol w:w="9752"/>
      </w:tblGrid>
      <w:tr>
        <w:trPr>
          <w:cantSplit w:val="true"/>
        </w:trPr>
        <w:tc>
          <w:tcPr>
            <w:tcW w:type="dxa" w:w="9752"/>
            <w:shd w:fill="FFF4D6"/>
            <w:tcBorders>
              <w:top w:val="single" w:sz="8" w:color="D99816"/>
              <w:left w:val="single" w:sz="18" w:color="D99816"/>
              <w:bottom w:val="single" w:sz="8" w:color="D99816"/>
              <w:right w:val="single" w:sz="8" w:color="D99816"/>
            </w:tcBorders>
            <w:tcMar>
              <w:top w:w="150" w:type="dxa"/>
              <w:start w:w="170" w:type="dxa"/>
              <w:bottom w:w="150" w:type="dxa"/>
              <w:end w:w="170" w:type="dxa"/>
            </w:tcMar>
          </w:tcPr>
          <w:p>
            <w:pPr>
              <w:spacing w:after="80"/>
            </w:pPr>
            <w:r>
              <w:rPr>
                <w:rFonts w:ascii="Noto Sans" w:hAnsi="Noto Sans"/>
                <w:b/>
                <w:color w:val="222B35"/>
                <w:sz w:val="20"/>
              </w:rPr>
              <w:t>Performance note</w:t>
            </w:r>
          </w:p>
          <w:p>
            <w:pPr>
              <w:spacing w:after="0"/>
            </w:pPr>
            <w:r>
              <w:rPr>
                <w:rFonts w:ascii="Noto Sans" w:hAnsi="Noto Sans"/>
                <w:color w:val="222B35"/>
                <w:sz w:val="19"/>
              </w:rPr>
              <w:t>The numeric targets are provisional baselines, not promises. The agent should measure a simple implementation first, document the reference machine, and revise only with evidence.</w:t>
            </w:r>
          </w:p>
        </w:tc>
      </w:tr>
    </w:tbl>
    <w:p>
      <w:pPr>
        <w:spacing w:after="0"/>
      </w:pPr>
    </w:p>
    <w:p>
      <w:pPr>
        <w:pStyle w:val="Heading1"/>
        <w:keepNext/>
        <w:keepLines/>
      </w:pPr>
      <w:r>
        <w:t>10. Canonical data model</w:t>
      </w:r>
    </w:p>
    <w:p>
      <w:pPr>
        <w:pStyle w:val="BodyText"/>
      </w:pPr>
      <w:r>
        <w:rPr>
          <w:rFonts w:ascii="Noto Sans" w:hAnsi="Noto Sans"/>
          <w:i w:val="0"/>
          <w:color w:val="222B35"/>
          <w:sz w:val="20"/>
        </w:rPr>
        <w:t>The canonical model should be a validated semantic graph. It may be serialized as JSON for the POC and inspired by JATS concepts, but it should remain smaller than the full standard. TeX, EPUB, HTML, and PDF are inputs or renditions—not the source of truth.</w:t>
      </w:r>
    </w:p>
    <w:p>
      <w:pPr>
        <w:pStyle w:val="Heading2"/>
        <w:keepNext/>
        <w:keepLines/>
      </w:pPr>
      <w:r>
        <w:t>Minimum node shape</w:t>
      </w:r>
    </w:p>
    <w:tbl>
      <w:tblPr>
        <w:tblW w:type="auto" w:w="0"/>
        <w:jc w:val="center"/>
        <w:tblLook w:firstColumn="1" w:firstRow="1" w:lastColumn="0" w:lastRow="0" w:noHBand="0" w:noVBand="1" w:val="04A0"/>
      </w:tblPr>
      <w:tblGrid>
        <w:gridCol w:w="9752"/>
      </w:tblGrid>
      <w:tr>
        <w:trPr>
          <w:cantSplit w:val="true"/>
        </w:trPr>
        <w:tc>
          <w:tcPr>
            <w:tcW w:type="dxa" w:w="9752"/>
            <w:shd w:fill="F7F8FA"/>
            <w:tcBorders>
              <w:top w:val="single" w:sz="5" w:color="D6DCE4"/>
              <w:left w:val="single" w:sz="5" w:color="D6DCE4"/>
              <w:bottom w:val="single" w:sz="5" w:color="D6DCE4"/>
              <w:right w:val="single" w:sz="5" w:color="D6DCE4"/>
            </w:tcBorders>
            <w:tcMar>
              <w:top w:w="130" w:type="dxa"/>
              <w:start w:w="140" w:type="dxa"/>
              <w:bottom w:w="130" w:type="dxa"/>
              <w:end w:w="140" w:type="dxa"/>
            </w:tcMar>
          </w:tcPr>
          <w:p>
            <w:pPr>
              <w:spacing w:after="0" w:line="240" w:lineRule="auto"/>
            </w:pPr>
            <w:r>
              <w:rPr>
                <w:rFonts w:ascii="DejaVu Sans Mono" w:hAnsi="DejaVu Sans Mono"/>
                <w:color w:val="24313A"/>
                <w:sz w:val="16"/>
              </w:rPr>
              <w:t>{</w:t>
              <w:br/>
              <w:t xml:space="preserve">  "id": "fig-3",</w:t>
              <w:br/>
              <w:t xml:space="preserve">  "type": "figure",</w:t>
              <w:br/>
              <w:t xml:space="preserve">  "content": { "asset": "assets/fig-3.svg" },</w:t>
              <w:br/>
              <w:t xml:space="preserve">  "relationships": {</w:t>
              <w:br/>
              <w:t xml:space="preserve">    "caption": "cap-3",</w:t>
              <w:br/>
              <w:t xml:space="preserve">    "referencedBy": ["p-17", "p-24"]</w:t>
              <w:br/>
              <w:t xml:space="preserve">  },</w:t>
              <w:br/>
              <w:t xml:space="preserve">  "layout": {</w:t>
              <w:br/>
              <w:t xml:space="preserve">    "mayFloat": true,</w:t>
              <w:br/>
              <w:t xml:space="preserve">    "maySplit": false,</w:t>
              <w:br/>
              <w:t xml:space="preserve">    "allowedSpans": [1, 2],</w:t>
              <w:br/>
              <w:t xml:space="preserve">    "minWidthEm": 24,</w:t>
              <w:br/>
              <w:t xml:space="preserve">    "variants": ["inline", "full-width", "dedicated-view"]</w:t>
              <w:br/>
              <w:t xml:space="preserve">  },</w:t>
              <w:br/>
              <w:t xml:space="preserve">  "source": {</w:t>
              <w:br/>
              <w:t xml:space="preserve">    "kind": "jats",</w:t>
              <w:br/>
              <w:t xml:space="preserve">    "locator": "/article/body/sec[2]/fig[1]",</w:t>
              <w:br/>
              <w:t xml:space="preserve">    "pdfBoxes": [{ "page": 4, "x": 72, "y": 160, "w": 210, "h": 150 }]</w:t>
              <w:br/>
              <w:t xml:space="preserve">  }</w:t>
              <w:br/>
              <w:t>}</w:t>
            </w:r>
          </w:p>
        </w:tc>
      </w:tr>
    </w:tbl>
    <w:p>
      <w:pPr>
        <w:pStyle w:val="Heading2"/>
        <w:keepNext/>
        <w:keepLines/>
      </w:pPr>
      <w:r>
        <w:t>Required top-level objects</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2520"/>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Object</w:t>
            </w:r>
          </w:p>
        </w:tc>
        <w:tc>
          <w:tcPr>
            <w:tcW w:type="dxa" w:w="6840"/>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Purpose</w:t>
            </w:r>
          </w:p>
        </w:tc>
      </w:tr>
      <w:tr>
        <w:trPr>
          <w:cantSplit w:val="true"/>
        </w:trPr>
        <w:tc>
          <w:tcPr>
            <w:tcW w:type="dxa" w:w="252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Document metadata</w:t>
            </w:r>
          </w:p>
        </w:tc>
        <w:tc>
          <w:tcPr>
            <w:tcW w:type="dxa" w:w="684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ID, title, version, language, source records, asset references.</w:t>
            </w:r>
          </w:p>
        </w:tc>
      </w:tr>
      <w:tr>
        <w:trPr>
          <w:cantSplit w:val="true"/>
        </w:trPr>
        <w:tc>
          <w:tcPr>
            <w:tcW w:type="dxa" w:w="252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Node collection</w:t>
            </w:r>
          </w:p>
        </w:tc>
        <w:tc>
          <w:tcPr>
            <w:tcW w:type="dxa" w:w="684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Stable semantic nodes and tree/order relationships.</w:t>
            </w:r>
          </w:p>
        </w:tc>
      </w:tr>
      <w:tr>
        <w:trPr>
          <w:cantSplit w:val="true"/>
        </w:trPr>
        <w:tc>
          <w:tcPr>
            <w:tcW w:type="dxa" w:w="252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Relationship graph</w:t>
            </w:r>
          </w:p>
        </w:tc>
        <w:tc>
          <w:tcPr>
            <w:tcW w:type="dxa" w:w="684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Cross-links independent of visual adjacency.</w:t>
            </w:r>
          </w:p>
        </w:tc>
      </w:tr>
      <w:tr>
        <w:trPr>
          <w:cantSplit w:val="true"/>
        </w:trPr>
        <w:tc>
          <w:tcPr>
            <w:tcW w:type="dxa" w:w="252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Layout capabilities</w:t>
            </w:r>
          </w:p>
        </w:tc>
        <w:tc>
          <w:tcPr>
            <w:tcW w:type="dxa" w:w="684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Permitted behavior for each node type or instance.</w:t>
            </w:r>
          </w:p>
        </w:tc>
      </w:tr>
      <w:tr>
        <w:trPr>
          <w:cantSplit w:val="true"/>
        </w:trPr>
        <w:tc>
          <w:tcPr>
            <w:tcW w:type="dxa" w:w="252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Target profiles</w:t>
            </w:r>
          </w:p>
        </w:tc>
        <w:tc>
          <w:tcPr>
            <w:tcW w:type="dxa" w:w="684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Dimensions, margins, typography, columns, interaction, and output mode.</w:t>
            </w:r>
          </w:p>
        </w:tc>
      </w:tr>
      <w:tr>
        <w:trPr>
          <w:cantSplit w:val="true"/>
        </w:trPr>
        <w:tc>
          <w:tcPr>
            <w:tcW w:type="dxa" w:w="252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Composition policy</w:t>
            </w:r>
          </w:p>
        </w:tc>
        <w:tc>
          <w:tcPr>
            <w:tcW w:type="dxa" w:w="684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Global placement and fragmentation rules.</w:t>
            </w:r>
          </w:p>
        </w:tc>
      </w:tr>
      <w:tr>
        <w:trPr>
          <w:cantSplit w:val="true"/>
        </w:trPr>
        <w:tc>
          <w:tcPr>
            <w:tcW w:type="dxa" w:w="252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Overrides</w:t>
            </w:r>
          </w:p>
        </w:tc>
        <w:tc>
          <w:tcPr>
            <w:tcW w:type="dxa" w:w="684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Target-specific exceptions keyed by stable node IDs.</w:t>
            </w:r>
          </w:p>
        </w:tc>
      </w:tr>
      <w:tr>
        <w:trPr>
          <w:cantSplit w:val="true"/>
        </w:trPr>
        <w:tc>
          <w:tcPr>
            <w:tcW w:type="dxa" w:w="252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Annotations</w:t>
            </w:r>
          </w:p>
        </w:tc>
        <w:tc>
          <w:tcPr>
            <w:tcW w:type="dxa" w:w="684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Canonical text/semantic anchors and optional ink data.</w:t>
            </w:r>
          </w:p>
        </w:tc>
      </w:tr>
      <w:tr>
        <w:trPr>
          <w:cantSplit w:val="true"/>
        </w:trPr>
        <w:tc>
          <w:tcPr>
            <w:tcW w:type="dxa" w:w="252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Rendition manifest</w:t>
            </w:r>
          </w:p>
        </w:tc>
        <w:tc>
          <w:tcPr>
            <w:tcW w:type="dxa" w:w="684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Derived pages, frames, line boxes, node geometry, decisions, and diagnostics.</w:t>
            </w:r>
          </w:p>
        </w:tc>
      </w:tr>
    </w:tbl>
    <w:p>
      <w:pPr>
        <w:pStyle w:val="Heading2"/>
        <w:keepNext/>
        <w:keepLines/>
      </w:pPr>
      <w:r>
        <w:t>Annotation model</w:t>
      </w:r>
    </w:p>
    <w:tbl>
      <w:tblPr>
        <w:tblW w:type="auto" w:w="0"/>
        <w:jc w:val="center"/>
        <w:tblLook w:firstColumn="1" w:firstRow="1" w:lastColumn="0" w:lastRow="0" w:noHBand="0" w:noVBand="1" w:val="04A0"/>
      </w:tblPr>
      <w:tblGrid>
        <w:gridCol w:w="9752"/>
      </w:tblGrid>
      <w:tr>
        <w:trPr>
          <w:cantSplit w:val="true"/>
        </w:trPr>
        <w:tc>
          <w:tcPr>
            <w:tcW w:type="dxa" w:w="9752"/>
            <w:shd w:fill="F7F8FA"/>
            <w:tcBorders>
              <w:top w:val="single" w:sz="5" w:color="D6DCE4"/>
              <w:left w:val="single" w:sz="5" w:color="D6DCE4"/>
              <w:bottom w:val="single" w:sz="5" w:color="D6DCE4"/>
              <w:right w:val="single" w:sz="5" w:color="D6DCE4"/>
            </w:tcBorders>
            <w:tcMar>
              <w:top w:w="130" w:type="dxa"/>
              <w:start w:w="140" w:type="dxa"/>
              <w:bottom w:w="130" w:type="dxa"/>
              <w:end w:w="140" w:type="dxa"/>
            </w:tcMar>
          </w:tcPr>
          <w:p>
            <w:pPr>
              <w:spacing w:after="0" w:line="240" w:lineRule="auto"/>
            </w:pPr>
            <w:r>
              <w:rPr>
                <w:rFonts w:ascii="DejaVu Sans Mono" w:hAnsi="DejaVu Sans Mono"/>
                <w:color w:val="24313A"/>
                <w:sz w:val="16"/>
              </w:rPr>
              <w:t>{</w:t>
              <w:br/>
              <w:t xml:space="preserve">  "id": "ann-42",</w:t>
              <w:br/>
              <w:t xml:space="preserve">  "kind": "highlight",</w:t>
              <w:br/>
              <w:t xml:space="preserve">  "target": {</w:t>
              <w:br/>
              <w:t xml:space="preserve">    "nodeId": "p-17",</w:t>
              <w:br/>
              <w:t xml:space="preserve">    "text": { "start": 88, "end": 132 },</w:t>
              <w:br/>
              <w:t xml:space="preserve">    "quote": {</w:t>
              <w:br/>
              <w:t xml:space="preserve">      "exact": "semantic identity survives layout changes",</w:t>
              <w:br/>
              <w:t xml:space="preserve">      "prefix": "The system ensures ",</w:t>
              <w:br/>
              <w:t xml:space="preserve">      "suffix": " even when figures move."</w:t>
              <w:br/>
              <w:t xml:space="preserve">    }</w:t>
              <w:br/>
              <w:t xml:space="preserve">  },</w:t>
              <w:br/>
              <w:t xml:space="preserve">  "appearance": { "style": "highlight" },</w:t>
              <w:br/>
              <w:t xml:space="preserve">  "geometryCache": {</w:t>
              <w:br/>
              <w:t xml:space="preserve">    "layoutKey": "doc-v3:eink-small:type-100:policy-v2",</w:t>
              <w:br/>
              <w:t xml:space="preserve">    "rects": []</w:t>
              <w:br/>
              <w:t xml:space="preserve">  }</w:t>
              <w:br/>
              <w:t>}</w:t>
            </w:r>
          </w:p>
        </w:tc>
      </w:tr>
    </w:tbl>
    <w:p>
      <w:pPr>
        <w:pStyle w:val="BodyText"/>
      </w:pPr>
      <w:r>
        <w:rPr>
          <w:rFonts w:ascii="Noto Sans" w:hAnsi="Noto Sans"/>
          <w:i w:val="0"/>
          <w:color w:val="222B35"/>
          <w:sz w:val="20"/>
        </w:rPr>
        <w:t>For freehand ink, add stroke points plus an attachment policy such as line-relative underline, paragraph-relative margin note, object-to-object arrow, or page-fixed drawing. Freehand transformation is not required in P0.</w:t>
      </w:r>
    </w:p>
    <w:p>
      <w:pPr>
        <w:pStyle w:val="Heading1"/>
        <w:keepNext/>
        <w:keepLines/>
      </w:pPr>
      <w:r>
        <w:t>11. Composition model</w:t>
      </w:r>
    </w:p>
    <w:p>
      <w:pPr>
        <w:pStyle w:val="Heading2"/>
        <w:keepNext/>
        <w:keepLines/>
      </w:pPr>
      <w:r>
        <w:t>Pipeline</w:t>
      </w:r>
    </w:p>
    <w:tbl>
      <w:tblPr>
        <w:tblW w:type="auto" w:w="0"/>
        <w:jc w:val="center"/>
        <w:tblLook w:firstColumn="1" w:firstRow="1" w:lastColumn="0" w:lastRow="0" w:noHBand="0" w:noVBand="1" w:val="04A0"/>
      </w:tblPr>
      <w:tblGrid>
        <w:gridCol w:w="9752"/>
      </w:tblGrid>
      <w:tr>
        <w:trPr>
          <w:cantSplit w:val="true"/>
        </w:trPr>
        <w:tc>
          <w:tcPr>
            <w:tcW w:type="dxa" w:w="9752"/>
            <w:shd w:fill="F7F8FA"/>
            <w:tcBorders>
              <w:top w:val="single" w:sz="5" w:color="D6DCE4"/>
              <w:left w:val="single" w:sz="5" w:color="D6DCE4"/>
              <w:bottom w:val="single" w:sz="5" w:color="D6DCE4"/>
              <w:right w:val="single" w:sz="5" w:color="D6DCE4"/>
            </w:tcBorders>
            <w:tcMar>
              <w:top w:w="130" w:type="dxa"/>
              <w:start w:w="140" w:type="dxa"/>
              <w:bottom w:w="130" w:type="dxa"/>
              <w:end w:w="140" w:type="dxa"/>
            </w:tcMar>
          </w:tcPr>
          <w:p>
            <w:pPr>
              <w:spacing w:after="0" w:line="240" w:lineRule="auto"/>
            </w:pPr>
            <w:r>
              <w:rPr>
                <w:rFonts w:ascii="DejaVu Sans Mono" w:hAnsi="DejaVu Sans Mono"/>
                <w:color w:val="24313A"/>
                <w:sz w:val="16"/>
              </w:rPr>
              <w:t>1. Normalize source into canonical graph</w:t>
              <w:br/>
              <w:t>2. Resolve target profile and target-specific overrides</w:t>
              <w:br/>
              <w:t>3. Select component variants</w:t>
              <w:br/>
              <w:t>4. Build semantic flow and priority region around reading anchor</w:t>
              <w:br/>
              <w:t>5. Measure text and atomic objects</w:t>
              <w:br/>
              <w:t>6. Place, fragment, and paginate under constraints</w:t>
              <w:br/>
              <w:t>7. Record decisions and constraint violations</w:t>
              <w:br/>
              <w:t>8. Resolve annotation geometry from semantic anchors</w:t>
              <w:br/>
              <w:t>9. Emit rendition + layout manifest + cache entry</w:t>
            </w:r>
          </w:p>
        </w:tc>
      </w:tr>
    </w:tbl>
    <w:p>
      <w:pPr>
        <w:pStyle w:val="Heading2"/>
        <w:keepNext/>
        <w:keepLines/>
      </w:pPr>
      <w:r>
        <w:t>Core layout rules for P0</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2520"/>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Rule</w:t>
            </w:r>
          </w:p>
        </w:tc>
        <w:tc>
          <w:tcPr>
            <w:tcW w:type="dxa" w:w="6840"/>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Expected behavior</w:t>
            </w:r>
          </w:p>
        </w:tc>
      </w:tr>
      <w:tr>
        <w:trPr>
          <w:cantSplit w:val="true"/>
        </w:trPr>
        <w:tc>
          <w:tcPr>
            <w:tcW w:type="dxa" w:w="252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Semantic order first</w:t>
            </w:r>
          </w:p>
        </w:tc>
        <w:tc>
          <w:tcPr>
            <w:tcW w:type="dxa" w:w="684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Default flow follows canonical order; floats may move only within declared bounds.</w:t>
            </w:r>
          </w:p>
        </w:tc>
      </w:tr>
      <w:tr>
        <w:trPr>
          <w:cantSplit w:val="true"/>
        </w:trPr>
        <w:tc>
          <w:tcPr>
            <w:tcW w:type="dxa" w:w="252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Keep relationships</w:t>
            </w:r>
          </w:p>
        </w:tc>
        <w:tc>
          <w:tcPr>
            <w:tcW w:type="dxa" w:w="684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Captions stay with figures; headings stay with at least the first body lines; equation labels stay with equations.</w:t>
            </w:r>
          </w:p>
        </w:tc>
      </w:tr>
      <w:tr>
        <w:trPr>
          <w:cantSplit w:val="true"/>
        </w:trPr>
        <w:tc>
          <w:tcPr>
            <w:tcW w:type="dxa" w:w="252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Avoid unsafe splits</w:t>
            </w:r>
          </w:p>
        </w:tc>
        <w:tc>
          <w:tcPr>
            <w:tcW w:type="dxa" w:w="684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Atomic figures/equations do not split; paragraphs may split subject to widow/orphan rules.</w:t>
            </w:r>
          </w:p>
        </w:tc>
      </w:tr>
      <w:tr>
        <w:trPr>
          <w:cantSplit w:val="true"/>
        </w:trPr>
        <w:tc>
          <w:tcPr>
            <w:tcW w:type="dxa" w:w="252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Select spans by target</w:t>
            </w:r>
          </w:p>
        </w:tc>
        <w:tc>
          <w:tcPr>
            <w:tcW w:type="dxa" w:w="684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 figure may use one or two columns only if the node declares both spans.</w:t>
            </w:r>
          </w:p>
        </w:tc>
      </w:tr>
      <w:tr>
        <w:trPr>
          <w:cantSplit w:val="true"/>
        </w:trPr>
        <w:tc>
          <w:tcPr>
            <w:tcW w:type="dxa" w:w="252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Use explicit fallback</w:t>
            </w:r>
          </w:p>
        </w:tc>
        <w:tc>
          <w:tcPr>
            <w:tcW w:type="dxa" w:w="684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An oversized table or complex figure may switch to a dedicated view or preserved visual block.</w:t>
            </w:r>
          </w:p>
        </w:tc>
      </w:tr>
      <w:tr>
        <w:trPr>
          <w:cantSplit w:val="true"/>
        </w:trPr>
        <w:tc>
          <w:tcPr>
            <w:tcW w:type="dxa" w:w="252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Retain anchor stability</w:t>
            </w:r>
          </w:p>
        </w:tc>
        <w:tc>
          <w:tcPr>
            <w:tcW w:type="dxa" w:w="684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Recomposition should restore the top visible semantic range rather than the old page number.</w:t>
            </w:r>
          </w:p>
        </w:tc>
      </w:tr>
      <w:tr>
        <w:trPr>
          <w:cantSplit w:val="true"/>
        </w:trPr>
        <w:tc>
          <w:tcPr>
            <w:tcW w:type="dxa" w:w="252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Permit provisional pagination</w:t>
            </w:r>
          </w:p>
        </w:tc>
        <w:tc>
          <w:tcPr>
            <w:tcW w:type="dxa" w:w="684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Distant page count and thumbnails may be incomplete while the current region is stable.</w:t>
            </w:r>
          </w:p>
        </w:tc>
      </w:tr>
    </w:tbl>
    <w:p>
      <w:pPr>
        <w:pStyle w:val="Heading2"/>
        <w:keepNext/>
        <w:keepLines/>
      </w:pPr>
      <w:r>
        <w:t>Layout key and cache</w:t>
      </w:r>
    </w:p>
    <w:tbl>
      <w:tblPr>
        <w:tblW w:type="auto" w:w="0"/>
        <w:jc w:val="center"/>
        <w:tblLook w:firstColumn="1" w:firstRow="1" w:lastColumn="0" w:lastRow="0" w:noHBand="0" w:noVBand="1" w:val="04A0"/>
      </w:tblPr>
      <w:tblGrid>
        <w:gridCol w:w="9752"/>
      </w:tblGrid>
      <w:tr>
        <w:trPr>
          <w:cantSplit w:val="true"/>
        </w:trPr>
        <w:tc>
          <w:tcPr>
            <w:tcW w:type="dxa" w:w="9752"/>
            <w:shd w:fill="F7F8FA"/>
            <w:tcBorders>
              <w:top w:val="single" w:sz="5" w:color="D6DCE4"/>
              <w:left w:val="single" w:sz="5" w:color="D6DCE4"/>
              <w:bottom w:val="single" w:sz="5" w:color="D6DCE4"/>
              <w:right w:val="single" w:sz="5" w:color="D6DCE4"/>
            </w:tcBorders>
            <w:tcMar>
              <w:top w:w="130" w:type="dxa"/>
              <w:start w:w="140" w:type="dxa"/>
              <w:bottom w:w="130" w:type="dxa"/>
              <w:end w:w="140" w:type="dxa"/>
            </w:tcMar>
          </w:tcPr>
          <w:p>
            <w:pPr>
              <w:spacing w:after="0" w:line="240" w:lineRule="auto"/>
            </w:pPr>
            <w:r>
              <w:rPr>
                <w:rFonts w:ascii="DejaVu Sans Mono" w:hAnsi="DejaVu Sans Mono"/>
                <w:color w:val="24313A"/>
                <w:sz w:val="16"/>
              </w:rPr>
              <w:t>layoutKey = hash(</w:t>
              <w:br/>
              <w:t xml:space="preserve">  documentVersion,</w:t>
              <w:br/>
              <w:t xml:space="preserve">  targetProfile,</w:t>
              <w:br/>
              <w:t xml:space="preserve">  typographySettings,</w:t>
              <w:br/>
              <w:t xml:space="preserve">  compositionPolicyVersion,</w:t>
              <w:br/>
              <w:t xml:space="preserve">  targetOverrides</w:t>
              <w:br/>
              <w:t>)</w:t>
              <w:br/>
              <w:br/>
              <w:t>Canonical content and annotations do not change when layoutKey changes.</w:t>
              <w:br/>
              <w:t>Only rendition geometry and page-derived metadata are invalidated.</w:t>
            </w:r>
          </w:p>
        </w:tc>
      </w:tr>
    </w:tbl>
    <w:p>
      <w:pPr>
        <w:pStyle w:val="Heading1"/>
        <w:keepNext/>
        <w:keepLines/>
      </w:pPr>
      <w:r>
        <w:t>12. Interactive studio UX</w:t>
      </w:r>
    </w:p>
    <w:p>
      <w:pPr>
        <w:pStyle w:val="BodyText"/>
      </w:pPr>
      <w:r>
        <w:rPr>
          <w:rFonts w:ascii="Noto Sans" w:hAnsi="Noto Sans"/>
          <w:i w:val="0"/>
          <w:color w:val="222B35"/>
          <w:sz w:val="20"/>
        </w:rPr>
        <w:t>The studio is an engineering and research instrument, not a polished authoring product. It should make semantic structure, target constraints, and layout decisions inspectable.</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2232"/>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Region</w:t>
            </w:r>
          </w:p>
        </w:tc>
        <w:tc>
          <w:tcPr>
            <w:tcW w:type="dxa" w:w="7128"/>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Contents</w:t>
            </w:r>
          </w:p>
        </w:tc>
      </w:tr>
      <w:tr>
        <w:trPr>
          <w:cantSplit w:val="true"/>
        </w:trPr>
        <w:tc>
          <w:tcPr>
            <w:tcW w:type="dxa" w:w="223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Left: document</w:t>
            </w:r>
          </w:p>
        </w:tc>
        <w:tc>
          <w:tcPr>
            <w:tcW w:type="dxa" w:w="712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Semantic outline, nodes, relationships, annotations, and source provenance.</w:t>
            </w:r>
          </w:p>
        </w:tc>
      </w:tr>
      <w:tr>
        <w:trPr>
          <w:cantSplit w:val="true"/>
        </w:trPr>
        <w:tc>
          <w:tcPr>
            <w:tcW w:type="dxa" w:w="223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Center: rendition</w:t>
            </w:r>
          </w:p>
        </w:tc>
        <w:tc>
          <w:tcPr>
            <w:tcW w:type="dxa" w:w="712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Live continuous or paginated preview, page boundaries, current reading anchor, and annotation overlays.</w:t>
            </w:r>
          </w:p>
        </w:tc>
      </w:tr>
      <w:tr>
        <w:trPr>
          <w:cantSplit w:val="true"/>
        </w:trPr>
        <w:tc>
          <w:tcPr>
            <w:tcW w:type="dxa" w:w="223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Right: controls</w:t>
            </w:r>
          </w:p>
        </w:tc>
        <w:tc>
          <w:tcPr>
            <w:tcW w:type="dxa" w:w="712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Target profile, width, height, margins, font size, line height, column policy, figure policy, and override editor.</w:t>
            </w:r>
          </w:p>
        </w:tc>
      </w:tr>
      <w:tr>
        <w:trPr>
          <w:cantSplit w:val="true"/>
        </w:trPr>
        <w:tc>
          <w:tcPr>
            <w:tcW w:type="dxa" w:w="223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Bottom: diagnostics</w:t>
            </w:r>
          </w:p>
        </w:tc>
        <w:tc>
          <w:tcPr>
            <w:tcW w:type="dxa" w:w="712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Composition timing, page count status, selected variants, fallbacks, overflows, constraint violations, and layout key.</w:t>
            </w:r>
          </w:p>
        </w:tc>
      </w:tr>
    </w:tbl>
    <w:p>
      <w:pPr>
        <w:pStyle w:val="Heading2"/>
        <w:keepNext/>
        <w:keepLines/>
      </w:pPr>
      <w:r>
        <w:t>Minimum controls</w:t>
      </w:r>
    </w:p>
    <w:p>
      <w:pPr>
        <w:pStyle w:val="ListBullet"/>
      </w:pPr>
      <w:r>
        <w:rPr>
          <w:rFonts w:ascii="Noto Sans" w:hAnsi="Noto Sans"/>
          <w:color w:val="222B35"/>
          <w:sz w:val="20"/>
        </w:rPr>
        <w:t>Target profile selector.</w:t>
      </w:r>
    </w:p>
    <w:p>
      <w:pPr>
        <w:pStyle w:val="ListBullet"/>
      </w:pPr>
      <w:r>
        <w:rPr>
          <w:rFonts w:ascii="Noto Sans" w:hAnsi="Noto Sans"/>
          <w:color w:val="222B35"/>
          <w:sz w:val="20"/>
        </w:rPr>
        <w:t>Width, height, font-size, and margin controls.</w:t>
      </w:r>
    </w:p>
    <w:p>
      <w:pPr>
        <w:pStyle w:val="ListBullet"/>
      </w:pPr>
      <w:r>
        <w:rPr>
          <w:rFonts w:ascii="Noto Sans" w:hAnsi="Noto Sans"/>
          <w:color w:val="222B35"/>
          <w:sz w:val="20"/>
        </w:rPr>
        <w:t>Continuous versus paginated mode.</w:t>
      </w:r>
    </w:p>
    <w:p>
      <w:pPr>
        <w:pStyle w:val="ListBullet"/>
      </w:pPr>
      <w:r>
        <w:rPr>
          <w:rFonts w:ascii="Noto Sans" w:hAnsi="Noto Sans"/>
          <w:color w:val="222B35"/>
          <w:sz w:val="20"/>
        </w:rPr>
        <w:t>Column and figure-placement policy selectors.</w:t>
      </w:r>
    </w:p>
    <w:p>
      <w:pPr>
        <w:pStyle w:val="ListBullet"/>
      </w:pPr>
      <w:r>
        <w:rPr>
          <w:rFonts w:ascii="Noto Sans" w:hAnsi="Noto Sans"/>
          <w:color w:val="222B35"/>
          <w:sz w:val="20"/>
        </w:rPr>
        <w:t>Toggle for semantic IDs, source boxes, page boxes, and fallback markers.</w:t>
      </w:r>
    </w:p>
    <w:p>
      <w:pPr>
        <w:pStyle w:val="ListBullet"/>
      </w:pPr>
      <w:r>
        <w:rPr>
          <w:rFonts w:ascii="Noto Sans" w:hAnsi="Noto Sans"/>
          <w:color w:val="222B35"/>
          <w:sz w:val="20"/>
        </w:rPr>
        <w:t>Add highlight / note; jump to annotation.</w:t>
      </w:r>
    </w:p>
    <w:p>
      <w:pPr>
        <w:pStyle w:val="ListBullet"/>
      </w:pPr>
      <w:r>
        <w:rPr>
          <w:rFonts w:ascii="Noto Sans" w:hAnsi="Noto Sans"/>
          <w:color w:val="222B35"/>
          <w:sz w:val="20"/>
        </w:rPr>
        <w:t>Apply and remove one target-specific override.</w:t>
      </w:r>
    </w:p>
    <w:p>
      <w:pPr>
        <w:pStyle w:val="ListBullet"/>
      </w:pPr>
      <w:r>
        <w:rPr>
          <w:rFonts w:ascii="Noto Sans" w:hAnsi="Noto Sans"/>
          <w:color w:val="222B35"/>
          <w:sz w:val="20"/>
        </w:rPr>
        <w:t>Export and download rendition manifest.</w:t>
      </w:r>
    </w:p>
    <w:p>
      <w:pPr>
        <w:pStyle w:val="Heading1"/>
        <w:keepNext/>
        <w:keepLines/>
      </w:pPr>
      <w:r>
        <w:t>13. Recommended technical architecture</w:t>
      </w:r>
    </w:p>
    <w:tbl>
      <w:tblPr>
        <w:tblW w:type="auto" w:w="0"/>
        <w:jc w:val="center"/>
        <w:tblLayout w:type="autofit"/>
        <w:tblLook w:firstColumn="1" w:firstRow="1" w:lastColumn="0" w:lastRow="0" w:noHBand="0" w:noVBand="1" w:val="04A0"/>
      </w:tblPr>
      <w:tblGrid>
        <w:gridCol w:w="9752"/>
      </w:tblGrid>
      <w:tr>
        <w:trPr>
          <w:cantSplit w:val="true"/>
        </w:trPr>
        <w:tc>
          <w:tcPr>
            <w:tcW w:type="dxa" w:w="9752"/>
            <w:shd w:fill="EAF5F3"/>
            <w:tcBorders>
              <w:top w:val="single" w:sz="8" w:color="18766F"/>
              <w:left w:val="single" w:sz="18" w:color="18766F"/>
              <w:bottom w:val="single" w:sz="8" w:color="18766F"/>
              <w:right w:val="single" w:sz="8" w:color="18766F"/>
            </w:tcBorders>
            <w:tcMar>
              <w:top w:w="150" w:type="dxa"/>
              <w:start w:w="170" w:type="dxa"/>
              <w:bottom w:w="150" w:type="dxa"/>
              <w:end w:w="170" w:type="dxa"/>
            </w:tcMar>
          </w:tcPr>
          <w:p>
            <w:pPr>
              <w:spacing w:after="80"/>
            </w:pPr>
            <w:r>
              <w:rPr>
                <w:rFonts w:ascii="Noto Sans" w:hAnsi="Noto Sans"/>
                <w:b/>
                <w:color w:val="10534F"/>
                <w:sz w:val="20"/>
              </w:rPr>
              <w:t>Recommended default</w:t>
            </w:r>
          </w:p>
          <w:p>
            <w:pPr>
              <w:spacing w:after="0"/>
            </w:pPr>
            <w:r>
              <w:rPr>
                <w:rFonts w:ascii="Noto Sans" w:hAnsi="Noto Sans"/>
                <w:color w:val="222B35"/>
                <w:sz w:val="19"/>
              </w:rPr>
              <w:t>Use a TypeScript monorepo, a validated JSON schema, HTML/CSS rendering, and a paged-media engine behind an adapter. Keep the canonical graph and layout manifest independent of the rendering library.</w:t>
            </w:r>
          </w:p>
        </w:tc>
      </w:tr>
    </w:tbl>
    <w:p>
      <w:pPr>
        <w:spacing w:after="0"/>
      </w:pPr>
    </w:p>
    <w:p>
      <w:pPr>
        <w:pStyle w:val="Heading2"/>
        <w:keepNext/>
        <w:keepLines/>
      </w:pPr>
      <w:r>
        <w:t>Proposed packages</w:t>
      </w:r>
    </w:p>
    <w:tbl>
      <w:tblPr>
        <w:tblW w:type="auto" w:w="0"/>
        <w:jc w:val="center"/>
        <w:tblLook w:firstColumn="1" w:firstRow="1" w:lastColumn="0" w:lastRow="0" w:noHBand="0" w:noVBand="1" w:val="04A0"/>
      </w:tblPr>
      <w:tblGrid>
        <w:gridCol w:w="9752"/>
      </w:tblGrid>
      <w:tr>
        <w:trPr>
          <w:cantSplit w:val="true"/>
        </w:trPr>
        <w:tc>
          <w:tcPr>
            <w:tcW w:type="dxa" w:w="9752"/>
            <w:shd w:fill="F7F8FA"/>
            <w:tcBorders>
              <w:top w:val="single" w:sz="5" w:color="D6DCE4"/>
              <w:left w:val="single" w:sz="5" w:color="D6DCE4"/>
              <w:bottom w:val="single" w:sz="5" w:color="D6DCE4"/>
              <w:right w:val="single" w:sz="5" w:color="D6DCE4"/>
            </w:tcBorders>
            <w:tcMar>
              <w:top w:w="130" w:type="dxa"/>
              <w:start w:w="140" w:type="dxa"/>
              <w:bottom w:w="130" w:type="dxa"/>
              <w:end w:w="140" w:type="dxa"/>
            </w:tcMar>
          </w:tcPr>
          <w:p>
            <w:pPr>
              <w:spacing w:after="0" w:line="240" w:lineRule="auto"/>
            </w:pPr>
            <w:r>
              <w:rPr>
                <w:rFonts w:ascii="DejaVu Sans Mono" w:hAnsi="DejaVu Sans Mono"/>
                <w:color w:val="24313A"/>
                <w:sz w:val="16"/>
              </w:rPr>
              <w:t>apps/</w:t>
              <w:br/>
              <w:t xml:space="preserve">  studio/                 interactive inspection and demo UI</w:t>
              <w:br/>
              <w:t>packages/</w:t>
              <w:br/>
              <w:t xml:space="preserve">  schema/                 types, validation, migrations</w:t>
              <w:br/>
              <w:t xml:space="preserve">  import-jats/            structured scholarly normalization</w:t>
              <w:br/>
              <w:t xml:space="preserve">  composer/               variant selection, flow, policies, overrides</w:t>
              <w:br/>
              <w:t xml:space="preserve">  render-html/            semantic DOM and continuous layout</w:t>
              <w:br/>
              <w:t xml:space="preserve">  render-paged/           paged-media adapter</w:t>
              <w:br/>
              <w:t xml:space="preserve">  annotations/            anchors, re-resolution, geometry caches</w:t>
              <w:br/>
              <w:t xml:space="preserve">  export-epub/            packaging of reflowable rendition</w:t>
              <w:br/>
              <w:t xml:space="preserve">  export-pdf/             paginated PDF path</w:t>
              <w:br/>
              <w:t xml:space="preserve">  provenance/             source and original-PDF mappings</w:t>
              <w:br/>
              <w:t xml:space="preserve">  benchmarks/             timing, overflow, relationship checks</w:t>
              <w:br/>
              <w:t>fixtures/</w:t>
              <w:br/>
              <w:t xml:space="preserve">  golden/                 canonical articles, assets, expected manifests</w:t>
              <w:br/>
              <w:t xml:space="preserve">  source/                 optional JATS, HTML, PDF, and source maps</w:t>
              <w:br/>
              <w:t>docs/</w:t>
              <w:br/>
              <w:t xml:space="preserve">  adrs/                    architecture decision records</w:t>
            </w:r>
          </w:p>
        </w:tc>
      </w:tr>
    </w:tbl>
    <w:p>
      <w:pPr>
        <w:pStyle w:val="Heading2"/>
        <w:keepNext/>
        <w:keepLines/>
      </w:pPr>
      <w:r>
        <w:t>Technology guidance</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2088"/>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6"/>
              </w:rPr>
              <w:t>Concern</w:t>
            </w:r>
          </w:p>
        </w:tc>
        <w:tc>
          <w:tcPr>
            <w:tcW w:type="dxa" w:w="7272"/>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6"/>
              </w:rPr>
              <w:t>Recommended approach</w:t>
            </w:r>
          </w:p>
        </w:tc>
      </w:tr>
      <w:tr>
        <w:trPr>
          <w:cantSplit w:val="true"/>
        </w:trPr>
        <w:tc>
          <w:tcPr>
            <w:tcW w:type="dxa" w:w="208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Schema</w:t>
            </w:r>
          </w:p>
        </w:tc>
        <w:tc>
          <w:tcPr>
            <w:tcW w:type="dxa" w:w="72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TypeScript types plus runtime validation; use explicit versioning and migrations.</w:t>
            </w:r>
          </w:p>
        </w:tc>
      </w:tr>
      <w:tr>
        <w:trPr>
          <w:cantSplit w:val="true"/>
        </w:trPr>
        <w:tc>
          <w:tcPr>
            <w:tcW w:type="dxa" w:w="208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Continuous view</w:t>
            </w:r>
          </w:p>
        </w:tc>
        <w:tc>
          <w:tcPr>
            <w:tcW w:type="dxa" w:w="72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Semantic HTML with CSS Grid/Flex, container-aware component variants, and CSS custom properties.</w:t>
            </w:r>
          </w:p>
        </w:tc>
      </w:tr>
      <w:tr>
        <w:trPr>
          <w:cantSplit w:val="true"/>
        </w:trPr>
        <w:tc>
          <w:tcPr>
            <w:tcW w:type="dxa" w:w="208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Paged view</w:t>
            </w:r>
          </w:p>
        </w:tc>
        <w:tc>
          <w:tcPr>
            <w:tcW w:type="dxa" w:w="72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Evaluate a paged-media engine behind a small adapter; keep an exit path if its fragmentation behavior is insufficient.</w:t>
            </w:r>
          </w:p>
        </w:tc>
      </w:tr>
      <w:tr>
        <w:trPr>
          <w:cantSplit w:val="true"/>
        </w:trPr>
        <w:tc>
          <w:tcPr>
            <w:tcW w:type="dxa" w:w="208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Policy layer</w:t>
            </w:r>
          </w:p>
        </w:tc>
        <w:tc>
          <w:tcPr>
            <w:tcW w:type="dxa" w:w="72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Implement named deterministic rules before considering optimization or learned layout.</w:t>
            </w:r>
          </w:p>
        </w:tc>
      </w:tr>
      <w:tr>
        <w:trPr>
          <w:cantSplit w:val="true"/>
        </w:trPr>
        <w:tc>
          <w:tcPr>
            <w:tcW w:type="dxa" w:w="208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Measurement</w:t>
            </w:r>
          </w:p>
        </w:tc>
        <w:tc>
          <w:tcPr>
            <w:tcW w:type="dxa" w:w="72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Use browser text/object measurement for the POC and emit a renderer-neutral manifest.</w:t>
            </w:r>
          </w:p>
        </w:tc>
      </w:tr>
      <w:tr>
        <w:trPr>
          <w:cantSplit w:val="true"/>
        </w:trPr>
        <w:tc>
          <w:tcPr>
            <w:tcW w:type="dxa" w:w="208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State</w:t>
            </w:r>
          </w:p>
        </w:tc>
        <w:tc>
          <w:tcPr>
            <w:tcW w:type="dxa" w:w="72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Store canonical document, target profile, overrides, annotations, and rendition cache separately.</w:t>
            </w:r>
          </w:p>
        </w:tc>
      </w:tr>
      <w:tr>
        <w:trPr>
          <w:cantSplit w:val="true"/>
        </w:trPr>
        <w:tc>
          <w:tcPr>
            <w:tcW w:type="dxa" w:w="208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Testing</w:t>
            </w:r>
          </w:p>
        </w:tc>
        <w:tc>
          <w:tcPr>
            <w:tcW w:type="dxa" w:w="727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Schema tests, relationship invariants, manifest snapshots, overflow assertions, and visual regression screenshots.</w:t>
            </w:r>
          </w:p>
        </w:tc>
      </w:tr>
      <w:tr>
        <w:trPr>
          <w:cantSplit w:val="true"/>
        </w:trPr>
        <w:tc>
          <w:tcPr>
            <w:tcW w:type="dxa" w:w="208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Export</w:t>
            </w:r>
          </w:p>
        </w:tc>
        <w:tc>
          <w:tcPr>
            <w:tcW w:type="dxa" w:w="727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HTML first; add PDF and EPUB packaging after the golden rendering path is stable.</w:t>
            </w:r>
          </w:p>
        </w:tc>
      </w:tr>
    </w:tbl>
    <w:p>
      <w:pPr>
        <w:pStyle w:val="Heading2"/>
        <w:keepNext/>
        <w:keepLines/>
      </w:pPr>
      <w:r>
        <w:t>Architecture constraints</w:t>
      </w:r>
    </w:p>
    <w:p>
      <w:pPr>
        <w:pStyle w:val="ListBullet"/>
      </w:pPr>
      <w:r>
        <w:rPr>
          <w:rFonts w:ascii="Noto Sans" w:hAnsi="Noto Sans"/>
          <w:color w:val="222B35"/>
          <w:sz w:val="20"/>
        </w:rPr>
        <w:t>Do not make renderer-specific DOM geometry the canonical source.</w:t>
      </w:r>
    </w:p>
    <w:p>
      <w:pPr>
        <w:pStyle w:val="ListBullet"/>
      </w:pPr>
      <w:r>
        <w:rPr>
          <w:rFonts w:ascii="Noto Sans" w:hAnsi="Noto Sans"/>
          <w:color w:val="222B35"/>
          <w:sz w:val="20"/>
        </w:rPr>
        <w:t>Do not encode page coordinates inside semantic content nodes.</w:t>
      </w:r>
    </w:p>
    <w:p>
      <w:pPr>
        <w:pStyle w:val="ListBullet"/>
      </w:pPr>
      <w:r>
        <w:rPr>
          <w:rFonts w:ascii="Noto Sans" w:hAnsi="Noto Sans"/>
          <w:color w:val="222B35"/>
          <w:sz w:val="20"/>
        </w:rPr>
        <w:t>Do not use TeX as the only canonical representation; it may remain an input or equation representation.</w:t>
      </w:r>
    </w:p>
    <w:p>
      <w:pPr>
        <w:pStyle w:val="ListBullet"/>
      </w:pPr>
      <w:r>
        <w:rPr>
          <w:rFonts w:ascii="Noto Sans" w:hAnsi="Noto Sans"/>
          <w:color w:val="222B35"/>
          <w:sz w:val="20"/>
        </w:rPr>
        <w:t>Do not couple annotation IDs to page numbers.</w:t>
      </w:r>
    </w:p>
    <w:p>
      <w:pPr>
        <w:pStyle w:val="ListBullet"/>
      </w:pPr>
      <w:r>
        <w:rPr>
          <w:rFonts w:ascii="Noto Sans" w:hAnsi="Noto Sans"/>
          <w:color w:val="222B35"/>
          <w:sz w:val="20"/>
        </w:rPr>
        <w:t>Do not let one target override alter the base graph or another target.</w:t>
      </w:r>
    </w:p>
    <w:p>
      <w:pPr>
        <w:pStyle w:val="ListBullet"/>
      </w:pPr>
      <w:r>
        <w:rPr>
          <w:rFonts w:ascii="Noto Sans" w:hAnsi="Noto Sans"/>
          <w:color w:val="222B35"/>
          <w:sz w:val="20"/>
        </w:rPr>
        <w:t>Do not silently summarize or crop scholarly content.</w:t>
      </w:r>
    </w:p>
    <w:p>
      <w:pPr>
        <w:pStyle w:val="Heading1"/>
        <w:keepNext/>
        <w:keepLines/>
      </w:pPr>
      <w:r>
        <w:t>14. Research and evaluation plan</w:t>
      </w:r>
    </w:p>
    <w:p>
      <w:pPr>
        <w:pStyle w:val="Heading2"/>
        <w:keepNext/>
        <w:keepLines/>
      </w:pPr>
      <w:r>
        <w:t>Research framing</w:t>
      </w:r>
    </w:p>
    <w:p>
      <w:pPr>
        <w:pStyle w:val="BodyText"/>
      </w:pPr>
      <w:r>
        <w:rPr>
          <w:rFonts w:ascii="Noto Sans" w:hAnsi="Noto Sans"/>
          <w:i w:val="0"/>
          <w:color w:val="222B35"/>
          <w:sz w:val="20"/>
        </w:rPr>
        <w:t>The scholarly-paper/e-ink use case is the benchmark domain for a more general system. The central research question is whether a semantic, constraint-based model can produce coherent paginated renditions across heterogeneous widths and heights while preserving identity, relationships, reader state, and annotations.</w:t>
      </w:r>
    </w:p>
    <w:p>
      <w:pPr>
        <w:pStyle w:val="Heading2"/>
        <w:keepNext/>
        <w:keepLines/>
      </w:pPr>
      <w:r>
        <w:t>Proposed research questions</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1080"/>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RQ</w:t>
            </w:r>
          </w:p>
        </w:tc>
        <w:tc>
          <w:tcPr>
            <w:tcW w:type="dxa" w:w="8280"/>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Question</w:t>
            </w:r>
          </w:p>
        </w:tc>
      </w:tr>
      <w:tr>
        <w:trPr>
          <w:cantSplit w:val="true"/>
        </w:trPr>
        <w:tc>
          <w:tcPr>
            <w:tcW w:type="dxa" w:w="108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RQ1</w:t>
            </w:r>
          </w:p>
        </w:tc>
        <w:tc>
          <w:tcPr>
            <w:tcW w:type="dxa" w:w="828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Can one canonical document graph generate coherent renditions across substantially different page geometries?</w:t>
            </w:r>
          </w:p>
        </w:tc>
      </w:tr>
      <w:tr>
        <w:trPr>
          <w:cantSplit w:val="true"/>
        </w:trPr>
        <w:tc>
          <w:tcPr>
            <w:tcW w:type="dxa" w:w="108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RQ2</w:t>
            </w:r>
          </w:p>
        </w:tc>
        <w:tc>
          <w:tcPr>
            <w:tcW w:type="dxa" w:w="828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Which component capabilities and global policies are sufficient for prose, figures, captions, equations, and simple tables?</w:t>
            </w:r>
          </w:p>
        </w:tc>
      </w:tr>
      <w:tr>
        <w:trPr>
          <w:cantSplit w:val="true"/>
        </w:trPr>
        <w:tc>
          <w:tcPr>
            <w:tcW w:type="dxa" w:w="108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RQ3</w:t>
            </w:r>
          </w:p>
        </w:tc>
        <w:tc>
          <w:tcPr>
            <w:tcW w:type="dxa" w:w="828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Can semantic reading position and text annotations remain stable across typography and profile changes?</w:t>
            </w:r>
          </w:p>
        </w:tc>
      </w:tr>
      <w:tr>
        <w:trPr>
          <w:cantSplit w:val="true"/>
        </w:trPr>
        <w:tc>
          <w:tcPr>
            <w:tcW w:type="dxa" w:w="108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RQ4</w:t>
            </w:r>
          </w:p>
        </w:tc>
        <w:tc>
          <w:tcPr>
            <w:tcW w:type="dxa" w:w="8280"/>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Does semantic reflow improve active reading on small e-ink surfaces relative to fixed or geometrically optimized PDFs?</w:t>
            </w:r>
          </w:p>
        </w:tc>
      </w:tr>
      <w:tr>
        <w:trPr>
          <w:cantSplit w:val="true"/>
        </w:trPr>
        <w:tc>
          <w:tcPr>
            <w:tcW w:type="dxa" w:w="108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RQ5</w:t>
            </w:r>
          </w:p>
        </w:tc>
        <w:tc>
          <w:tcPr>
            <w:tcW w:type="dxa" w:w="8280"/>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Can viewport-first composition reduce perceived waiting without destabilizing position or annotations?</w:t>
            </w:r>
          </w:p>
        </w:tc>
      </w:tr>
    </w:tbl>
    <w:p>
      <w:pPr>
        <w:pStyle w:val="Heading2"/>
        <w:keepNext/>
        <w:keepLines/>
      </w:pPr>
      <w:r>
        <w:t>Evaluation stages</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2376"/>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Stage</w:t>
            </w:r>
          </w:p>
        </w:tc>
        <w:tc>
          <w:tcPr>
            <w:tcW w:type="dxa" w:w="6984"/>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Method</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 System correctness</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Golden corpus; verify node coverage, semantic order, relationships, source mapping, overflow, and deterministic manifests.</w:t>
            </w:r>
          </w:p>
        </w:tc>
      </w:tr>
      <w:tr>
        <w:trPr>
          <w:cantSplit w:val="true"/>
        </w:trPr>
        <w:tc>
          <w:tcPr>
            <w:tcW w:type="dxa" w:w="23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B. Layout quality</w:t>
            </w:r>
          </w:p>
        </w:tc>
        <w:tc>
          <w:tcPr>
            <w:tcW w:type="dxa" w:w="69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Expert review and visual regression across all target profiles; catalogue rule failures and fallbacks.</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 Performance</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Measure first stable viewport, full pagination, profile switch, and annotation re-resolution.</w:t>
            </w:r>
          </w:p>
        </w:tc>
      </w:tr>
      <w:tr>
        <w:trPr>
          <w:cantSplit w:val="true"/>
        </w:trPr>
        <w:tc>
          <w:tcPr>
            <w:tcW w:type="dxa" w:w="23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D. User study (after POC)</w:t>
            </w:r>
          </w:p>
        </w:tc>
        <w:tc>
          <w:tcPr>
            <w:tcW w:type="dxa" w:w="69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Compare fixed PDF, optimized fixed layout, and semantic reflow across large and small e-ink classes for comprehension, navigation, workload, and annotation tasks.</w:t>
            </w:r>
          </w:p>
        </w:tc>
      </w:tr>
    </w:tbl>
    <w:p>
      <w:pPr>
        <w:pStyle w:val="Heading2"/>
        <w:keepNext/>
        <w:keepLines/>
      </w:pPr>
      <w:r>
        <w:t>Metrics</w:t>
      </w:r>
    </w:p>
    <w:p>
      <w:pPr>
        <w:pStyle w:val="ListBullet"/>
      </w:pPr>
      <w:r>
        <w:rPr>
          <w:rFonts w:ascii="Noto Sans" w:hAnsi="Noto Sans"/>
          <w:color w:val="222B35"/>
          <w:sz w:val="20"/>
        </w:rPr>
        <w:t>Mandatory-node coverage and exact-text preservation.</w:t>
      </w:r>
    </w:p>
    <w:p>
      <w:pPr>
        <w:pStyle w:val="ListBullet"/>
      </w:pPr>
      <w:r>
        <w:rPr>
          <w:rFonts w:ascii="Noto Sans" w:hAnsi="Noto Sans"/>
          <w:color w:val="222B35"/>
          <w:sz w:val="20"/>
        </w:rPr>
        <w:t>Figure-caption, citation-reference, and heading-body relationship preservation.</w:t>
      </w:r>
    </w:p>
    <w:p>
      <w:pPr>
        <w:pStyle w:val="ListBullet"/>
      </w:pPr>
      <w:r>
        <w:rPr>
          <w:rFonts w:ascii="Noto Sans" w:hAnsi="Noto Sans"/>
          <w:color w:val="222B35"/>
          <w:sz w:val="20"/>
        </w:rPr>
        <w:t>Overflow, clipping, collision, and failed-constraint counts.</w:t>
      </w:r>
    </w:p>
    <w:p>
      <w:pPr>
        <w:pStyle w:val="ListBullet"/>
      </w:pPr>
      <w:r>
        <w:rPr>
          <w:rFonts w:ascii="Noto Sans" w:hAnsi="Noto Sans"/>
          <w:color w:val="222B35"/>
          <w:sz w:val="20"/>
        </w:rPr>
        <w:t>Semantic anchor drift after profile and typography changes.</w:t>
      </w:r>
    </w:p>
    <w:p>
      <w:pPr>
        <w:pStyle w:val="ListBullet"/>
      </w:pPr>
      <w:r>
        <w:rPr>
          <w:rFonts w:ascii="Noto Sans" w:hAnsi="Noto Sans"/>
          <w:color w:val="222B35"/>
          <w:sz w:val="20"/>
        </w:rPr>
        <w:t>Annotation re-resolution success and text-range accuracy.</w:t>
      </w:r>
    </w:p>
    <w:p>
      <w:pPr>
        <w:pStyle w:val="ListBullet"/>
      </w:pPr>
      <w:r>
        <w:rPr>
          <w:rFonts w:ascii="Noto Sans" w:hAnsi="Noto Sans"/>
          <w:color w:val="222B35"/>
          <w:sz w:val="20"/>
        </w:rPr>
        <w:t>Time to first stable viewport and time to full composition.</w:t>
      </w:r>
    </w:p>
    <w:p>
      <w:pPr>
        <w:pStyle w:val="ListBullet"/>
      </w:pPr>
      <w:r>
        <w:rPr>
          <w:rFonts w:ascii="Noto Sans" w:hAnsi="Noto Sans"/>
          <w:color w:val="222B35"/>
          <w:sz w:val="20"/>
        </w:rPr>
        <w:t>Determinism of layout manifests and screenshot diffs.</w:t>
      </w:r>
    </w:p>
    <w:p>
      <w:pPr>
        <w:pStyle w:val="ListBullet"/>
      </w:pPr>
      <w:r>
        <w:rPr>
          <w:rFonts w:ascii="Noto Sans" w:hAnsi="Noto Sans"/>
          <w:color w:val="222B35"/>
          <w:sz w:val="20"/>
        </w:rPr>
        <w:t>User-study measures: comprehension, task time, pan/zoom/backtracking, workload, comfort, and preference.</w:t>
      </w:r>
    </w:p>
    <w:p>
      <w:pPr>
        <w:pStyle w:val="Heading1"/>
        <w:keepNext/>
        <w:keepLines/>
      </w:pPr>
      <w:r>
        <w:t>15. POC success criteria</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2376"/>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Criterion</w:t>
            </w:r>
          </w:p>
        </w:tc>
        <w:tc>
          <w:tcPr>
            <w:tcW w:type="dxa" w:w="6984"/>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Pass condition</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Single source</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All four target profiles render from the same canonical document without target-specific content copies.</w:t>
            </w:r>
          </w:p>
        </w:tc>
      </w:tr>
      <w:tr>
        <w:trPr>
          <w:cantSplit w:val="true"/>
        </w:trPr>
        <w:tc>
          <w:tcPr>
            <w:tcW w:type="dxa" w:w="23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Semantic identity</w:t>
            </w:r>
          </w:p>
        </w:tc>
        <w:tc>
          <w:tcPr>
            <w:tcW w:type="dxa" w:w="69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Every rendered node exposes its stable ID and matches the canonical content hash.</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Relationship integrity</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All figure-caption and citation-reference links in the golden set survive every rendition.</w:t>
            </w:r>
          </w:p>
        </w:tc>
      </w:tr>
      <w:tr>
        <w:trPr>
          <w:cantSplit w:val="true"/>
        </w:trPr>
        <w:tc>
          <w:tcPr>
            <w:tcW w:type="dxa" w:w="23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No visible breakage</w:t>
            </w:r>
          </w:p>
        </w:tc>
        <w:tc>
          <w:tcPr>
            <w:tcW w:type="dxa" w:w="69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No clipping, overlap, missing mandatory content, or unreadable overflow in the golden set.</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Target differentiation</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At least one figure, column configuration, or component variant changes materially between large and small targets.</w:t>
            </w:r>
          </w:p>
        </w:tc>
      </w:tr>
      <w:tr>
        <w:trPr>
          <w:cantSplit w:val="true"/>
        </w:trPr>
        <w:tc>
          <w:tcPr>
            <w:tcW w:type="dxa" w:w="23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Reading-anchor stability</w:t>
            </w:r>
          </w:p>
        </w:tc>
        <w:tc>
          <w:tcPr>
            <w:tcW w:type="dxa" w:w="69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Switching profiles returns the reader to the same semantic sentence or an adjacent line.</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Annotation stability</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Text highlights resolve to the exact source range after all supported reflow changes.</w:t>
            </w:r>
          </w:p>
        </w:tc>
      </w:tr>
      <w:tr>
        <w:trPr>
          <w:cantSplit w:val="true"/>
        </w:trPr>
        <w:tc>
          <w:tcPr>
            <w:tcW w:type="dxa" w:w="23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Inspectability</w:t>
            </w:r>
          </w:p>
        </w:tc>
        <w:tc>
          <w:tcPr>
            <w:tcW w:type="dxa" w:w="69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 user can identify why a component moved or fell back from the studio diagnostics.</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Override isolation</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 target-specific override changes exactly one profile and leaves the canonical graph untouched.</w:t>
            </w:r>
          </w:p>
        </w:tc>
      </w:tr>
      <w:tr>
        <w:trPr>
          <w:cantSplit w:val="true"/>
        </w:trPr>
        <w:tc>
          <w:tcPr>
            <w:tcW w:type="dxa" w:w="23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Exportability</w:t>
            </w:r>
          </w:p>
        </w:tc>
        <w:tc>
          <w:tcPr>
            <w:tcW w:type="dxa" w:w="69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At least paginated PDF and reflowable HTML/EPUB artifacts are generated from the same source.</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Reproducibility</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Repository setup, fixtures, tests, and demo steps are documented and runnable locally.</w:t>
            </w:r>
          </w:p>
        </w:tc>
      </w:tr>
    </w:tbl>
    <w:p>
      <w:pPr>
        <w:pStyle w:val="Heading1"/>
        <w:keepNext/>
        <w:keepLines/>
      </w:pPr>
      <w:r>
        <w:t>16. Risks and mitigations</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2952"/>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6"/>
              </w:rPr>
              <w:t>Risk</w:t>
            </w:r>
          </w:p>
        </w:tc>
        <w:tc>
          <w:tcPr>
            <w:tcW w:type="dxa" w:w="6408"/>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6"/>
              </w:rPr>
              <w:t>Mitigation</w:t>
            </w:r>
          </w:p>
        </w:tc>
      </w:tr>
      <w:tr>
        <w:trPr>
          <w:cantSplit w:val="true"/>
        </w:trPr>
        <w:tc>
          <w:tcPr>
            <w:tcW w:type="dxa" w:w="295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Scope collapses into PDF parsing</w:t>
            </w:r>
          </w:p>
        </w:tc>
        <w:tc>
          <w:tcPr>
            <w:tcW w:type="dxa" w:w="640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Use a structured golden source first. Treat legacy PDF extraction as a separate adapter and experiment.</w:t>
            </w:r>
          </w:p>
        </w:tc>
      </w:tr>
      <w:tr>
        <w:trPr>
          <w:cantSplit w:val="true"/>
        </w:trPr>
        <w:tc>
          <w:tcPr>
            <w:tcW w:type="dxa" w:w="295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Paged-media engine limits control</w:t>
            </w:r>
          </w:p>
        </w:tc>
        <w:tc>
          <w:tcPr>
            <w:tcW w:type="dxa" w:w="640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Abstract it behind an adapter, capture a renderer-neutral manifest, and keep a custom placement layer for figures and fallbacks.</w:t>
            </w:r>
          </w:p>
        </w:tc>
      </w:tr>
      <w:tr>
        <w:trPr>
          <w:cantSplit w:val="true"/>
        </w:trPr>
        <w:tc>
          <w:tcPr>
            <w:tcW w:type="dxa" w:w="295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CSS output differs by renderer</w:t>
            </w:r>
          </w:p>
        </w:tc>
        <w:tc>
          <w:tcPr>
            <w:tcW w:type="dxa" w:w="640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Pin one reference renderer for the POC and use screenshot/manifest regression tests.</w:t>
            </w:r>
          </w:p>
        </w:tc>
      </w:tr>
      <w:tr>
        <w:trPr>
          <w:cantSplit w:val="true"/>
        </w:trPr>
        <w:tc>
          <w:tcPr>
            <w:tcW w:type="dxa" w:w="295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Complex tables/equations dominate effort</w:t>
            </w:r>
          </w:p>
        </w:tc>
        <w:tc>
          <w:tcPr>
            <w:tcW w:type="dxa" w:w="640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Treat them as atomic visual objects first; add responsive variants only after the core flow works.</w:t>
            </w:r>
          </w:p>
        </w:tc>
      </w:tr>
      <w:tr>
        <w:trPr>
          <w:cantSplit w:val="true"/>
        </w:trPr>
        <w:tc>
          <w:tcPr>
            <w:tcW w:type="dxa" w:w="295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Designer editability becomes a second product</w:t>
            </w:r>
          </w:p>
        </w:tc>
        <w:tc>
          <w:tcPr>
            <w:tcW w:type="dxa" w:w="640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Limit MVP to rule overrides and inspectable structure. Defer design-tool round-trip.</w:t>
            </w:r>
          </w:p>
        </w:tc>
      </w:tr>
      <w:tr>
        <w:trPr>
          <w:cantSplit w:val="true"/>
        </w:trPr>
        <w:tc>
          <w:tcPr>
            <w:tcW w:type="dxa" w:w="295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Annotation scope explodes</w:t>
            </w:r>
          </w:p>
        </w:tc>
        <w:tc>
          <w:tcPr>
            <w:tcW w:type="dxa" w:w="640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Ship text highlights first. Model freehand attachment policies but defer general warping.</w:t>
            </w:r>
          </w:p>
        </w:tc>
      </w:tr>
      <w:tr>
        <w:trPr>
          <w:cantSplit w:val="true"/>
        </w:trPr>
        <w:tc>
          <w:tcPr>
            <w:tcW w:type="dxa" w:w="295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Layout looks technically valid but aesthetically poor</w:t>
            </w:r>
          </w:p>
        </w:tc>
        <w:tc>
          <w:tcPr>
            <w:tcW w:type="dxa" w:w="640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Use a small, explicit design system and expert review; prioritize coherence over generic optimization.</w:t>
            </w:r>
          </w:p>
        </w:tc>
      </w:tr>
      <w:tr>
        <w:trPr>
          <w:cantSplit w:val="true"/>
        </w:trPr>
        <w:tc>
          <w:tcPr>
            <w:tcW w:type="dxa" w:w="295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Progressive pagination causes jumps</w:t>
            </w:r>
          </w:p>
        </w:tc>
        <w:tc>
          <w:tcPr>
            <w:tcW w:type="dxa" w:w="640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Anchor by semantic range, distinguish provisional from final pagination, and test reflow stability.</w:t>
            </w:r>
          </w:p>
        </w:tc>
      </w:tr>
      <w:tr>
        <w:trPr>
          <w:cantSplit w:val="true"/>
        </w:trPr>
        <w:tc>
          <w:tcPr>
            <w:tcW w:type="dxa" w:w="295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Novelty claims overreach prior work</w:t>
            </w:r>
          </w:p>
        </w:tc>
        <w:tc>
          <w:tcPr>
            <w:tcW w:type="dxa" w:w="640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Treat the literature list as research seeds; perform a reproducible review before publication claims.</w:t>
            </w:r>
          </w:p>
        </w:tc>
      </w:tr>
    </w:tbl>
    <w:p>
      <w:pPr>
        <w:pStyle w:val="Heading1"/>
        <w:keepNext/>
        <w:keepLines/>
      </w:pPr>
      <w:r>
        <w:t>17. Milestones and backlog</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2664"/>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Milestone</w:t>
            </w:r>
          </w:p>
        </w:tc>
        <w:tc>
          <w:tcPr>
            <w:tcW w:type="dxa" w:w="6696"/>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Exit criteria</w:t>
            </w:r>
          </w:p>
        </w:tc>
      </w:tr>
      <w:tr>
        <w:trPr>
          <w:cantSplit w:val="true"/>
        </w:trPr>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M0 · Skeleton and decisions</w:t>
            </w:r>
          </w:p>
        </w:tc>
        <w:tc>
          <w:tcPr>
            <w:tcW w:type="dxa" w:w="669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Repository, package boundaries, sample fixture, ADRs, test harness, and one-command studio launch.</w:t>
            </w:r>
          </w:p>
        </w:tc>
      </w:tr>
      <w:tr>
        <w:trPr>
          <w:cantSplit w:val="true"/>
        </w:trPr>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M1 · Semantic continuous view</w:t>
            </w:r>
          </w:p>
        </w:tc>
        <w:tc>
          <w:tcPr>
            <w:tcW w:type="dxa" w:w="669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Canonical graph renders as semantic HTML; four profiles alter typography and component variants without pagination.</w:t>
            </w:r>
          </w:p>
        </w:tc>
      </w:tr>
      <w:tr>
        <w:trPr>
          <w:cantSplit w:val="true"/>
        </w:trPr>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M2 · Responsive pagination</w:t>
            </w:r>
          </w:p>
        </w:tc>
        <w:tc>
          <w:tcPr>
            <w:tcW w:type="dxa" w:w="669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Finite-height pages, columns, keep rules, atomic objects, and manifests work for the golden article.</w:t>
            </w:r>
          </w:p>
        </w:tc>
      </w:tr>
      <w:tr>
        <w:trPr>
          <w:cantSplit w:val="true"/>
        </w:trPr>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M3 · Anchors and provenance</w:t>
            </w:r>
          </w:p>
        </w:tc>
        <w:tc>
          <w:tcPr>
            <w:tcW w:type="dxa" w:w="669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Reading position, highlights, notes, source mapping, and geometry invalidation survive profile changes.</w:t>
            </w:r>
          </w:p>
        </w:tc>
      </w:tr>
      <w:tr>
        <w:trPr>
          <w:cantSplit w:val="true"/>
        </w:trPr>
        <w:tc>
          <w:tcPr>
            <w:tcW w:type="dxa" w:w="26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M4 · Overrides and exports</w:t>
            </w:r>
          </w:p>
        </w:tc>
        <w:tc>
          <w:tcPr>
            <w:tcW w:type="dxa" w:w="669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One target-specific override, PDF export, EPUB-oriented export, and diagnostics complete the golden demo.</w:t>
            </w:r>
          </w:p>
        </w:tc>
      </w:tr>
      <w:tr>
        <w:trPr>
          <w:cantSplit w:val="true"/>
        </w:trPr>
        <w:tc>
          <w:tcPr>
            <w:tcW w:type="dxa" w:w="26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M5 · Evaluation package</w:t>
            </w:r>
          </w:p>
        </w:tc>
        <w:tc>
          <w:tcPr>
            <w:tcW w:type="dxa" w:w="669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Golden corpus tests, performance report, failure taxonomy, demo script, and research-method draft.</w:t>
            </w:r>
          </w:p>
        </w:tc>
      </w:tr>
    </w:tbl>
    <w:p>
      <w:pPr>
        <w:pStyle w:val="Heading2"/>
        <w:keepNext/>
        <w:keepLines/>
      </w:pPr>
      <w:r>
        <w:t>Priority backlog</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1152"/>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Priority</w:t>
            </w:r>
          </w:p>
        </w:tc>
        <w:tc>
          <w:tcPr>
            <w:tcW w:type="dxa" w:w="8208"/>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7"/>
              </w:rPr>
              <w:t>Items</w:t>
            </w:r>
          </w:p>
        </w:tc>
      </w:tr>
      <w:tr>
        <w:trPr>
          <w:cantSplit w:val="true"/>
        </w:trPr>
        <w:tc>
          <w:tcPr>
            <w:tcW w:type="dxa" w:w="115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P0</w:t>
            </w:r>
          </w:p>
        </w:tc>
        <w:tc>
          <w:tcPr>
            <w:tcW w:type="dxa" w:w="820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Schema; golden fixture; semantic renderer; target profiles; paginated composition; manifests; anchor preservation; text highlights; diagnostics; regression tests; PDF + HTML/EPUB-oriented export.</w:t>
            </w:r>
          </w:p>
        </w:tc>
      </w:tr>
      <w:tr>
        <w:trPr>
          <w:cantSplit w:val="true"/>
        </w:trPr>
        <w:tc>
          <w:tcPr>
            <w:tcW w:type="dxa" w:w="1152"/>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P1</w:t>
            </w:r>
          </w:p>
        </w:tc>
        <w:tc>
          <w:tcPr>
            <w:tcW w:type="dxa" w:w="8208"/>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JATS importer; progressive composition; target overrides; original-PDF source mapping; table variants; paragraph-relative ink note.</w:t>
            </w:r>
          </w:p>
        </w:tc>
      </w:tr>
      <w:tr>
        <w:trPr>
          <w:cantSplit w:val="true"/>
        </w:trPr>
        <w:tc>
          <w:tcPr>
            <w:tcW w:type="dxa" w:w="1152"/>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P2</w:t>
            </w:r>
          </w:p>
        </w:tc>
        <w:tc>
          <w:tcPr>
            <w:tcW w:type="dxa" w:w="8208"/>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7"/>
              </w:rPr>
              <w:t>General PDF reconstruction; advanced freehand reflow; IDML/Illustrator editability; learned layout suggestions; production CMS integration.</w:t>
            </w:r>
          </w:p>
        </w:tc>
      </w:tr>
    </w:tbl>
    <w:p>
      <w:pPr>
        <w:pStyle w:val="Heading1"/>
        <w:keepNext/>
        <w:keepLines/>
      </w:pPr>
      <w:r>
        <w:t>18. First implementation sprint</w:t>
      </w:r>
    </w:p>
    <w:p>
      <w:pPr>
        <w:pStyle w:val="BodyText"/>
      </w:pPr>
      <w:r>
        <w:rPr>
          <w:rFonts w:ascii="Noto Sans" w:hAnsi="Noto Sans"/>
          <w:i w:val="0"/>
          <w:color w:val="222B35"/>
          <w:sz w:val="20"/>
        </w:rPr>
        <w:t>The fresh agent should begin with the following sequence and avoid asking for additional product decisions unless a true blocker arises.</w:t>
      </w:r>
    </w:p>
    <w:p>
      <w:pPr>
        <w:pStyle w:val="ListBullet"/>
      </w:pPr>
      <w:r>
        <w:rPr>
          <w:rFonts w:ascii="Noto Sans" w:hAnsi="Noto Sans"/>
          <w:color w:val="222B35"/>
          <w:sz w:val="20"/>
        </w:rPr>
        <w:t>Create the repository structure and record the chosen runtime, package manager, and paged-renderer adapter in ADRs.</w:t>
      </w:r>
    </w:p>
    <w:p>
      <w:pPr>
        <w:pStyle w:val="ListBullet"/>
      </w:pPr>
      <w:r>
        <w:rPr>
          <w:rFonts w:ascii="Noto Sans" w:hAnsi="Noto Sans"/>
          <w:color w:val="222B35"/>
          <w:sz w:val="20"/>
        </w:rPr>
        <w:t>Select one legally usable scholarly fixture with a PDF and structured source, or create a representative synthetic paper if licensing is uncertain.</w:t>
      </w:r>
    </w:p>
    <w:p>
      <w:pPr>
        <w:pStyle w:val="ListBullet"/>
      </w:pPr>
      <w:r>
        <w:rPr>
          <w:rFonts w:ascii="Noto Sans" w:hAnsi="Noto Sans"/>
          <w:color w:val="222B35"/>
          <w:sz w:val="20"/>
        </w:rPr>
        <w:t>Define the smallest canonical schema that supports title, sections, paragraphs, one figure/caption, references, one equation object, and one table object.</w:t>
      </w:r>
    </w:p>
    <w:p>
      <w:pPr>
        <w:pStyle w:val="ListBullet"/>
      </w:pPr>
      <w:r>
        <w:rPr>
          <w:rFonts w:ascii="Noto Sans" w:hAnsi="Noto Sans"/>
          <w:color w:val="222B35"/>
          <w:sz w:val="20"/>
        </w:rPr>
        <w:t>Validate and serialize the fixture; ensure no content node contains target coordinates.</w:t>
      </w:r>
    </w:p>
    <w:p>
      <w:pPr>
        <w:pStyle w:val="ListBullet"/>
      </w:pPr>
      <w:r>
        <w:rPr>
          <w:rFonts w:ascii="Noto Sans" w:hAnsi="Noto Sans"/>
          <w:color w:val="222B35"/>
          <w:sz w:val="20"/>
        </w:rPr>
        <w:t>Render semantic continuous HTML with data-node-id attributes and a target-profile switch.</w:t>
      </w:r>
    </w:p>
    <w:p>
      <w:pPr>
        <w:pStyle w:val="ListBullet"/>
      </w:pPr>
      <w:r>
        <w:rPr>
          <w:rFonts w:ascii="Noto Sans" w:hAnsi="Noto Sans"/>
          <w:color w:val="222B35"/>
          <w:sz w:val="20"/>
        </w:rPr>
        <w:t>Implement four profile tokens for dimensions, typography, columns, margins, and component variants.</w:t>
      </w:r>
    </w:p>
    <w:p>
      <w:pPr>
        <w:pStyle w:val="ListBullet"/>
      </w:pPr>
      <w:r>
        <w:rPr>
          <w:rFonts w:ascii="Noto Sans" w:hAnsi="Noto Sans"/>
          <w:color w:val="222B35"/>
          <w:sz w:val="20"/>
        </w:rPr>
        <w:t>Emit a preliminary layout manifest containing semantic order, target, chosen variants, and rendered bounding boxes.</w:t>
      </w:r>
    </w:p>
    <w:p>
      <w:pPr>
        <w:pStyle w:val="ListBullet"/>
      </w:pPr>
      <w:r>
        <w:rPr>
          <w:rFonts w:ascii="Noto Sans" w:hAnsi="Noto Sans"/>
          <w:color w:val="222B35"/>
          <w:sz w:val="20"/>
        </w:rPr>
        <w:t>Add structural tests and screenshot baselines for all profiles.</w:t>
      </w:r>
    </w:p>
    <w:p>
      <w:pPr>
        <w:pStyle w:val="ListBullet"/>
      </w:pPr>
      <w:r>
        <w:rPr>
          <w:rFonts w:ascii="Noto Sans" w:hAnsi="Noto Sans"/>
          <w:color w:val="222B35"/>
          <w:sz w:val="20"/>
        </w:rPr>
        <w:t>Document failures and unknowns rather than adding hidden special cases.</w:t>
      </w:r>
    </w:p>
    <w:p>
      <w:pPr>
        <w:pStyle w:val="Heading2"/>
        <w:keepNext/>
        <w:keepLines/>
      </w:pPr>
      <w:r>
        <w:t>Sprint exit artifact</w:t>
      </w:r>
    </w:p>
    <w:tbl>
      <w:tblPr>
        <w:tblW w:type="auto" w:w="0"/>
        <w:jc w:val="center"/>
        <w:tblLayout w:type="autofit"/>
        <w:tblLook w:firstColumn="1" w:firstRow="1" w:lastColumn="0" w:lastRow="0" w:noHBand="0" w:noVBand="1" w:val="04A0"/>
      </w:tblPr>
      <w:tblGrid>
        <w:gridCol w:w="9752"/>
      </w:tblGrid>
      <w:tr>
        <w:trPr>
          <w:cantSplit w:val="true"/>
        </w:trPr>
        <w:tc>
          <w:tcPr>
            <w:tcW w:type="dxa" w:w="9752"/>
            <w:shd w:fill="E8F5E9"/>
            <w:tcBorders>
              <w:top w:val="single" w:sz="8" w:color="2E7D32"/>
              <w:left w:val="single" w:sz="18" w:color="2E7D32"/>
              <w:bottom w:val="single" w:sz="8" w:color="2E7D32"/>
              <w:right w:val="single" w:sz="8" w:color="2E7D32"/>
            </w:tcBorders>
            <w:tcMar>
              <w:top w:w="150" w:type="dxa"/>
              <w:start w:w="170" w:type="dxa"/>
              <w:bottom w:w="150" w:type="dxa"/>
              <w:end w:w="170" w:type="dxa"/>
            </w:tcMar>
          </w:tcPr>
          <w:p>
            <w:pPr>
              <w:spacing w:after="80"/>
            </w:pPr>
            <w:r>
              <w:rPr>
                <w:rFonts w:ascii="Noto Sans" w:hAnsi="Noto Sans"/>
                <w:b/>
                <w:color w:val="222B35"/>
                <w:sz w:val="20"/>
              </w:rPr>
              <w:t>Exit artifact</w:t>
            </w:r>
          </w:p>
          <w:p>
            <w:pPr>
              <w:spacing w:after="0"/>
            </w:pPr>
            <w:r>
              <w:rPr>
                <w:rFonts w:ascii="Noto Sans" w:hAnsi="Noto Sans"/>
                <w:color w:val="222B35"/>
                <w:sz w:val="19"/>
              </w:rPr>
              <w:t>One source paper visibly recomposes across four profiles in the studio, with stable semantic IDs, no clipped content, and a machine-readable manifest. Pagination and annotations may follow in the next milestone if the renderer spike is not yet stable.</w:t>
            </w:r>
          </w:p>
        </w:tc>
      </w:tr>
    </w:tbl>
    <w:p>
      <w:pPr>
        <w:spacing w:after="0"/>
      </w:pPr>
    </w:p>
    <w:p>
      <w:pPr>
        <w:pStyle w:val="Heading2"/>
        <w:keepNext/>
        <w:keepLines/>
      </w:pPr>
      <w:r>
        <w:t>First implementation decisions to record</w:t>
      </w:r>
    </w:p>
    <w:p>
      <w:pPr>
        <w:pStyle w:val="ListBullet"/>
      </w:pPr>
      <w:r>
        <w:rPr>
          <w:rFonts w:ascii="Noto Sans" w:hAnsi="Noto Sans"/>
          <w:color w:val="222B35"/>
          <w:sz w:val="20"/>
        </w:rPr>
        <w:t>ADR-001: canonical graph and versioning strategy.</w:t>
      </w:r>
    </w:p>
    <w:p>
      <w:pPr>
        <w:pStyle w:val="ListBullet"/>
      </w:pPr>
      <w:r>
        <w:rPr>
          <w:rFonts w:ascii="Noto Sans" w:hAnsi="Noto Sans"/>
          <w:color w:val="222B35"/>
          <w:sz w:val="20"/>
        </w:rPr>
        <w:t>ADR-002: paged-media renderer and adapter boundary.</w:t>
      </w:r>
    </w:p>
    <w:p>
      <w:pPr>
        <w:pStyle w:val="ListBullet"/>
      </w:pPr>
      <w:r>
        <w:rPr>
          <w:rFonts w:ascii="Noto Sans" w:hAnsi="Noto Sans"/>
          <w:color w:val="222B35"/>
          <w:sz w:val="20"/>
        </w:rPr>
        <w:t>ADR-003: semantic reading-anchor representation.</w:t>
      </w:r>
    </w:p>
    <w:p>
      <w:pPr>
        <w:pStyle w:val="ListBullet"/>
      </w:pPr>
      <w:r>
        <w:rPr>
          <w:rFonts w:ascii="Noto Sans" w:hAnsi="Noto Sans"/>
          <w:color w:val="222B35"/>
          <w:sz w:val="20"/>
        </w:rPr>
        <w:t>ADR-004: annotation selector and geometry-cache model.</w:t>
      </w:r>
    </w:p>
    <w:p>
      <w:pPr>
        <w:pStyle w:val="ListBullet"/>
      </w:pPr>
      <w:r>
        <w:rPr>
          <w:rFonts w:ascii="Noto Sans" w:hAnsi="Noto Sans"/>
          <w:color w:val="222B35"/>
          <w:sz w:val="20"/>
        </w:rPr>
        <w:t>ADR-005: target profile tokens and physical/logical unit assumptions.</w:t>
      </w:r>
    </w:p>
    <w:p>
      <w:pPr>
        <w:pStyle w:val="ListBullet"/>
      </w:pPr>
      <w:r>
        <w:rPr>
          <w:rFonts w:ascii="Noto Sans" w:hAnsi="Noto Sans"/>
          <w:color w:val="222B35"/>
          <w:sz w:val="20"/>
        </w:rPr>
        <w:t>ADR-006: layout manifest format and determinism strategy.</w:t>
      </w:r>
    </w:p>
    <w:p>
      <w:pPr>
        <w:pStyle w:val="Heading1"/>
        <w:keepNext/>
        <w:keepLines/>
      </w:pPr>
      <w:r>
        <w:t>19. Open decisions and recommended resolutions</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3096"/>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6"/>
              </w:rPr>
              <w:t>Question</w:t>
            </w:r>
          </w:p>
        </w:tc>
        <w:tc>
          <w:tcPr>
            <w:tcW w:type="dxa" w:w="6264"/>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6"/>
              </w:rPr>
              <w:t>Recommended resolution for POC</w:t>
            </w:r>
          </w:p>
        </w:tc>
      </w:tr>
      <w:tr>
        <w:trPr>
          <w:cantSplit w:val="true"/>
        </w:trPr>
        <w:tc>
          <w:tcPr>
            <w:tcW w:type="dxa" w:w="309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Should the canonical source be TeX?</w:t>
            </w:r>
          </w:p>
        </w:tc>
        <w:tc>
          <w:tcPr>
            <w:tcW w:type="dxa" w:w="62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No. Use a semantic graph. Preserve TeX/MathML/SVG as equation content where useful.</w:t>
            </w:r>
          </w:p>
        </w:tc>
      </w:tr>
      <w:tr>
        <w:trPr>
          <w:cantSplit w:val="true"/>
        </w:trPr>
        <w:tc>
          <w:tcPr>
            <w:tcW w:type="dxa" w:w="309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Should the POC start from PDF?</w:t>
            </w:r>
          </w:p>
        </w:tc>
        <w:tc>
          <w:tcPr>
            <w:tcW w:type="dxa" w:w="62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No. Start from structured source; add PDF reconstruction only after composition works.</w:t>
            </w:r>
          </w:p>
        </w:tc>
      </w:tr>
      <w:tr>
        <w:trPr>
          <w:cantSplit w:val="true"/>
        </w:trPr>
        <w:tc>
          <w:tcPr>
            <w:tcW w:type="dxa" w:w="309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Should EPUB be canonical?</w:t>
            </w:r>
          </w:p>
        </w:tc>
        <w:tc>
          <w:tcPr>
            <w:tcW w:type="dxa" w:w="62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No. EPUB is a delivery package/rendition generated from the canonical graph.</w:t>
            </w:r>
          </w:p>
        </w:tc>
      </w:tr>
      <w:tr>
        <w:trPr>
          <w:cantSplit w:val="true"/>
        </w:trPr>
        <w:tc>
          <w:tcPr>
            <w:tcW w:type="dxa" w:w="309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Should the engine be fully custom?</w:t>
            </w:r>
          </w:p>
        </w:tc>
        <w:tc>
          <w:tcPr>
            <w:tcW w:type="dxa" w:w="62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No. Reuse browser typesetting and a paged-media engine; own the schema, policies, manifest, anchors, and overrides.</w:t>
            </w:r>
          </w:p>
        </w:tc>
      </w:tr>
      <w:tr>
        <w:trPr>
          <w:cantSplit w:val="true"/>
        </w:trPr>
        <w:tc>
          <w:tcPr>
            <w:tcW w:type="dxa" w:w="309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Should layout use AI?</w:t>
            </w:r>
          </w:p>
        </w:tc>
        <w:tc>
          <w:tcPr>
            <w:tcW w:type="dxa" w:w="62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Not for P0. Establish deterministic rules and a failure taxonomy first.</w:t>
            </w:r>
          </w:p>
        </w:tc>
      </w:tr>
      <w:tr>
        <w:trPr>
          <w:cantSplit w:val="true"/>
        </w:trPr>
        <w:tc>
          <w:tcPr>
            <w:tcW w:type="dxa" w:w="309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How much design freedom?</w:t>
            </w:r>
          </w:p>
        </w:tc>
        <w:tc>
          <w:tcPr>
            <w:tcW w:type="dxa" w:w="62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A constrained academic design system with explicit component variants and a small override layer.</w:t>
            </w:r>
          </w:p>
        </w:tc>
      </w:tr>
      <w:tr>
        <w:trPr>
          <w:cantSplit w:val="true"/>
        </w:trPr>
        <w:tc>
          <w:tcPr>
            <w:tcW w:type="dxa" w:w="309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How should page count behave during reflow?</w:t>
            </w:r>
          </w:p>
        </w:tc>
        <w:tc>
          <w:tcPr>
            <w:tcW w:type="dxa" w:w="62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Permit a provisional state. Stabilize the current anchor first and finalize distant pages progressively.</w:t>
            </w:r>
          </w:p>
        </w:tc>
      </w:tr>
      <w:tr>
        <w:trPr>
          <w:cantSplit w:val="true"/>
        </w:trPr>
        <w:tc>
          <w:tcPr>
            <w:tcW w:type="dxa" w:w="309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How should complex content render?</w:t>
            </w:r>
          </w:p>
        </w:tc>
        <w:tc>
          <w:tcPr>
            <w:tcW w:type="dxa" w:w="62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Use hybrid semantic/visual fallbacks with explicit diagnostics.</w:t>
            </w:r>
          </w:p>
        </w:tc>
      </w:tr>
      <w:tr>
        <w:trPr>
          <w:cantSplit w:val="true"/>
        </w:trPr>
        <w:tc>
          <w:tcPr>
            <w:tcW w:type="dxa" w:w="309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How should freehand ink move?</w:t>
            </w:r>
          </w:p>
        </w:tc>
        <w:tc>
          <w:tcPr>
            <w:tcW w:type="dxa" w:w="626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Model attachment policies now; implement text highlights first and limited block-relative notes later.</w:t>
            </w:r>
          </w:p>
        </w:tc>
      </w:tr>
      <w:tr>
        <w:trPr>
          <w:cantSplit w:val="true"/>
        </w:trPr>
        <w:tc>
          <w:tcPr>
            <w:tcW w:type="dxa" w:w="309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What proves generality?</w:t>
            </w:r>
          </w:p>
        </w:tc>
        <w:tc>
          <w:tcPr>
            <w:tcW w:type="dxa" w:w="626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One architecture producing materially different e-ink, print, and continuous digital renditions from the same graph.</w:t>
            </w:r>
          </w:p>
        </w:tc>
      </w:tr>
    </w:tbl>
    <w:p>
      <w:pPr>
        <w:pStyle w:val="Heading1"/>
        <w:keepNext/>
        <w:keepLines/>
      </w:pPr>
      <w:r>
        <w:t>20. Research seeds and validation notes</w:t>
      </w:r>
    </w:p>
    <w:p>
      <w:pPr>
        <w:pStyle w:val="BodyText"/>
      </w:pPr>
      <w:r>
        <w:rPr>
          <w:rFonts w:ascii="Noto Sans" w:hAnsi="Noto Sans"/>
          <w:i w:val="0"/>
          <w:color w:val="222B35"/>
          <w:sz w:val="20"/>
        </w:rPr>
        <w:t>The following works and standards were identified during early exploration. They are seeds for a formal review, not a publication-ready bibliography. The fresh research agent must verify bibliographic details, inspect the primary sources, and avoid novelty claims until a reproducible search is complete.</w:t>
      </w:r>
    </w:p>
    <w:tbl>
      <w:tblPr>
        <w:tblW w:type="auto" w:w="0"/>
        <w:jc w:val="center"/>
        <w:tblLayout w:type="fixed"/>
        <w:tblLook w:firstColumn="1" w:firstRow="1" w:lastColumn="0" w:lastRow="0" w:noHBand="0" w:noVBand="1" w:val="04A0"/>
      </w:tblPr>
      <w:tblGrid>
        <w:gridCol w:w="4876"/>
        <w:gridCol w:w="4876"/>
      </w:tblGrid>
      <w:tr>
        <w:trPr>
          <w:tblHeader w:val="true"/>
          <w:cantSplit w:val="true"/>
        </w:trPr>
        <w:tc>
          <w:tcPr>
            <w:tcW w:type="dxa" w:w="2376"/>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6"/>
              </w:rPr>
              <w:t>Theme</w:t>
            </w:r>
          </w:p>
        </w:tc>
        <w:tc>
          <w:tcPr>
            <w:tcW w:type="dxa" w:w="6984"/>
            <w:shd w:fill="1F2A44"/>
            <w:tcMar>
              <w:top w:w="100" w:type="dxa"/>
              <w:start w:w="90" w:type="dxa"/>
              <w:bottom w:w="100" w:type="dxa"/>
              <w:end w:w="90" w:type="dxa"/>
            </w:tcMar>
            <w:tcBorders>
              <w:top w:val="single" w:sz="5" w:color="1F2A44"/>
              <w:left w:val="single" w:sz="5" w:color="FFFFFF"/>
              <w:bottom w:val="single" w:sz="5" w:color="1F2A44"/>
              <w:right w:val="single" w:sz="5" w:color="FFFFFF"/>
            </w:tcBorders>
          </w:tcPr>
          <w:p>
            <w:r>
              <w:rPr>
                <w:rFonts w:ascii="Noto Sans" w:hAnsi="Noto Sans"/>
                <w:b/>
                <w:color w:val="FFFFFF"/>
                <w:sz w:val="16"/>
              </w:rPr>
              <w:t>Seeds to verify</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Adaptive layout</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Adaptive Grid-Based Document Layout; Adaptive Document Layout; responsive/paged CSS and document fragmentation research.</w:t>
            </w:r>
          </w:p>
        </w:tc>
      </w:tr>
      <w:tr>
        <w:trPr>
          <w:cantSplit w:val="true"/>
        </w:trPr>
        <w:tc>
          <w:tcPr>
            <w:tcW w:type="dxa" w:w="23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PDF and scientific reflow</w:t>
            </w:r>
          </w:p>
        </w:tc>
        <w:tc>
          <w:tcPr>
            <w:tcW w:type="dxa" w:w="69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Conversion of PDF Books in ePub Format; Reflowing and Annotating Scientific Papers on eBook Readers; related mobile document-image reflow work.</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Annotation persistence</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Robust Annotation Positioning in Digital Documents; Moving Markup; Reflowing Digital Ink Annotations; W3C Web Annotation; EPUB Annotations.</w:t>
            </w:r>
          </w:p>
        </w:tc>
      </w:tr>
      <w:tr>
        <w:trPr>
          <w:cantSplit w:val="true"/>
        </w:trPr>
        <w:tc>
          <w:tcPr>
            <w:tcW w:type="dxa" w:w="23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Scholarly extraction</w:t>
            </w:r>
          </w:p>
        </w:tc>
        <w:tc>
          <w:tcPr>
            <w:tcW w:type="dxa" w:w="69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GROBID; S2ORC; PubLayNet; DocLayNet; VILA; SciA11y; Nougat; Docling; MinerU.</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Canonical semantics</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JATS; TEI where relevant; EPUB; MathML; semantic HTML.</w:t>
            </w:r>
          </w:p>
        </w:tc>
      </w:tr>
      <w:tr>
        <w:trPr>
          <w:cantSplit w:val="true"/>
        </w:trPr>
        <w:tc>
          <w:tcPr>
            <w:tcW w:type="dxa" w:w="2376"/>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Responsive composition</w:t>
            </w:r>
          </w:p>
        </w:tc>
        <w:tc>
          <w:tcPr>
            <w:tcW w:type="dxa" w:w="6984"/>
            <w:shd w:fill="F3F5F7"/>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DocDancer; FlexDoc; CSS Grid, Container Queries, Paged Media, and fragmentation engines.</w:t>
            </w:r>
          </w:p>
        </w:tc>
      </w:tr>
      <w:tr>
        <w:trPr>
          <w:cantSplit w:val="true"/>
        </w:trPr>
        <w:tc>
          <w:tcPr>
            <w:tcW w:type="dxa" w:w="2376"/>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Reading and e-ink</w:t>
            </w:r>
          </w:p>
        </w:tc>
        <w:tc>
          <w:tcPr>
            <w:tcW w:type="dxa" w:w="6984"/>
            <w:shd w:fill="FFFFFF"/>
            <w:tcMar>
              <w:top w:w="85" w:type="dxa"/>
              <w:start w:w="90" w:type="dxa"/>
              <w:bottom w:w="85" w:type="dxa"/>
              <w:end w:w="90" w:type="dxa"/>
            </w:tcMar>
            <w:tcBorders>
              <w:top w:val="single" w:sz="4" w:color="D6DCE4"/>
              <w:left w:val="single" w:sz="4" w:color="D6DCE4"/>
              <w:bottom w:val="single" w:sz="4" w:color="D6DCE4"/>
              <w:right w:val="single" w:sz="4" w:color="D6DCE4"/>
            </w:tcBorders>
          </w:tcPr>
          <w:p>
            <w:r>
              <w:rPr>
                <w:rFonts w:ascii="Noto Sans" w:hAnsi="Noto Sans"/>
                <w:color w:val="222B35"/>
                <w:sz w:val="16"/>
              </w:rPr>
              <w:t>E-ink versus paper/LCD reading studies; screen-size, scrolling, paging, navigation, active reading, and scholarly reading systems.</w:t>
            </w:r>
          </w:p>
        </w:tc>
      </w:tr>
    </w:tbl>
    <w:p>
      <w:pPr>
        <w:pStyle w:val="Heading2"/>
        <w:keepNext/>
        <w:keepLines/>
      </w:pPr>
      <w:r>
        <w:t>Novelty statement to test, not assume</w:t>
      </w:r>
    </w:p>
    <w:tbl>
      <w:tblPr>
        <w:tblW w:type="auto" w:w="0"/>
        <w:jc w:val="center"/>
        <w:tblLayout w:type="autofit"/>
        <w:tblLook w:firstColumn="1" w:firstRow="1" w:lastColumn="0" w:lastRow="0" w:noHBand="0" w:noVBand="1" w:val="04A0"/>
      </w:tblPr>
      <w:tblGrid>
        <w:gridCol w:w="9752"/>
      </w:tblGrid>
      <w:tr>
        <w:trPr>
          <w:cantSplit w:val="true"/>
        </w:trPr>
        <w:tc>
          <w:tcPr>
            <w:tcW w:type="dxa" w:w="9752"/>
            <w:shd w:fill="FFF4D6"/>
            <w:tcBorders>
              <w:top w:val="single" w:sz="8" w:color="D99816"/>
              <w:left w:val="single" w:sz="18" w:color="D99816"/>
              <w:bottom w:val="single" w:sz="8" w:color="D99816"/>
              <w:right w:val="single" w:sz="8" w:color="D99816"/>
            </w:tcBorders>
            <w:tcMar>
              <w:top w:w="150" w:type="dxa"/>
              <w:start w:w="170" w:type="dxa"/>
              <w:bottom w:w="150" w:type="dxa"/>
              <w:end w:w="170" w:type="dxa"/>
            </w:tcMar>
          </w:tcPr>
          <w:p>
            <w:pPr>
              <w:spacing w:after="80"/>
            </w:pPr>
            <w:r>
              <w:rPr>
                <w:rFonts w:ascii="Noto Sans" w:hAnsi="Noto Sans"/>
                <w:b/>
                <w:color w:val="222B35"/>
                <w:sz w:val="20"/>
              </w:rPr>
              <w:t>Apparent gap</w:t>
            </w:r>
          </w:p>
          <w:p>
            <w:pPr>
              <w:spacing w:after="0"/>
            </w:pPr>
            <w:r>
              <w:rPr>
                <w:rFonts w:ascii="Noto Sans" w:hAnsi="Noto Sans"/>
                <w:color w:val="222B35"/>
                <w:sz w:val="19"/>
              </w:rPr>
              <w:t>Prior work addresses PDF reflow, semantic extraction, adaptive layout, e-ink reading, and annotation repositioning separately. The candidate contribution is a provenance-preserving system that combines them and evaluates responsive paginated composition across materially different e-ink geometries.</w:t>
            </w:r>
          </w:p>
        </w:tc>
      </w:tr>
    </w:tbl>
    <w:p>
      <w:pPr>
        <w:spacing w:after="0"/>
      </w:pPr>
    </w:p>
    <w:p>
      <w:pPr>
        <w:pStyle w:val="Heading1"/>
        <w:keepNext/>
        <w:keepLines/>
      </w:pPr>
      <w:r>
        <w:t>21. Copy-paste kickoff prompt for the fresh agent</w:t>
      </w:r>
    </w:p>
    <w:tbl>
      <w:tblPr>
        <w:tblW w:type="auto" w:w="0"/>
        <w:jc w:val="center"/>
        <w:tblLook w:firstColumn="1" w:firstRow="1" w:lastColumn="0" w:lastRow="0" w:noHBand="0" w:noVBand="1" w:val="04A0"/>
      </w:tblPr>
      <w:tblGrid>
        <w:gridCol w:w="9752"/>
      </w:tblGrid>
      <w:tr>
        <w:trPr>
          <w:cantSplit w:val="true"/>
        </w:trPr>
        <w:tc>
          <w:tcPr>
            <w:tcW w:type="dxa" w:w="9752"/>
            <w:shd w:fill="F7F8FA"/>
            <w:tcBorders>
              <w:top w:val="single" w:sz="5" w:color="D6DCE4"/>
              <w:left w:val="single" w:sz="5" w:color="D6DCE4"/>
              <w:bottom w:val="single" w:sz="5" w:color="D6DCE4"/>
              <w:right w:val="single" w:sz="5" w:color="D6DCE4"/>
            </w:tcBorders>
            <w:tcMar>
              <w:top w:w="130" w:type="dxa"/>
              <w:start w:w="140" w:type="dxa"/>
              <w:bottom w:w="130" w:type="dxa"/>
              <w:end w:w="140" w:type="dxa"/>
            </w:tcMar>
          </w:tcPr>
          <w:p>
            <w:pPr>
              <w:spacing w:after="0" w:line="240" w:lineRule="auto"/>
            </w:pPr>
            <w:r>
              <w:rPr>
                <w:rFonts w:ascii="DejaVu Sans Mono" w:hAnsi="DejaVu Sans Mono"/>
                <w:color w:val="24313A"/>
                <w:sz w:val="16"/>
              </w:rPr>
              <w:t>You are the implementation and research agent for the Semantic Responsive Typesetting proof of concept.</w:t>
              <w:br/>
              <w:br/>
              <w:t>Read the accompanying PRD as the source of truth. Build a narrow end-to-end system proving that one canonical semantic scholarly document can be recomposed across A4 print, a large 4:3 e-ink profile, a small tall e-ink profile, and continuous mobile while preserving stable node identity, relationships, reading position, and text annotations.</w:t>
              <w:br/>
              <w:br/>
              <w:t>Use the PRD defaults unless a true blocker arises. Start with structured input and a validated JSON graph. Do not begin with arbitrary PDF reconstruction, full freehand ink, AI layout generation, a production CMS, or Illustrator/InDesign round-trip.</w:t>
              <w:br/>
              <w:br/>
              <w:t>Your first milestone is a runnable studio that renders one golden article into four visibly different profiles from the same source, embeds stable semantic IDs, and emits a layout manifest with chosen variants and geometry. Add tests and architecture decision records as you go. Make layout rules deterministic and inspectable; record failures rather than hiding them with one-off coordinates.</w:t>
              <w:br/>
              <w:br/>
              <w:t>After the core composition path is stable, add finite-height pagination, semantic reading anchors, text highlights, target-specific overrides, exports, progressive composition, and optional original-PDF provenance in that order.</w:t>
              <w:br/>
              <w:br/>
              <w:t>Deliver: repository, README, demo script, golden fixtures, tests, ADRs, benchmark results, known-limitations log, and a short research-method outline. The page is a rendition, not the document.</w:t>
            </w:r>
          </w:p>
        </w:tc>
      </w:tr>
    </w:tbl>
    <w:p>
      <w:pPr>
        <w:pStyle w:val="Heading1"/>
        <w:keepNext/>
        <w:keepLines/>
      </w:pPr>
      <w:r>
        <w:t>22. Definition of done</w:t>
      </w:r>
    </w:p>
    <w:p>
      <w:pPr>
        <w:pStyle w:val="ListBullet"/>
      </w:pPr>
      <w:r>
        <w:rPr>
          <w:rFonts w:ascii="Noto Sans" w:hAnsi="Noto Sans"/>
          <w:color w:val="222B35"/>
          <w:sz w:val="20"/>
        </w:rPr>
        <w:t>The repository runs locally from a clean checkout using documented commands.</w:t>
      </w:r>
    </w:p>
    <w:p>
      <w:pPr>
        <w:pStyle w:val="ListBullet"/>
      </w:pPr>
      <w:r>
        <w:rPr>
          <w:rFonts w:ascii="Noto Sans" w:hAnsi="Noto Sans"/>
          <w:color w:val="222B35"/>
          <w:sz w:val="20"/>
        </w:rPr>
        <w:t>One canonical article and a small golden set are committed with clear licensing or synthetic provenance.</w:t>
      </w:r>
    </w:p>
    <w:p>
      <w:pPr>
        <w:pStyle w:val="ListBullet"/>
      </w:pPr>
      <w:r>
        <w:rPr>
          <w:rFonts w:ascii="Noto Sans" w:hAnsi="Noto Sans"/>
          <w:color w:val="222B35"/>
          <w:sz w:val="20"/>
        </w:rPr>
        <w:t>The same source generates four target profiles with stable semantic IDs.</w:t>
      </w:r>
    </w:p>
    <w:p>
      <w:pPr>
        <w:pStyle w:val="ListBullet"/>
      </w:pPr>
      <w:r>
        <w:rPr>
          <w:rFonts w:ascii="Noto Sans" w:hAnsi="Noto Sans"/>
          <w:color w:val="222B35"/>
          <w:sz w:val="20"/>
        </w:rPr>
        <w:t>The paginated outputs respond to both width and finite height.</w:t>
      </w:r>
    </w:p>
    <w:p>
      <w:pPr>
        <w:pStyle w:val="ListBullet"/>
      </w:pPr>
      <w:r>
        <w:rPr>
          <w:rFonts w:ascii="Noto Sans" w:hAnsi="Noto Sans"/>
          <w:color w:val="222B35"/>
          <w:sz w:val="20"/>
        </w:rPr>
        <w:t>Mandatory nodes and relationships are preserved with no visible clipping or overlap.</w:t>
      </w:r>
    </w:p>
    <w:p>
      <w:pPr>
        <w:pStyle w:val="ListBullet"/>
      </w:pPr>
      <w:r>
        <w:rPr>
          <w:rFonts w:ascii="Noto Sans" w:hAnsi="Noto Sans"/>
          <w:color w:val="222B35"/>
          <w:sz w:val="20"/>
        </w:rPr>
        <w:t>Profile switching preserves the semantic reading position.</w:t>
      </w:r>
    </w:p>
    <w:p>
      <w:pPr>
        <w:pStyle w:val="ListBullet"/>
      </w:pPr>
      <w:r>
        <w:rPr>
          <w:rFonts w:ascii="Noto Sans" w:hAnsi="Noto Sans"/>
          <w:color w:val="222B35"/>
          <w:sz w:val="20"/>
        </w:rPr>
        <w:t>A text highlight remains attached to the exact source text after reflow.</w:t>
      </w:r>
    </w:p>
    <w:p>
      <w:pPr>
        <w:pStyle w:val="ListBullet"/>
      </w:pPr>
      <w:r>
        <w:rPr>
          <w:rFonts w:ascii="Noto Sans" w:hAnsi="Noto Sans"/>
          <w:color w:val="222B35"/>
          <w:sz w:val="20"/>
        </w:rPr>
        <w:t>A target-specific override is isolated and reversible.</w:t>
      </w:r>
    </w:p>
    <w:p>
      <w:pPr>
        <w:pStyle w:val="ListBullet"/>
      </w:pPr>
      <w:r>
        <w:rPr>
          <w:rFonts w:ascii="Noto Sans" w:hAnsi="Noto Sans"/>
          <w:color w:val="222B35"/>
          <w:sz w:val="20"/>
        </w:rPr>
        <w:t>The studio explains selected variants, fallbacks, and constraint violations.</w:t>
      </w:r>
    </w:p>
    <w:p>
      <w:pPr>
        <w:pStyle w:val="ListBullet"/>
      </w:pPr>
      <w:r>
        <w:rPr>
          <w:rFonts w:ascii="Noto Sans" w:hAnsi="Noto Sans"/>
          <w:color w:val="222B35"/>
          <w:sz w:val="20"/>
        </w:rPr>
        <w:t>A renderer-neutral layout manifest and at least PDF plus reflowable HTML/EPUB-oriented outputs are produced.</w:t>
      </w:r>
    </w:p>
    <w:p>
      <w:pPr>
        <w:pStyle w:val="ListBullet"/>
      </w:pPr>
      <w:r>
        <w:rPr>
          <w:rFonts w:ascii="Noto Sans" w:hAnsi="Noto Sans"/>
          <w:color w:val="222B35"/>
          <w:sz w:val="20"/>
        </w:rPr>
        <w:t>Structural, visual, and performance tests cover the golden path.</w:t>
      </w:r>
    </w:p>
    <w:p>
      <w:pPr>
        <w:pStyle w:val="ListBullet"/>
      </w:pPr>
      <w:r>
        <w:rPr>
          <w:rFonts w:ascii="Noto Sans" w:hAnsi="Noto Sans"/>
          <w:color w:val="222B35"/>
          <w:sz w:val="20"/>
        </w:rPr>
        <w:t>Known limitations, research seeds, and next-step hypotheses are documented without overstating novelty.</w:t>
      </w:r>
    </w:p>
    <w:tbl>
      <w:tblPr>
        <w:tblW w:type="auto" w:w="0"/>
        <w:jc w:val="center"/>
        <w:tblLayout w:type="autofit"/>
        <w:tblLook w:firstColumn="1" w:firstRow="1" w:lastColumn="0" w:lastRow="0" w:noHBand="0" w:noVBand="1" w:val="04A0"/>
      </w:tblPr>
      <w:tblGrid>
        <w:gridCol w:w="9752"/>
      </w:tblGrid>
      <w:tr>
        <w:trPr>
          <w:cantSplit w:val="true"/>
        </w:trPr>
        <w:tc>
          <w:tcPr>
            <w:tcW w:type="dxa" w:w="9752"/>
            <w:shd w:fill="EAF5F3"/>
            <w:tcBorders>
              <w:top w:val="single" w:sz="8" w:color="18766F"/>
              <w:left w:val="single" w:sz="18" w:color="18766F"/>
              <w:bottom w:val="single" w:sz="8" w:color="18766F"/>
              <w:right w:val="single" w:sz="8" w:color="18766F"/>
            </w:tcBorders>
            <w:tcMar>
              <w:top w:w="150" w:type="dxa"/>
              <w:start w:w="170" w:type="dxa"/>
              <w:bottom w:w="150" w:type="dxa"/>
              <w:end w:w="170" w:type="dxa"/>
            </w:tcMar>
          </w:tcPr>
          <w:p>
            <w:pPr>
              <w:spacing w:after="80"/>
            </w:pPr>
            <w:r>
              <w:rPr>
                <w:rFonts w:ascii="Noto Sans" w:hAnsi="Noto Sans"/>
                <w:b/>
                <w:color w:val="10534F"/>
                <w:sz w:val="20"/>
              </w:rPr>
              <w:t>Final product statement</w:t>
            </w:r>
          </w:p>
          <w:p>
            <w:pPr>
              <w:spacing w:after="0"/>
            </w:pPr>
            <w:r>
              <w:rPr>
                <w:rFonts w:ascii="Noto Sans" w:hAnsi="Noto Sans"/>
                <w:color w:val="222B35"/>
                <w:sz w:val="19"/>
              </w:rPr>
              <w:t>Semantic Responsive Typesetting treats content as a persistent semantic graph and treats pages as computed, inspectable, and replaceable renditions of that graph.</w:t>
            </w:r>
          </w:p>
        </w:tc>
      </w:tr>
    </w:tbl>
    <w:p>
      <w:pPr>
        <w:spacing w:after="0"/>
      </w:pPr>
    </w:p>
    <w:sectPr w:rsidR="00FC693F" w:rsidRPr="0006063C" w:rsidSect="00034616">
      <w:headerReference w:type="default" r:id="rId9"/>
      <w:footerReference w:type="default" r:id="rId10"/>
      <w:pgSz w:w="11906" w:h="16838"/>
      <w:pgMar w:top="1020" w:right="1077" w:bottom="964" w:left="1077"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288"/>
      <w:gridCol w:w="3288"/>
      <w:gridCol w:w="3288"/>
    </w:tblGrid>
    <w:tr>
      <w:tc>
        <w:tcPr>
          <w:tcW w:type="dxa" w:w="3515"/>
          <w:tcMar>
            <w:top w:w="20" w:type="dxa"/>
            <w:start w:w="0" w:type="dxa"/>
            <w:bottom w:w="20" w:type="dxa"/>
            <w:end w:w="0" w:type="dxa"/>
          </w:tcMar>
          <w:tcBorders>
            <w:top w:val="nil"/>
            <w:left w:val="nil"/>
            <w:bottom w:val="nil"/>
            <w:right w:val="nil"/>
          </w:tcBorders>
        </w:tcPr>
        <w:p>
          <w:pPr>
            <w:spacing w:after="0"/>
            <w:jc w:val="left"/>
          </w:pPr>
          <w:r>
            <w:rPr>
              <w:rFonts w:ascii="Noto Sans" w:hAnsi="Noto Sans"/>
              <w:color w:val="6B7280"/>
              <w:sz w:val="15"/>
            </w:rPr>
            <w:t>Working brief · v0.1</w:t>
          </w:r>
        </w:p>
      </w:tc>
      <w:tc>
        <w:tcPr>
          <w:tcW w:type="dxa" w:w="2835"/>
          <w:tcMar>
            <w:top w:w="20" w:type="dxa"/>
            <w:start w:w="0" w:type="dxa"/>
            <w:bottom w:w="20" w:type="dxa"/>
            <w:end w:w="0" w:type="dxa"/>
          </w:tcMar>
          <w:tcBorders>
            <w:top w:val="nil"/>
            <w:left w:val="nil"/>
            <w:bottom w:val="nil"/>
            <w:right w:val="nil"/>
          </w:tcBorders>
        </w:tcPr>
        <w:p>
          <w:pPr>
            <w:spacing w:after="0"/>
            <w:jc w:val="center"/>
          </w:pPr>
          <w:r>
            <w:rPr>
              <w:rFonts w:ascii="Noto Sans" w:hAnsi="Noto Sans"/>
              <w:color w:val="6B7280"/>
              <w:sz w:val="15"/>
            </w:rPr>
            <w:t xml:space="preserve">Page </w:t>
            <w:fldChar w:fldCharType="begin"/>
            <w:instrText xml:space="preserve"> PAGE </w:instrText>
            <w:fldChar w:fldCharType="end"/>
          </w:r>
        </w:p>
      </w:tc>
      <w:tc>
        <w:tcPr>
          <w:tcW w:type="dxa" w:w="3515"/>
          <w:tcMar>
            <w:top w:w="20" w:type="dxa"/>
            <w:start w:w="0" w:type="dxa"/>
            <w:bottom w:w="20" w:type="dxa"/>
            <w:end w:w="0" w:type="dxa"/>
          </w:tcMar>
          <w:tcBorders>
            <w:top w:val="nil"/>
            <w:left w:val="nil"/>
            <w:bottom w:val="nil"/>
            <w:right w:val="nil"/>
          </w:tcBorders>
        </w:tcPr>
        <w:p>
          <w:pPr>
            <w:spacing w:after="0"/>
            <w:jc w:val="right"/>
          </w:pPr>
          <w:r>
            <w:rPr>
              <w:rFonts w:ascii="Noto Sans" w:hAnsi="Noto Sans"/>
              <w:color w:val="6B7280"/>
              <w:sz w:val="15"/>
            </w:rPr>
            <w:t>12 July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w:hAnsi="Noto Sans"/>
        <w:b/>
        <w:color w:val="6B7280"/>
        <w:sz w:val="15"/>
      </w:rPr>
      <w:t>SEMANTIC RESPONSIVE TYPESETTING  ·  PRD + AGENT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ans" w:hAnsi="Noto Sans"/>
      <w:color w:val="222B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erif" w:hAnsi="Noto Serif"/>
      <w:b/>
      <w:bCs/>
      <w:color w:val="1F2A44"/>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erif" w:hAnsi="Noto Serif"/>
      <w:b/>
      <w:bCs/>
      <w:color w:val="10534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erif" w:hAnsi="Noto Serif"/>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Noto Sans" w:hAnsi="Noto Sans"/>
      <w:color w:val="222B35"/>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Noto Sans" w:hAnsi="Noto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Noto Sans" w:hAnsi="Noto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Responsive Typesetting — PRD + Agent Handoff</dc:title>
  <dc:subject>Proof of concept for semantic responsive document composition across print, e-ink, and digital surfaces</dc:subject>
  <dc:creator>OpenAI</dc:creator>
  <cp:keywords>responsive typesetting, semantic document, paged media, EPUB, e-ink, annotations, PRD</cp:keywords>
  <dc:description>Internal working brief generated from concept discussion.</dc:description>
  <cp:lastModifiedBy/>
  <cp:revision>1</cp:revision>
  <dcterms:created xsi:type="dcterms:W3CDTF">2013-12-23T23:15:00Z</dcterms:created>
  <dcterms:modified xsi:type="dcterms:W3CDTF">2013-12-23T23:15:00Z</dcterms:modified>
  <cp:category/>
</cp:coreProperties>
</file>