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semantic-responsive-typesetting"/>
    <w:p>
      <w:pPr>
        <w:pStyle w:val="CoverKicker"/>
        <w:jc w:val="left"/>
      </w:pPr>
      <w:r>
        <w:t>RESEARCH EVIDENCE PACK  ·  COMPANION TO PRD v0.1</w:t>
      </w:r>
    </w:p>
    <w:p>
      <w:pPr>
        <w:pStyle w:val="Title"/>
        <w:pBdr>
          <w:bottom w:val="single" w:sz="16" w:space="8" w:color="10534F"/>
        </w:pBdr>
      </w:pPr>
      <w:r>
        <w:t xml:space="preserve">Semantic Responsive Typesetting</w:t>
      </w:r>
    </w:p>
    <w:bookmarkStart w:id="20" w:name="literature-review--research-gap-handoff"/>
    <w:p>
      <w:pPr>
        <w:pStyle w:val="Subtitle"/>
      </w:pPr>
      <w:r>
        <w:t xml:space="preserve">Literature Review + Research-Gap Handoff</w:t>
      </w:r>
    </w:p>
    <w:p>
      <w:pPr>
        <w:pStyle w:val="FirstParagraph"/>
        <w:spacing w:after="320" w:line="283" w:lineRule="auto"/>
      </w:pPr>
      <w:r>
        <w:rPr>
          <w:b/>
          <w:color w:val="1F2A44"/>
        </w:rPr>
        <w:t xml:space="preserve">Companion to: </w:t>
      </w:r>
      <w:r>
        <w:rPr>
          <w:color w:val="222B35"/>
        </w:rPr>
        <w:t>Semantic Responsive Typesetting PRD + Agent Handoff v0.1</w:t>
      </w:r>
      <w:r>
        <w:br/>
      </w:r>
      <w:r>
        <w:rPr>
          <w:b/>
          <w:color w:val="1F2A44"/>
        </w:rPr>
        <w:t xml:space="preserve">Review type: </w:t>
      </w:r>
      <w:r>
        <w:rPr>
          <w:color w:val="222B35"/>
        </w:rPr>
        <w:t>Targeted scoping review</w:t>
      </w:r>
      <w:r>
        <w:br/>
      </w:r>
      <w:r>
        <w:rPr>
          <w:b/>
          <w:color w:val="1F2A44"/>
        </w:rPr>
        <w:t xml:space="preserve">Coverage: </w:t>
      </w:r>
      <w:r>
        <w:rPr>
          <w:color w:val="222B35"/>
        </w:rPr>
        <w:t>Adaptive composition, PDF reconstruction, scholarly reading, e-ink, annotations, and standards</w:t>
      </w:r>
      <w:r>
        <w:br/>
      </w:r>
      <w:r>
        <w:rPr>
          <w:b/>
          <w:color w:val="1F2A44"/>
        </w:rPr>
        <w:t xml:space="preserve">Prepared: </w:t>
      </w:r>
      <w:r>
        <w:rPr>
          <w:color w:val="222B35"/>
        </w:rPr>
        <w:t>12 July 2026</w:t>
      </w:r>
    </w:p>
    <w:p>
      <w:pPr>
        <w:pStyle w:val="BlockText"/>
        <w:spacing w:before="160" w:after="240" w:line="276" w:lineRule="auto"/>
        <w:ind w:left="259" w:right="173"/>
        <w:shd w:fill="E8F2F1" w:val="clear"/>
        <w:pBdr>
          <w:left w:val="single" w:sz="18" w:space="8" w:color="10534F"/>
        </w:pBdr>
      </w:pPr>
      <w:r>
        <w:rPr>
          <w:b/>
          <w:bCs/>
          <w:color w:val="1F2A44"/>
          <w:sz w:val="21"/>
        </w:rPr>
        <w:t xml:space="preserve">Core finding:</w:t>
      </w:r>
      <w:r>
        <w:rPr>
          <w:color w:val="1F2A44"/>
          <w:sz w:val="21"/>
        </w:rPr>
        <w:t xml:space="preserve"> </w:t>
      </w:r>
      <w:r>
        <w:rPr>
          <w:color w:val="1F2A44"/>
          <w:sz w:val="21"/>
        </w:rPr>
        <w:t xml:space="preserve">The individual capabilities are not new. Adaptive document layout, PDF-to-EPUB conversion, scientific-paper reflow, document reconstruction, and annotation repositioning all have substantial prior art. The credible opportunity is their integration into a fidelity-constrained system where one semantic document graph produces multiple finite-height renditions while preserving provenance, reading position, and annotations.</w:t>
      </w:r>
    </w:p>
    <w:p>
      <w:pPr>
        <w:pStyle w:val="FirstParagraph"/>
        <w:spacing w:after="0"/>
      </w:pPr>
      <w:r/>
      <w:r>
        <w:br w:type="page"/>
      </w:r>
    </w:p>
    <w:bookmarkEnd w:id="20"/>
    <w:bookmarkStart w:id="21" w:name="Xd77387e1afa440ef7159c8b91804dc4bd5c12df"/>
    <w:p>
      <w:pPr>
        <w:pStyle w:val="Heading1"/>
      </w:pPr>
      <w:r>
        <w:t xml:space="preserve">0. How to use this document</w:t>
      </w:r>
    </w:p>
    <w:p>
      <w:pPr>
        <w:pStyle w:val="FirstParagraph"/>
      </w:pPr>
      <w:r>
        <w:t xml:space="preserve">This review is a companion to the product requirements document, not a replacement for a formal systematic review. It is intended to let a fresh research or implementation agent answer four practical questions quickly:</w:t>
      </w:r>
    </w:p>
    <w:p>
      <w:pPr>
        <w:pStyle w:val="Compact"/>
        <w:numPr>
          <w:ilvl w:val="0"/>
          <w:numId w:val="1001"/>
        </w:numPr>
      </w:pPr>
      <w:r>
        <w:rPr>
          <w:b/>
          <w:bCs/>
        </w:rPr>
        <w:t xml:space="preserve">What has already been demonstrated?</w:t>
      </w:r>
    </w:p>
    <w:p>
      <w:pPr>
        <w:pStyle w:val="Compact"/>
        <w:numPr>
          <w:ilvl w:val="0"/>
          <w:numId w:val="1001"/>
        </w:numPr>
      </w:pPr>
      <w:r>
        <w:rPr>
          <w:b/>
          <w:bCs/>
        </w:rPr>
        <w:t xml:space="preserve">Which claims would be weak or historically inaccurate?</w:t>
      </w:r>
    </w:p>
    <w:p>
      <w:pPr>
        <w:pStyle w:val="Compact"/>
        <w:numPr>
          <w:ilvl w:val="0"/>
          <w:numId w:val="1001"/>
        </w:numPr>
      </w:pPr>
      <w:r>
        <w:rPr>
          <w:b/>
          <w:bCs/>
        </w:rPr>
        <w:t xml:space="preserve">Where is the apparent integrated research gap?</w:t>
      </w:r>
    </w:p>
    <w:p>
      <w:pPr>
        <w:pStyle w:val="Compact"/>
        <w:numPr>
          <w:ilvl w:val="0"/>
          <w:numId w:val="1001"/>
        </w:numPr>
      </w:pPr>
      <w:r>
        <w:rPr>
          <w:b/>
          <w:bCs/>
        </w:rPr>
        <w:t xml:space="preserve">Which literature-derived decisions should constrain the proof of concept?</w:t>
      </w:r>
    </w:p>
    <w:p>
      <w:pPr>
        <w:pStyle w:val="FirstParagraph"/>
      </w:pPr>
      <w:r>
        <w:t xml:space="preserve">The review deliberately separates the</w:t>
      </w:r>
      <w:r>
        <w:t xml:space="preserve"> </w:t>
      </w:r>
      <w:r>
        <w:rPr>
          <w:b/>
          <w:bCs/>
        </w:rPr>
        <w:t xml:space="preserve">demonstrator domain</w:t>
      </w:r>
      <w:r>
        <w:t xml:space="preserve"> </w:t>
      </w:r>
      <w:r>
        <w:t xml:space="preserve">from the</w:t>
      </w:r>
      <w:r>
        <w:t xml:space="preserve"> </w:t>
      </w:r>
      <w:r>
        <w:rPr>
          <w:b/>
          <w:bCs/>
        </w:rPr>
        <w:t xml:space="preserve">product thesis</w:t>
      </w:r>
      <w:r>
        <w:t xml:space="preserve">:</w:t>
      </w:r>
    </w:p>
    <w:p>
      <w:pPr>
        <w:pStyle w:val="Compact"/>
        <w:numPr>
          <w:ilvl w:val="0"/>
          <w:numId w:val="1002"/>
        </w:numPr>
      </w:pPr>
      <w:r>
        <w:t xml:space="preserve">The demonstrator is scholarly papers rendered for A4, large e-ink, small/tall e-ink, and continuous digital reading.</w:t>
      </w:r>
    </w:p>
    <w:p>
      <w:pPr>
        <w:pStyle w:val="Compact"/>
        <w:numPr>
          <w:ilvl w:val="0"/>
          <w:numId w:val="1002"/>
        </w:numPr>
      </w:pPr>
      <w:r>
        <w:t xml:space="preserve">The thesis is</w:t>
      </w:r>
      <w:r>
        <w:t xml:space="preserve"> </w:t>
      </w:r>
      <w:r>
        <w:rPr>
          <w:b/>
          <w:bCs/>
        </w:rPr>
        <w:t xml:space="preserve">Semantic Responsive Typesetting (SRT):</w:t>
      </w:r>
      <w:r>
        <w:t xml:space="preserve"> </w:t>
      </w:r>
      <w:r>
        <w:t xml:space="preserve">a semantic, constraint-based composition architecture in which pages and coordinates are generated renditions rather than the canonical document.</w:t>
      </w:r>
    </w:p>
    <w:p>
      <w:pPr>
        <w:pStyle w:val="FirstParagraph"/>
      </w:pPr>
      <w:r>
        <w:t xml:space="preserve">The short handoff for a new agent is in Section 14. The annotated reading list is in Section 15. A machine-importable BibTeX file accompanies this review.</w:t>
      </w:r>
    </w:p>
    <w:bookmarkEnd w:id="21"/>
    <w:bookmarkStart w:id="22" w:name="X40883a58deb05139b3b762baf31d413cbbb3275"/>
    <w:p>
      <w:pPr>
        <w:pStyle w:val="Heading1"/>
      </w:pPr>
      <w:r>
        <w:t xml:space="preserve">1. Executive synthesis</w:t>
      </w:r>
    </w:p>
    <w:p>
      <w:pPr>
        <w:pStyle w:val="FirstParagraph"/>
      </w:pPr>
      <w:r>
        <w:t xml:space="preserve">The broad problem is not “unsolved” in the sense that nobody has attempted dynamic document layout. It is</w:t>
      </w:r>
      <w:r>
        <w:t xml:space="preserve"> </w:t>
      </w:r>
      <w:r>
        <w:rPr>
          <w:b/>
          <w:bCs/>
        </w:rPr>
        <w:t xml:space="preserve">split across research lineages that optimize for different goals</w:t>
      </w:r>
      <w:r>
        <w:t xml:space="preserve">.</w:t>
      </w:r>
    </w:p>
    <w:tbl>
      <w:tblPr>
        <w:tblStyle w:val="TableGrid"/>
        <w:tblW w:type="auto" w:w="0"/>
        <w:jc w:val="center"/>
        <w:tblLayout w:type="fixed"/>
        <w:tblLook w:firstRow="1" w:lastRow="0" w:firstColumn="0" w:lastColumn="0" w:noHBand="0" w:noVBand="0" w:val="0020"/>
        <w:tblBorders>
          <w:top w:val="single" w:sz="4" w:color="D8DEE5"/>
          <w:left w:val="single" w:sz="4" w:color="D8DEE5"/>
          <w:bottom w:val="single" w:sz="4" w:color="D8DEE5"/>
          <w:right w:val="single" w:sz="4" w:color="D8DEE5"/>
          <w:insideH w:val="single" w:sz="4" w:color="D8DEE5"/>
          <w:insideV w:val="single" w:sz="4" w:color="D8DEE5"/>
        </w:tblBorders>
        <w:tblCaption w:val="Literature review table 1"/>
        <w:tblDescription w:val="Structured evidence summary for Semantic Responsive Typesetting."/>
      </w:tblPr>
      <w:tblGrid>
        <w:gridCol w:w="2640"/>
        <w:gridCol w:w="2640"/>
        <w:gridCol w:w="2640"/>
      </w:tblGrid>
      <w:tr>
        <w:trPr>
          <w:tblHeader w:val="on"/>
          <w:cantSplit/>
          <w:tblHeader w:val="true"/>
        </w:trPr>
        <w:tc>
          <w:tcPr>
            <w:vAlign w:val="top"/>
            <w:tcMar>
              <w:top w:w="70" w:type="dxa"/>
              <w:start w:w="85" w:type="dxa"/>
              <w:bottom w:w="70" w:type="dxa"/>
              <w:end w:w="85" w:type="dxa"/>
            </w:tcMar>
            <w:tcW w:w="1843" w:type="dxa"/>
            <w:shd w:fill="1F2A44" w:val="clear"/>
          </w:tcPr>
          <w:p>
            <w:pPr>
              <w:spacing w:after="40" w:line="240" w:lineRule="auto"/>
              <w:jc w:val="left"/>
            </w:pPr>
            <w:r>
              <w:rPr>
                <w:rFonts w:ascii="Noto Sans" w:hAnsi="Noto Sans" w:eastAsia="Noto Sans"/>
                <w:b/>
                <w:color w:val="FFFFFF"/>
                <w:sz w:val="16"/>
              </w:rPr>
              <w:t xml:space="preserve">Claim</w:t>
            </w:r>
          </w:p>
        </w:tc>
        <w:tc>
          <w:tcPr>
            <w:vAlign w:val="top"/>
            <w:tcMar>
              <w:top w:w="70" w:type="dxa"/>
              <w:start w:w="85" w:type="dxa"/>
              <w:bottom w:w="70" w:type="dxa"/>
              <w:end w:w="85" w:type="dxa"/>
            </w:tcMar>
            <w:tcW w:w="4392" w:type="dxa"/>
            <w:shd w:fill="1F2A44" w:val="clear"/>
          </w:tcPr>
          <w:p>
            <w:pPr>
              <w:spacing w:after="40" w:line="240" w:lineRule="auto"/>
              <w:jc w:val="left"/>
            </w:pPr>
            <w:r>
              <w:rPr>
                <w:rFonts w:ascii="Noto Sans" w:hAnsi="Noto Sans" w:eastAsia="Noto Sans"/>
                <w:b/>
                <w:color w:val="FFFFFF"/>
                <w:sz w:val="16"/>
              </w:rPr>
              <w:t xml:space="preserve">What the literature shows</w:t>
            </w:r>
          </w:p>
        </w:tc>
        <w:tc>
          <w:tcPr>
            <w:vAlign w:val="top"/>
            <w:tcMar>
              <w:top w:w="70" w:type="dxa"/>
              <w:start w:w="85" w:type="dxa"/>
              <w:bottom w:w="70" w:type="dxa"/>
              <w:end w:w="85" w:type="dxa"/>
            </w:tcMar>
            <w:tcW w:w="3240" w:type="dxa"/>
            <w:shd w:fill="1F2A44" w:val="clear"/>
          </w:tcPr>
          <w:p>
            <w:pPr>
              <w:spacing w:after="40" w:line="240" w:lineRule="auto"/>
              <w:jc w:val="left"/>
            </w:pPr>
            <w:r>
              <w:rPr>
                <w:rFonts w:ascii="Noto Sans" w:hAnsi="Noto Sans" w:eastAsia="Noto Sans"/>
                <w:b/>
                <w:color w:val="FFFFFF"/>
                <w:sz w:val="16"/>
              </w:rPr>
              <w:t xml:space="preserve">Consequence for the POC</w:t>
            </w:r>
          </w:p>
        </w:tc>
      </w:tr>
      <w:tr>
        <w:trPr>
          <w:cantSplit/>
        </w:trPr>
        <w:tc>
          <w:tcPr>
            <w:vAlign w:val="top"/>
            <w:tcMar>
              <w:top w:w="70" w:type="dxa"/>
              <w:start w:w="85" w:type="dxa"/>
              <w:bottom w:w="70" w:type="dxa"/>
              <w:end w:w="85" w:type="dxa"/>
            </w:tcMar>
            <w:tcW w:w="1843" w:type="dxa"/>
          </w:tcPr>
          <w:p>
            <w:pPr>
              <w:spacing w:after="40" w:line="240" w:lineRule="auto"/>
              <w:jc w:val="left"/>
            </w:pPr>
            <w:r>
              <w:rPr>
                <w:rFonts w:ascii="Noto Sans" w:hAnsi="Noto Sans" w:eastAsia="Noto Sans"/>
                <w:color w:val="222B35"/>
                <w:sz w:val="16"/>
              </w:rPr>
              <w:t xml:space="preserve">Documents can adapt to different displays</w:t>
            </w:r>
          </w:p>
        </w:tc>
        <w:tc>
          <w:tcPr>
            <w:vAlign w:val="top"/>
            <w:tcMar>
              <w:top w:w="70" w:type="dxa"/>
              <w:start w:w="85" w:type="dxa"/>
              <w:bottom w:w="70" w:type="dxa"/>
              <w:end w:w="85" w:type="dxa"/>
            </w:tcMar>
            <w:tcW w:w="4392" w:type="dxa"/>
          </w:tcPr>
          <w:p>
            <w:pPr>
              <w:spacing w:after="40" w:line="240" w:lineRule="auto"/>
              <w:jc w:val="left"/>
            </w:pPr>
            <w:r>
              <w:rPr>
                <w:rFonts w:ascii="Noto Sans" w:hAnsi="Noto Sans" w:eastAsia="Noto Sans"/>
                <w:color w:val="222B35"/>
                <w:sz w:val="16"/>
              </w:rPr>
              <w:t xml:space="preserve">Adaptive grid and document-layout systems demonstrated this in the early 2000s; newer systems support multiple responsive factors and optimization.</w:t>
            </w:r>
          </w:p>
        </w:tc>
        <w:tc>
          <w:tcPr>
            <w:vAlign w:val="top"/>
            <w:tcMar>
              <w:top w:w="70" w:type="dxa"/>
              <w:start w:w="85" w:type="dxa"/>
              <w:bottom w:w="70" w:type="dxa"/>
              <w:end w:w="85" w:type="dxa"/>
            </w:tcMar>
            <w:tcW w:w="3240" w:type="dxa"/>
          </w:tcPr>
          <w:p>
            <w:pPr>
              <w:spacing w:after="40" w:line="240" w:lineRule="auto"/>
              <w:jc w:val="left"/>
            </w:pPr>
            <w:r>
              <w:rPr>
                <w:rFonts w:ascii="Noto Sans" w:hAnsi="Noto Sans" w:eastAsia="Noto Sans"/>
                <w:color w:val="222B35"/>
                <w:sz w:val="16"/>
              </w:rPr>
              <w:t xml:space="preserve">Do not claim the first adaptive or responsive document system.</w:t>
            </w:r>
          </w:p>
        </w:tc>
      </w:tr>
      <w:tr>
        <w:trPr>
          <w:cantSplit/>
        </w:trPr>
        <w:tc>
          <w:tcPr>
            <w:vAlign w:val="top"/>
            <w:tcMar>
              <w:top w:w="70" w:type="dxa"/>
              <w:start w:w="85" w:type="dxa"/>
              <w:bottom w:w="70" w:type="dxa"/>
              <w:end w:w="85" w:type="dxa"/>
            </w:tcMar>
            <w:tcW w:w="1843" w:type="dxa"/>
            <w:shd w:fill="F3F5F7" w:val="clear"/>
          </w:tcPr>
          <w:p>
            <w:pPr>
              <w:spacing w:after="40" w:line="240" w:lineRule="auto"/>
              <w:jc w:val="left"/>
            </w:pPr>
            <w:r>
              <w:rPr>
                <w:rFonts w:ascii="Noto Sans" w:hAnsi="Noto Sans" w:eastAsia="Noto Sans"/>
                <w:color w:val="222B35"/>
                <w:sz w:val="16"/>
              </w:rPr>
              <w:t xml:space="preserve">PDFs can be converted or reflowed</w:t>
            </w:r>
          </w:p>
        </w:tc>
        <w:tc>
          <w:tcPr>
            <w:vAlign w:val="top"/>
            <w:tcMar>
              <w:top w:w="70" w:type="dxa"/>
              <w:start w:w="85" w:type="dxa"/>
              <w:bottom w:w="70" w:type="dxa"/>
              <w:end w:w="85" w:type="dxa"/>
            </w:tcMar>
            <w:tcW w:w="4392" w:type="dxa"/>
            <w:shd w:fill="F3F5F7" w:val="clear"/>
          </w:tcPr>
          <w:p>
            <w:pPr>
              <w:spacing w:after="40" w:line="240" w:lineRule="auto"/>
              <w:jc w:val="left"/>
            </w:pPr>
            <w:r>
              <w:rPr>
                <w:rFonts w:ascii="Noto Sans" w:hAnsi="Noto Sans" w:eastAsia="Noto Sans"/>
                <w:color w:val="222B35"/>
                <w:sz w:val="16"/>
              </w:rPr>
              <w:t xml:space="preserve">PDF-to-EPUB book conversion appeared in 2011; a 2013 system reflowed scientific papers for e-book readers and translated annotations.</w:t>
            </w:r>
          </w:p>
        </w:tc>
        <w:tc>
          <w:tcPr>
            <w:vAlign w:val="top"/>
            <w:tcMar>
              <w:top w:w="70" w:type="dxa"/>
              <w:start w:w="85" w:type="dxa"/>
              <w:bottom w:w="70" w:type="dxa"/>
              <w:end w:w="85" w:type="dxa"/>
            </w:tcMar>
            <w:tcW w:w="3240" w:type="dxa"/>
            <w:shd w:fill="F3F5F7" w:val="clear"/>
          </w:tcPr>
          <w:p>
            <w:pPr>
              <w:spacing w:after="40" w:line="240" w:lineRule="auto"/>
              <w:jc w:val="left"/>
            </w:pPr>
            <w:r>
              <w:rPr>
                <w:rFonts w:ascii="Noto Sans" w:hAnsi="Noto Sans" w:eastAsia="Noto Sans"/>
                <w:color w:val="222B35"/>
                <w:sz w:val="16"/>
              </w:rPr>
              <w:t xml:space="preserve">Do not frame novelty as PDF-to-EPUB or one-column reflow.</w:t>
            </w:r>
          </w:p>
        </w:tc>
      </w:tr>
      <w:tr>
        <w:trPr>
          <w:cantSplit/>
        </w:trPr>
        <w:tc>
          <w:tcPr>
            <w:vAlign w:val="top"/>
            <w:tcMar>
              <w:top w:w="70" w:type="dxa"/>
              <w:start w:w="85" w:type="dxa"/>
              <w:bottom w:w="70" w:type="dxa"/>
              <w:end w:w="85" w:type="dxa"/>
            </w:tcMar>
            <w:tcW w:w="1843" w:type="dxa"/>
          </w:tcPr>
          <w:p>
            <w:pPr>
              <w:spacing w:after="40" w:line="240" w:lineRule="auto"/>
              <w:jc w:val="left"/>
            </w:pPr>
            <w:r>
              <w:rPr>
                <w:rFonts w:ascii="Noto Sans" w:hAnsi="Noto Sans" w:eastAsia="Noto Sans"/>
                <w:color w:val="222B35"/>
                <w:sz w:val="16"/>
              </w:rPr>
              <w:t xml:space="preserve">Scholarly PDFs can be reconstructed</w:t>
            </w:r>
          </w:p>
        </w:tc>
        <w:tc>
          <w:tcPr>
            <w:vAlign w:val="top"/>
            <w:tcMar>
              <w:top w:w="70" w:type="dxa"/>
              <w:start w:w="85" w:type="dxa"/>
              <w:bottom w:w="70" w:type="dxa"/>
              <w:end w:w="85" w:type="dxa"/>
            </w:tcMar>
            <w:tcW w:w="4392" w:type="dxa"/>
          </w:tcPr>
          <w:p>
            <w:pPr>
              <w:spacing w:after="40" w:line="240" w:lineRule="auto"/>
              <w:jc w:val="left"/>
            </w:pPr>
            <w:r>
              <w:rPr>
                <w:rFonts w:ascii="Noto Sans" w:hAnsi="Noto Sans" w:eastAsia="Noto Sans"/>
                <w:color w:val="222B35"/>
                <w:sz w:val="16"/>
              </w:rPr>
              <w:t xml:space="preserve">GROBID-like pipelines, PubLayNet, S2ORC, SciA11y, DocLayNet, VILA, Nougat, Docling, and MinerU make structured recovery increasingly practical.</w:t>
            </w:r>
          </w:p>
        </w:tc>
        <w:tc>
          <w:tcPr>
            <w:vAlign w:val="top"/>
            <w:tcMar>
              <w:top w:w="70" w:type="dxa"/>
              <w:start w:w="85" w:type="dxa"/>
              <w:bottom w:w="70" w:type="dxa"/>
              <w:end w:w="85" w:type="dxa"/>
            </w:tcMar>
            <w:tcW w:w="3240" w:type="dxa"/>
          </w:tcPr>
          <w:p>
            <w:pPr>
              <w:spacing w:after="40" w:line="240" w:lineRule="auto"/>
              <w:jc w:val="left"/>
            </w:pPr>
            <w:r>
              <w:rPr>
                <w:rFonts w:ascii="Noto Sans" w:hAnsi="Noto Sans" w:eastAsia="Noto Sans"/>
                <w:color w:val="222B35"/>
                <w:sz w:val="16"/>
              </w:rPr>
              <w:t xml:space="preserve">Use existing extraction components; do not make OCR the core contribution.</w:t>
            </w:r>
          </w:p>
        </w:tc>
      </w:tr>
      <w:tr>
        <w:trPr>
          <w:cantSplit/>
        </w:trPr>
        <w:tc>
          <w:tcPr>
            <w:vAlign w:val="top"/>
            <w:tcMar>
              <w:top w:w="70" w:type="dxa"/>
              <w:start w:w="85" w:type="dxa"/>
              <w:bottom w:w="70" w:type="dxa"/>
              <w:end w:w="85" w:type="dxa"/>
            </w:tcMar>
            <w:tcW w:w="1843" w:type="dxa"/>
            <w:shd w:fill="F3F5F7" w:val="clear"/>
          </w:tcPr>
          <w:p>
            <w:pPr>
              <w:spacing w:after="40" w:line="240" w:lineRule="auto"/>
              <w:jc w:val="left"/>
            </w:pPr>
            <w:r>
              <w:rPr>
                <w:rFonts w:ascii="Noto Sans" w:hAnsi="Noto Sans" w:eastAsia="Noto Sans"/>
                <w:color w:val="222B35"/>
                <w:sz w:val="16"/>
              </w:rPr>
              <w:t xml:space="preserve">Annotation anchors can survive change</w:t>
            </w:r>
          </w:p>
        </w:tc>
        <w:tc>
          <w:tcPr>
            <w:vAlign w:val="top"/>
            <w:tcMar>
              <w:top w:w="70" w:type="dxa"/>
              <w:start w:w="85" w:type="dxa"/>
              <w:bottom w:w="70" w:type="dxa"/>
              <w:end w:w="85" w:type="dxa"/>
            </w:tcMar>
            <w:tcW w:w="4392" w:type="dxa"/>
            <w:shd w:fill="F3F5F7" w:val="clear"/>
          </w:tcPr>
          <w:p>
            <w:pPr>
              <w:spacing w:after="40" w:line="240" w:lineRule="auto"/>
              <w:jc w:val="left"/>
            </w:pPr>
            <w:r>
              <w:rPr>
                <w:rFonts w:ascii="Noto Sans" w:hAnsi="Noto Sans" w:eastAsia="Noto Sans"/>
                <w:color w:val="222B35"/>
                <w:sz w:val="16"/>
              </w:rPr>
              <w:t xml:space="preserve">Robust anchoring and digital-ink reflow were studied from 2001 onward; Web Annotation now provides a standard selector model.</w:t>
            </w:r>
          </w:p>
        </w:tc>
        <w:tc>
          <w:tcPr>
            <w:vAlign w:val="top"/>
            <w:tcMar>
              <w:top w:w="70" w:type="dxa"/>
              <w:start w:w="85" w:type="dxa"/>
              <w:bottom w:w="70" w:type="dxa"/>
              <w:end w:w="85" w:type="dxa"/>
            </w:tcMar>
            <w:tcW w:w="3240" w:type="dxa"/>
            <w:shd w:fill="F3F5F7" w:val="clear"/>
          </w:tcPr>
          <w:p>
            <w:pPr>
              <w:spacing w:after="40" w:line="240" w:lineRule="auto"/>
              <w:jc w:val="left"/>
            </w:pPr>
            <w:r>
              <w:rPr>
                <w:rFonts w:ascii="Noto Sans" w:hAnsi="Noto Sans" w:eastAsia="Noto Sans"/>
                <w:color w:val="222B35"/>
                <w:sz w:val="16"/>
              </w:rPr>
              <w:t xml:space="preserve">Start with semantic text anchors; treat arbitrary ink transformation as a separate research problem.</w:t>
            </w:r>
          </w:p>
        </w:tc>
      </w:tr>
      <w:tr>
        <w:trPr>
          <w:cantSplit/>
        </w:trPr>
        <w:tc>
          <w:tcPr>
            <w:vAlign w:val="top"/>
            <w:tcMar>
              <w:top w:w="70" w:type="dxa"/>
              <w:start w:w="85" w:type="dxa"/>
              <w:bottom w:w="70" w:type="dxa"/>
              <w:end w:w="85" w:type="dxa"/>
            </w:tcMar>
            <w:tcW w:w="1843" w:type="dxa"/>
          </w:tcPr>
          <w:p>
            <w:pPr>
              <w:spacing w:after="40" w:line="240" w:lineRule="auto"/>
              <w:jc w:val="left"/>
            </w:pPr>
            <w:r>
              <w:rPr>
                <w:rFonts w:ascii="Noto Sans" w:hAnsi="Noto Sans" w:eastAsia="Noto Sans"/>
                <w:color w:val="222B35"/>
                <w:sz w:val="16"/>
              </w:rPr>
              <w:t xml:space="preserve">E-ink can support serious reading</w:t>
            </w:r>
          </w:p>
        </w:tc>
        <w:tc>
          <w:tcPr>
            <w:vAlign w:val="top"/>
            <w:tcMar>
              <w:top w:w="70" w:type="dxa"/>
              <w:start w:w="85" w:type="dxa"/>
              <w:bottom w:w="70" w:type="dxa"/>
              <w:end w:w="85" w:type="dxa"/>
            </w:tcMar>
            <w:tcW w:w="4392" w:type="dxa"/>
          </w:tcPr>
          <w:p>
            <w:pPr>
              <w:spacing w:after="40" w:line="240" w:lineRule="auto"/>
              <w:jc w:val="left"/>
            </w:pPr>
            <w:r>
              <w:rPr>
                <w:rFonts w:ascii="Noto Sans" w:hAnsi="Noto Sans" w:eastAsia="Noto Sans"/>
                <w:color w:val="222B35"/>
                <w:sz w:val="16"/>
              </w:rPr>
              <w:t xml:space="preserve">Studies find paper-like eye-movement behaviour and less visual fatigue than LCD in some conditions, while academic reading studies expose navigation and annotation limitations.</w:t>
            </w:r>
          </w:p>
        </w:tc>
        <w:tc>
          <w:tcPr>
            <w:vAlign w:val="top"/>
            <w:tcMar>
              <w:top w:w="70" w:type="dxa"/>
              <w:start w:w="85" w:type="dxa"/>
              <w:bottom w:w="70" w:type="dxa"/>
              <w:end w:w="85" w:type="dxa"/>
            </w:tcMar>
            <w:tcW w:w="3240" w:type="dxa"/>
          </w:tcPr>
          <w:p>
            <w:pPr>
              <w:spacing w:after="40" w:line="240" w:lineRule="auto"/>
              <w:jc w:val="left"/>
            </w:pPr>
            <w:r>
              <w:rPr>
                <w:rFonts w:ascii="Noto Sans" w:hAnsi="Noto Sans" w:eastAsia="Noto Sans"/>
                <w:color w:val="222B35"/>
                <w:sz w:val="16"/>
              </w:rPr>
              <w:t xml:space="preserve">The key comparison is representation × viewport geometry, not “e-ink versus paper” alone.</w:t>
            </w:r>
          </w:p>
        </w:tc>
      </w:tr>
      <w:tr>
        <w:trPr>
          <w:cantSplit/>
        </w:trPr>
        <w:tc>
          <w:tcPr>
            <w:vAlign w:val="top"/>
            <w:tcMar>
              <w:top w:w="70" w:type="dxa"/>
              <w:start w:w="85" w:type="dxa"/>
              <w:bottom w:w="70" w:type="dxa"/>
              <w:end w:w="85" w:type="dxa"/>
            </w:tcMar>
            <w:tcW w:w="1843" w:type="dxa"/>
            <w:shd w:fill="F3F5F7" w:val="clear"/>
          </w:tcPr>
          <w:p>
            <w:pPr>
              <w:spacing w:after="40" w:line="240" w:lineRule="auto"/>
              <w:jc w:val="left"/>
            </w:pPr>
            <w:r>
              <w:rPr>
                <w:rFonts w:ascii="Noto Sans" w:hAnsi="Noto Sans" w:eastAsia="Noto Sans"/>
                <w:color w:val="222B35"/>
                <w:sz w:val="16"/>
              </w:rPr>
              <w:t xml:space="preserve">Standards provide most low-level primitives</w:t>
            </w:r>
          </w:p>
        </w:tc>
        <w:tc>
          <w:tcPr>
            <w:vAlign w:val="top"/>
            <w:tcMar>
              <w:top w:w="70" w:type="dxa"/>
              <w:start w:w="85" w:type="dxa"/>
              <w:bottom w:w="70" w:type="dxa"/>
              <w:end w:w="85" w:type="dxa"/>
            </w:tcMar>
            <w:tcW w:w="4392" w:type="dxa"/>
            <w:shd w:fill="F3F5F7" w:val="clear"/>
          </w:tcPr>
          <w:p>
            <w:pPr>
              <w:spacing w:after="40" w:line="240" w:lineRule="auto"/>
              <w:jc w:val="left"/>
            </w:pPr>
            <w:r>
              <w:rPr>
                <w:rFonts w:ascii="Noto Sans" w:hAnsi="Noto Sans" w:eastAsia="Noto Sans"/>
                <w:color w:val="222B35"/>
                <w:sz w:val="16"/>
              </w:rPr>
              <w:t xml:space="preserve">JATS supplies scholarly semantics; HTML/CSS supply layout and fragmentation; EPUB supplies reflowable packaging; Web Annotation supplies target selectors.</w:t>
            </w:r>
          </w:p>
        </w:tc>
        <w:tc>
          <w:tcPr>
            <w:vAlign w:val="top"/>
            <w:tcMar>
              <w:top w:w="70" w:type="dxa"/>
              <w:start w:w="85" w:type="dxa"/>
              <w:bottom w:w="70" w:type="dxa"/>
              <w:end w:w="85" w:type="dxa"/>
            </w:tcMar>
            <w:tcW w:w="3240" w:type="dxa"/>
            <w:shd w:fill="F3F5F7" w:val="clear"/>
          </w:tcPr>
          <w:p>
            <w:pPr>
              <w:spacing w:after="40" w:line="240" w:lineRule="auto"/>
              <w:jc w:val="left"/>
            </w:pPr>
            <w:r>
              <w:rPr>
                <w:rFonts w:ascii="Noto Sans" w:hAnsi="Noto Sans" w:eastAsia="Noto Sans"/>
                <w:color w:val="222B35"/>
                <w:sz w:val="16"/>
              </w:rPr>
              <w:t xml:space="preserve">Own a thin domain schema and policy layer rather than inventing a complete format stack.</w:t>
            </w:r>
          </w:p>
        </w:tc>
      </w:tr>
    </w:tbl>
    <w:p>
      <w:pPr>
        <w:pStyle w:val="BodyText"/>
      </w:pPr>
      <w:r>
        <w:t xml:space="preserve">The strongest apparent gap is therefore not any one component. It is the full loop:</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structured or reconstructed scholarly source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canonical semantic graph with provenance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constraint-based composition across width and finite height</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A4 / large e-ink / small e-ink / continuous digital renditions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stable reading anchors and annotations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engineering and active-reading evaluation</w:t>
      </w:r>
    </w:p>
    <w:p>
      <w:pPr>
        <w:pStyle w:val="FirstParagraph"/>
      </w:pPr>
      <w:r>
        <w:t xml:space="preserve">A defensible research claim is:</w:t>
      </w:r>
    </w:p>
    <w:p>
      <w:pPr>
        <w:pStyle w:val="BlockText"/>
        <w:spacing w:before="120" w:after="140"/>
        <w:ind w:left="346" w:right="259"/>
        <w:shd w:fill="EAF0F7" w:val="clear"/>
        <w:pBdr>
          <w:left w:val="single" w:sz="16" w:space="7" w:color="4F81BD"/>
        </w:pBdr>
      </w:pPr>
      <w:r>
        <w:rPr>
          <w:i/>
          <w:color w:val="1F2A44"/>
          <w:sz w:val="20"/>
        </w:rPr>
        <w:t xml:space="preserve">We design and evaluate an integrated semantic composition architecture that generates multiple faithful, paginated renditions from one canonical scholarly document while preserving object identity, source provenance, reading position, and annotation targets.</w:t>
      </w:r>
    </w:p>
    <w:p>
      <w:pPr>
        <w:pStyle w:val="FirstParagraph"/>
      </w:pPr>
      <w:r>
        <w:t xml:space="preserve">The words</w:t>
      </w:r>
      <w:r>
        <w:t xml:space="preserve"> </w:t>
      </w:r>
      <w:r>
        <w:rPr>
          <w:b/>
          <w:bCs/>
        </w:rPr>
        <w:t xml:space="preserve">integrated</w:t>
      </w:r>
      <w:r>
        <w:t xml:space="preserve">,</w:t>
      </w:r>
      <w:r>
        <w:t xml:space="preserve"> </w:t>
      </w:r>
      <w:r>
        <w:rPr>
          <w:b/>
          <w:bCs/>
        </w:rPr>
        <w:t xml:space="preserve">faithful</w:t>
      </w:r>
      <w:r>
        <w:t xml:space="preserve">,</w:t>
      </w:r>
      <w:r>
        <w:t xml:space="preserve"> </w:t>
      </w:r>
      <w:r>
        <w:rPr>
          <w:b/>
          <w:bCs/>
        </w:rPr>
        <w:t xml:space="preserve">finite-height</w:t>
      </w:r>
      <w:r>
        <w:t xml:space="preserve">,</w:t>
      </w:r>
      <w:r>
        <w:t xml:space="preserve"> </w:t>
      </w:r>
      <w:r>
        <w:rPr>
          <w:b/>
          <w:bCs/>
        </w:rPr>
        <w:t xml:space="preserve">persistent</w:t>
      </w:r>
      <w:r>
        <w:t xml:space="preserve">, and</w:t>
      </w:r>
      <w:r>
        <w:t xml:space="preserve"> </w:t>
      </w:r>
      <w:r>
        <w:rPr>
          <w:b/>
          <w:bCs/>
        </w:rPr>
        <w:t xml:space="preserve">evaluated</w:t>
      </w:r>
      <w:r>
        <w:t xml:space="preserve"> </w:t>
      </w:r>
      <w:r>
        <w:t xml:space="preserve">matter. Removing them collapses the contribution into well-established prior art.</w:t>
      </w:r>
    </w:p>
    <w:bookmarkEnd w:id="22"/>
    <w:bookmarkStart w:id="27" w:name="X619a68a62cb8e3424c67f1662b557e0b25160b8"/>
    <w:p>
      <w:pPr>
        <w:pStyle w:val="Heading1"/>
      </w:pPr>
      <w:r>
        <w:t xml:space="preserve">2. Scope, method, and limits</w:t>
      </w:r>
    </w:p>
    <w:bookmarkStart w:id="23" w:name="X2e84c894416f946594ff34e87445a4e6aeae8aa"/>
    <w:p>
      <w:pPr>
        <w:pStyle w:val="Heading2"/>
      </w:pPr>
      <w:r>
        <w:t xml:space="preserve">2.1 Review questions</w:t>
      </w:r>
    </w:p>
    <w:p>
      <w:pPr>
        <w:pStyle w:val="FirstParagraph"/>
      </w:pPr>
      <w:r>
        <w:t xml:space="preserve">This targeted review asked:</w:t>
      </w:r>
    </w:p>
    <w:p>
      <w:pPr>
        <w:pStyle w:val="Compact"/>
        <w:numPr>
          <w:ilvl w:val="0"/>
          <w:numId w:val="1003"/>
        </w:numPr>
      </w:pPr>
      <w:r>
        <w:rPr>
          <w:b/>
          <w:bCs/>
        </w:rPr>
        <w:t xml:space="preserve">LRQ1:</w:t>
      </w:r>
      <w:r>
        <w:t xml:space="preserve"> </w:t>
      </w:r>
      <w:r>
        <w:t xml:space="preserve">What prior work exists on adaptive, responsive, or constraint-based document layout?</w:t>
      </w:r>
    </w:p>
    <w:p>
      <w:pPr>
        <w:pStyle w:val="Compact"/>
        <w:numPr>
          <w:ilvl w:val="0"/>
          <w:numId w:val="1003"/>
        </w:numPr>
      </w:pPr>
      <w:r>
        <w:rPr>
          <w:b/>
          <w:bCs/>
        </w:rPr>
        <w:t xml:space="preserve">LRQ2:</w:t>
      </w:r>
      <w:r>
        <w:t xml:space="preserve"> </w:t>
      </w:r>
      <w:r>
        <w:t xml:space="preserve">What prior work exists on PDF-to-EPUB conversion and scientific-paper reflow?</w:t>
      </w:r>
    </w:p>
    <w:p>
      <w:pPr>
        <w:pStyle w:val="Compact"/>
        <w:numPr>
          <w:ilvl w:val="0"/>
          <w:numId w:val="1003"/>
        </w:numPr>
      </w:pPr>
      <w:r>
        <w:rPr>
          <w:b/>
          <w:bCs/>
        </w:rPr>
        <w:t xml:space="preserve">LRQ3:</w:t>
      </w:r>
      <w:r>
        <w:t xml:space="preserve"> </w:t>
      </w:r>
      <w:r>
        <w:t xml:space="preserve">How mature is semantic reconstruction of scholarly PDFs?</w:t>
      </w:r>
    </w:p>
    <w:p>
      <w:pPr>
        <w:pStyle w:val="Compact"/>
        <w:numPr>
          <w:ilvl w:val="0"/>
          <w:numId w:val="1003"/>
        </w:numPr>
      </w:pPr>
      <w:r>
        <w:rPr>
          <w:b/>
          <w:bCs/>
        </w:rPr>
        <w:t xml:space="preserve">LRQ4:</w:t>
      </w:r>
      <w:r>
        <w:t xml:space="preserve"> </w:t>
      </w:r>
      <w:r>
        <w:t xml:space="preserve">What is known about academic reading on e-readers and differently sized displays?</w:t>
      </w:r>
    </w:p>
    <w:p>
      <w:pPr>
        <w:pStyle w:val="Compact"/>
        <w:numPr>
          <w:ilvl w:val="0"/>
          <w:numId w:val="1003"/>
        </w:numPr>
      </w:pPr>
      <w:r>
        <w:rPr>
          <w:b/>
          <w:bCs/>
        </w:rPr>
        <w:t xml:space="preserve">LRQ5:</w:t>
      </w:r>
      <w:r>
        <w:t xml:space="preserve"> </w:t>
      </w:r>
      <w:r>
        <w:t xml:space="preserve">How have annotations been anchored or reflowed as documents change?</w:t>
      </w:r>
    </w:p>
    <w:p>
      <w:pPr>
        <w:pStyle w:val="Compact"/>
        <w:numPr>
          <w:ilvl w:val="0"/>
          <w:numId w:val="1003"/>
        </w:numPr>
      </w:pPr>
      <w:r>
        <w:rPr>
          <w:b/>
          <w:bCs/>
        </w:rPr>
        <w:t xml:space="preserve">LRQ6:</w:t>
      </w:r>
      <w:r>
        <w:t xml:space="preserve"> </w:t>
      </w:r>
      <w:r>
        <w:t xml:space="preserve">Which standards can serve as implementation substrates?</w:t>
      </w:r>
    </w:p>
    <w:p>
      <w:pPr>
        <w:pStyle w:val="Compact"/>
        <w:numPr>
          <w:ilvl w:val="0"/>
          <w:numId w:val="1003"/>
        </w:numPr>
      </w:pPr>
      <w:r>
        <w:rPr>
          <w:b/>
          <w:bCs/>
        </w:rPr>
        <w:t xml:space="preserve">LRQ7:</w:t>
      </w:r>
      <w:r>
        <w:t xml:space="preserve"> </w:t>
      </w:r>
      <w:r>
        <w:t xml:space="preserve">What combination of capabilities appears insufficiently integrated or evaluated?</w:t>
      </w:r>
    </w:p>
    <w:bookmarkEnd w:id="23"/>
    <w:bookmarkStart w:id="24" w:name="Xab4bfb3b65dbe6d18db59319414e72b7257ae17"/>
    <w:p>
      <w:pPr>
        <w:pStyle w:val="Heading2"/>
      </w:pPr>
      <w:r>
        <w:t xml:space="preserve">2.2 Search approach</w:t>
      </w:r>
    </w:p>
    <w:p>
      <w:pPr>
        <w:pStyle w:val="FirstParagraph"/>
      </w:pPr>
      <w:r>
        <w:t xml:space="preserve">Sources were identified through targeted searches of ACM Digital Library, IEEE/ICDAR records, ACL Anthology, arXiv, Springer, PLOS, W3C, NISO, institutional research pages, and citation chaining from landmark work. Search concepts included combinations of:</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adaptive document layout</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responsive document authoring</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automatic document formatting</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PDF to EPUB</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scientific paper reflow e-book reader</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scholarly PDF structured extraction</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accessible scientific HTML</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responsive pagination</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reflowing annotations / digital ink</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academic reading e-reader screen size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JATS EPUB Web Annotation</w:t>
      </w:r>
    </w:p>
    <w:p>
      <w:pPr>
        <w:pStyle w:val="FirstParagraph"/>
      </w:pPr>
      <w:r>
        <w:t xml:space="preserve">The review prioritizes primary papers, official standards, and official project reports. It covers landmark work through 12 July 2026.</w:t>
      </w:r>
    </w:p>
    <w:bookmarkEnd w:id="24"/>
    <w:bookmarkStart w:id="25" w:name="Xfd57db09e82323f18dc5757fcb9d8514512b056"/>
    <w:p>
      <w:pPr>
        <w:pStyle w:val="Heading2"/>
      </w:pPr>
      <w:r>
        <w:t xml:space="preserve">2.3 Inclusion and exclusion</w:t>
      </w:r>
    </w:p>
    <w:p>
      <w:pPr>
        <w:pStyle w:val="FirstParagraph"/>
      </w:pPr>
      <w:r>
        <w:t xml:space="preserve">Included work had a direct bearing on at least one of these layers:</w:t>
      </w:r>
    </w:p>
    <w:p>
      <w:pPr>
        <w:pStyle w:val="Compact"/>
        <w:numPr>
          <w:ilvl w:val="0"/>
          <w:numId w:val="1004"/>
        </w:numPr>
      </w:pPr>
      <w:r>
        <w:t xml:space="preserve">semantic document representation;</w:t>
      </w:r>
    </w:p>
    <w:p>
      <w:pPr>
        <w:pStyle w:val="Compact"/>
        <w:numPr>
          <w:ilvl w:val="0"/>
          <w:numId w:val="1004"/>
        </w:numPr>
      </w:pPr>
      <w:r>
        <w:t xml:space="preserve">PDF or image reconstruction;</w:t>
      </w:r>
    </w:p>
    <w:p>
      <w:pPr>
        <w:pStyle w:val="Compact"/>
        <w:numPr>
          <w:ilvl w:val="0"/>
          <w:numId w:val="1004"/>
        </w:numPr>
      </w:pPr>
      <w:r>
        <w:t xml:space="preserve">automatic composition and pagination;</w:t>
      </w:r>
    </w:p>
    <w:p>
      <w:pPr>
        <w:pStyle w:val="Compact"/>
        <w:numPr>
          <w:ilvl w:val="0"/>
          <w:numId w:val="1004"/>
        </w:numPr>
      </w:pPr>
      <w:r>
        <w:t xml:space="preserve">responsive authoring across targets;</w:t>
      </w:r>
    </w:p>
    <w:p>
      <w:pPr>
        <w:pStyle w:val="Compact"/>
        <w:numPr>
          <w:ilvl w:val="0"/>
          <w:numId w:val="1004"/>
        </w:numPr>
      </w:pPr>
      <w:r>
        <w:t xml:space="preserve">scholarly or active reading;</w:t>
      </w:r>
    </w:p>
    <w:p>
      <w:pPr>
        <w:pStyle w:val="Compact"/>
        <w:numPr>
          <w:ilvl w:val="0"/>
          <w:numId w:val="1004"/>
        </w:numPr>
      </w:pPr>
      <w:r>
        <w:t xml:space="preserve">annotation anchoring across document change;</w:t>
      </w:r>
    </w:p>
    <w:p>
      <w:pPr>
        <w:pStyle w:val="Compact"/>
        <w:numPr>
          <w:ilvl w:val="0"/>
          <w:numId w:val="1004"/>
        </w:numPr>
      </w:pPr>
      <w:r>
        <w:t xml:space="preserve">interoperable publication standards.</w:t>
      </w:r>
    </w:p>
    <w:p>
      <w:pPr>
        <w:pStyle w:val="FirstParagraph"/>
      </w:pPr>
      <w:r>
        <w:t xml:space="preserve">Excluded work included generic responsive-web tutorials, pure OCR papers without structural implications, commercial product pages without technical evidence, and layout-generation research focused only on isolated posters or slides.</w:t>
      </w:r>
    </w:p>
    <w:bookmarkEnd w:id="25"/>
    <w:bookmarkStart w:id="26" w:name="X6a861f1e0b4150ec48f35adc91273c5b0a786ea"/>
    <w:p>
      <w:pPr>
        <w:pStyle w:val="Heading2"/>
      </w:pPr>
      <w:r>
        <w:t xml:space="preserve">2.4 Limitations</w:t>
      </w:r>
    </w:p>
    <w:p>
      <w:pPr>
        <w:pStyle w:val="FirstParagraph"/>
      </w:pPr>
      <w:r>
        <w:t xml:space="preserve">This is not a PRISMA review and does not establish an exhaustive “first.” It has not yet performed duplicate screening across bibliographic databases, formal quality scoring, complete backward/forward snowballing, or publication-bias analysis. Accordingly, the gap language in this document is</w:t>
      </w:r>
      <w:r>
        <w:t xml:space="preserve"> </w:t>
      </w:r>
      <w:r>
        <w:rPr>
          <w:b/>
          <w:bCs/>
        </w:rPr>
        <w:t xml:space="preserve">“apparent gap”</w:t>
      </w:r>
      <w:r>
        <w:t xml:space="preserve"> </w:t>
      </w:r>
      <w:r>
        <w:t xml:space="preserve">and</w:t>
      </w:r>
      <w:r>
        <w:t xml:space="preserve"> </w:t>
      </w:r>
      <w:r>
        <w:rPr>
          <w:b/>
          <w:bCs/>
        </w:rPr>
        <w:t xml:space="preserve">“I did not identify”</w:t>
      </w:r>
      <w:r>
        <w:t xml:space="preserve">, not “no prior system exists.”</w:t>
      </w:r>
    </w:p>
    <w:p>
      <w:pPr>
        <w:pStyle w:val="BodyText"/>
      </w:pPr>
      <w:r>
        <w:t xml:space="preserve">Before publication, the project should run a reproducible systematic search using Scopus/Web of Science, ACM, IEEE Xplore, ACL Anthology, and Google Scholar; preserve exact queries; screen abstracts in duplicate; and update citation status.</w:t>
      </w:r>
    </w:p>
    <w:bookmarkEnd w:id="26"/>
    <w:bookmarkEnd w:id="27"/>
    <w:bookmarkStart w:id="32" w:name="X11beac1e45d357152e459ea96e7a2060844de3e"/>
    <w:p>
      <w:pPr>
        <w:pStyle w:val="Heading1"/>
      </w:pPr>
      <w:r>
        <w:t xml:space="preserve">3. Terminology and conceptual frame</w:t>
      </w:r>
    </w:p>
    <w:bookmarkStart w:id="28" w:name="X42f77d36c06314b3c079650081847df9387be27"/>
    <w:p>
      <w:pPr>
        <w:pStyle w:val="Heading2"/>
      </w:pPr>
      <w:r>
        <w:t xml:space="preserve">3.1 Responsive typography is too narrow</w:t>
      </w:r>
    </w:p>
    <w:p>
      <w:pPr>
        <w:pStyle w:val="FirstParagraph"/>
      </w:pPr>
      <w:r>
        <w:t xml:space="preserve">In common web practice,</w:t>
      </w:r>
      <w:r>
        <w:t xml:space="preserve"> </w:t>
      </w:r>
      <w:r>
        <w:rPr>
          <w:i/>
          <w:iCs/>
        </w:rPr>
        <w:t xml:space="preserve">responsive typography</w:t>
      </w:r>
      <w:r>
        <w:t xml:space="preserve"> </w:t>
      </w:r>
      <w:r>
        <w:t xml:space="preserve">or</w:t>
      </w:r>
      <w:r>
        <w:t xml:space="preserve"> </w:t>
      </w:r>
      <w:r>
        <w:rPr>
          <w:i/>
          <w:iCs/>
        </w:rPr>
        <w:t xml:space="preserve">responsive typesetting</w:t>
      </w:r>
      <w:r>
        <w:t xml:space="preserve"> </w:t>
      </w:r>
      <w:r>
        <w:t xml:space="preserve">can refer primarily to font size, line length, leading, and scale. The proposed system also recomputes component arrangement, columns, fragmentation, page boundaries, figure placement, and reader state.</w:t>
      </w:r>
    </w:p>
    <w:bookmarkEnd w:id="28"/>
    <w:bookmarkStart w:id="29" w:name="Xe4e65ece22dc69f0432a06d7d91a738b206486e"/>
    <w:p>
      <w:pPr>
        <w:pStyle w:val="Heading2"/>
      </w:pPr>
      <w:r>
        <w:t xml:space="preserve">3.2 Adaptive document layout is the established lineage</w:t>
      </w:r>
    </w:p>
    <w:p>
      <w:pPr>
        <w:pStyle w:val="FirstParagraph"/>
      </w:pPr>
      <w:r>
        <w:t xml:space="preserve">“Adaptive document layout” is a historically grounded research term. Jacobs and colleagues used it for systems that automatically reformatted, resized, and paginated text and graphics across different display conditions. “Automatic document formatting” is a broader survey term. “Responsive document authoring” and “ultra-responsive documents” appear in newer HCI work.</w:t>
      </w:r>
    </w:p>
    <w:bookmarkEnd w:id="29"/>
    <w:bookmarkStart w:id="30" w:name="X2fdaaffd6d33165cfef1b4519b5ede809f34ca0"/>
    <w:p>
      <w:pPr>
        <w:pStyle w:val="Heading2"/>
      </w:pPr>
      <w:r>
        <w:t xml:space="preserve">3.3 Recommended project term</w:t>
      </w:r>
    </w:p>
    <w:p>
      <w:pPr>
        <w:pStyle w:val="FirstParagraph"/>
      </w:pPr>
      <w:r>
        <w:rPr>
          <w:b/>
          <w:bCs/>
        </w:rPr>
        <w:t xml:space="preserve">Semantic Responsive Typesetting</w:t>
      </w:r>
      <w:r>
        <w:t xml:space="preserve"> </w:t>
      </w:r>
      <w:r>
        <w:t xml:space="preserve">is a suitable project term because it adds the architectural property that ordinary responsive design often lacks:</w:t>
      </w:r>
    </w:p>
    <w:p>
      <w:pPr>
        <w:pStyle w:val="BlockText"/>
      </w:pPr>
      <w:r>
        <w:t xml:space="preserve">Semantic Responsive Typesetting is the constraint-based recomposition of persistent text and visual components across different page and viewport dimensions while preserving identity, relationships, provenance, and reader state.</w:t>
      </w:r>
    </w:p>
    <w:p>
      <w:pPr>
        <w:pStyle w:val="FirstParagraph"/>
      </w:pPr>
      <w:r>
        <w:t xml:space="preserve">This definition distinguishes the project from simple scaling and from free-form “movable” objects. Movement is governed by relationships and policy:</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caption stays with figure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heading stays with following content</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figure may span one or two columns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table has a minimum usable width</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annotation remains attached to a semantic target</w:t>
      </w:r>
    </w:p>
    <w:bookmarkEnd w:id="30"/>
    <w:bookmarkStart w:id="31" w:name="X205a8704323484732a494faaedafe7c80a851dd"/>
    <w:p>
      <w:pPr>
        <w:pStyle w:val="Heading2"/>
      </w:pPr>
      <w:r>
        <w:t xml:space="preserve">3.4 The page is a compiled rendition</w:t>
      </w:r>
    </w:p>
    <w:p>
      <w:pPr>
        <w:pStyle w:val="FirstParagraph"/>
      </w:pPr>
      <w:r>
        <w:t xml:space="preserve">The core model is:</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canonical semantic graph</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target profile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composition policy</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target-specific overrides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computed rendition</w:t>
      </w:r>
    </w:p>
    <w:p>
      <w:pPr>
        <w:pStyle w:val="FirstParagraph"/>
      </w:pPr>
      <w:r>
        <w:t xml:space="preserve">The page number, glyph boxes, columns, and coordinates are cacheable outputs. The document’s paragraphs, figures, captions, references, and annotation targets remain persistent.</w:t>
      </w:r>
    </w:p>
    <w:bookmarkEnd w:id="31"/>
    <w:bookmarkEnd w:id="32"/>
    <w:bookmarkStart w:id="36" w:name="Xc775a7052ff92b861b12de4a6978b0fc8cddf44"/>
    <w:p>
      <w:pPr>
        <w:pStyle w:val="Heading1"/>
      </w:pPr>
      <w:r>
        <w:t xml:space="preserve">4. Adaptive document layout and automatic composition</w:t>
      </w:r>
    </w:p>
    <w:bookmarkStart w:id="33" w:name="X50e3350d9125e16cb269bd314b86ff2d76bcbb2"/>
    <w:p>
      <w:pPr>
        <w:pStyle w:val="Heading2"/>
      </w:pPr>
      <w:r>
        <w:t xml:space="preserve">4.1 Early adaptive layout systems</w:t>
      </w:r>
    </w:p>
    <w:p>
      <w:pPr>
        <w:pStyle w:val="FirstParagraph"/>
      </w:pPr>
      <w:r>
        <w:t xml:space="preserve">Jacobs et al. (2003) introduced</w:t>
      </w:r>
      <w:r>
        <w:t xml:space="preserve"> </w:t>
      </w:r>
      <w:r>
        <w:rPr>
          <w:b/>
          <w:bCs/>
        </w:rPr>
        <w:t xml:space="preserve">Adaptive Grid-Based Document Layout</w:t>
      </w:r>
      <w:r>
        <w:t xml:space="preserve">, representing a visual style as a family of grid templates that could adapt to page sizes and viewing conditions. Their 2004</w:t>
      </w:r>
      <w:r>
        <w:t xml:space="preserve"> </w:t>
      </w:r>
      <w:r>
        <w:rPr>
          <w:b/>
          <w:bCs/>
        </w:rPr>
        <w:t xml:space="preserve">Adaptive Document Layout</w:t>
      </w:r>
      <w:r>
        <w:t xml:space="preserve"> </w:t>
      </w:r>
      <w:r>
        <w:t xml:space="preserve">article generalized the question: how can text and graphics be reformatted, resized, and paginated for displays of different sizes?</w:t>
      </w:r>
    </w:p>
    <w:p>
      <w:pPr>
        <w:pStyle w:val="BodyText"/>
      </w:pPr>
      <w:r>
        <w:t xml:space="preserve">This work establishes several ideas central to SRT:</w:t>
      </w:r>
    </w:p>
    <w:p>
      <w:pPr>
        <w:pStyle w:val="Compact"/>
        <w:numPr>
          <w:ilvl w:val="0"/>
          <w:numId w:val="1005"/>
        </w:numPr>
      </w:pPr>
      <w:r>
        <w:t xml:space="preserve">layout is generated from a representation plus templates or constraints;</w:t>
      </w:r>
    </w:p>
    <w:p>
      <w:pPr>
        <w:pStyle w:val="Compact"/>
        <w:numPr>
          <w:ilvl w:val="0"/>
          <w:numId w:val="1005"/>
        </w:numPr>
      </w:pPr>
      <w:r>
        <w:t xml:space="preserve">visual style can survive changes in available space;</w:t>
      </w:r>
    </w:p>
    <w:p>
      <w:pPr>
        <w:pStyle w:val="Compact"/>
        <w:numPr>
          <w:ilvl w:val="0"/>
          <w:numId w:val="1005"/>
        </w:numPr>
      </w:pPr>
      <w:r>
        <w:t xml:space="preserve">pagination is part of the adaptive problem;</w:t>
      </w:r>
    </w:p>
    <w:p>
      <w:pPr>
        <w:pStyle w:val="Compact"/>
        <w:numPr>
          <w:ilvl w:val="0"/>
          <w:numId w:val="1005"/>
        </w:numPr>
      </w:pPr>
      <w:r>
        <w:t xml:space="preserve">global composition differs from independently resizing components.</w:t>
      </w:r>
    </w:p>
    <w:p>
      <w:pPr>
        <w:pStyle w:val="FirstParagraph"/>
      </w:pPr>
      <w:r>
        <w:t xml:space="preserve">Schrier et al. (2008) extended adaptive layout to dynamically aggregated documents. Hurst, Li, and Marriott’s 2009 review showed that automatic formatting was already a substantial field spanning line breaking, tables, diagrams, page composition, templates, and optimization.</w:t>
      </w:r>
    </w:p>
    <w:p>
      <w:pPr>
        <w:pStyle w:val="BodyText"/>
      </w:pPr>
      <w:r>
        <w:rPr>
          <w:b/>
          <w:bCs/>
        </w:rPr>
        <w:t xml:space="preserve">Novelty consequence:</w:t>
      </w:r>
      <w:r>
        <w:t xml:space="preserve"> </w:t>
      </w:r>
      <w:r>
        <w:t xml:space="preserve">“The same content can be laid out for different dimensions” is not a new research claim. The POC needs a more specific contribution: persistent semantics, faithful scholarly content, finite-height recomposition, source provenance, and annotation continuity.</w:t>
      </w:r>
    </w:p>
    <w:bookmarkEnd w:id="33"/>
    <w:bookmarkStart w:id="34" w:name="X643193c8cf31f2e0ff6169cc1c9784d0b5415b2"/>
    <w:p>
      <w:pPr>
        <w:pStyle w:val="Heading2"/>
      </w:pPr>
      <w:r>
        <w:t xml:space="preserve">4.2 Responsive authoring systems</w:t>
      </w:r>
    </w:p>
    <w:p>
      <w:pPr>
        <w:pStyle w:val="FirstParagraph"/>
      </w:pPr>
      <w:r>
        <w:t xml:space="preserve">DocDancer (Chen et al., 2023) is especially relevant. It supports “ultra-responsive” documents where both content and layout can respond to multiple factors such as screen width, font properties, and customer segments. It uses a unified representation and offers layout generation/recommendations. Its user studies reported lower authoring time and effort than a commercial responsive-design tool.</w:t>
      </w:r>
    </w:p>
    <w:p>
      <w:pPr>
        <w:pStyle w:val="BodyText"/>
      </w:pPr>
      <w:r>
        <w:t xml:space="preserve">FlexDoc (Jiang et al., 2024) combines discrete and continuous optimization to adapt layout and content across devices, author preferences, and viewer needs. It demonstrates that a modern system can treat adaptation as an optimization problem rather than a fixed set of breakpoints.</w:t>
      </w:r>
    </w:p>
    <w:p>
      <w:pPr>
        <w:pStyle w:val="BodyText"/>
      </w:pPr>
      <w:r>
        <w:t xml:space="preserve">These systems validate the broader product intuition, but they do not automatically close the SRT gap:</w:t>
      </w:r>
    </w:p>
    <w:p>
      <w:pPr>
        <w:pStyle w:val="Compact"/>
        <w:numPr>
          <w:ilvl w:val="0"/>
          <w:numId w:val="1006"/>
        </w:numPr>
      </w:pPr>
      <w:r>
        <w:t xml:space="preserve">their examples include marketing, news, and academic material, but not necessarily fidelity-critical long-form scholarly pagination;</w:t>
      </w:r>
    </w:p>
    <w:p>
      <w:pPr>
        <w:pStyle w:val="Compact"/>
        <w:numPr>
          <w:ilvl w:val="0"/>
          <w:numId w:val="1006"/>
        </w:numPr>
      </w:pPr>
      <w:r>
        <w:t xml:space="preserve">content adaptation may include summarization or image carving, which is risky for scientific claims and figures;</w:t>
      </w:r>
    </w:p>
    <w:p>
      <w:pPr>
        <w:pStyle w:val="Compact"/>
        <w:numPr>
          <w:ilvl w:val="0"/>
          <w:numId w:val="1006"/>
        </w:numPr>
      </w:pPr>
      <w:r>
        <w:t xml:space="preserve">annotation persistence and source-PDF provenance are not their central problem;</w:t>
      </w:r>
    </w:p>
    <w:p>
      <w:pPr>
        <w:pStyle w:val="Compact"/>
        <w:numPr>
          <w:ilvl w:val="0"/>
          <w:numId w:val="1006"/>
        </w:numPr>
      </w:pPr>
      <w:r>
        <w:t xml:space="preserve">they do not establish the exact representation × e-ink-geometry experiment proposed here.</w:t>
      </w:r>
    </w:p>
    <w:bookmarkEnd w:id="34"/>
    <w:bookmarkStart w:id="35" w:name="X17c3e32b9a8e33f8594229ece4281a1bf13fc41"/>
    <w:p>
      <w:pPr>
        <w:pStyle w:val="Heading2"/>
      </w:pPr>
      <w:r>
        <w:t xml:space="preserve">4.3 What the composition literature implies</w:t>
      </w:r>
    </w:p>
    <w:p>
      <w:pPr>
        <w:pStyle w:val="FirstParagraph"/>
      </w:pPr>
      <w:r>
        <w:t xml:space="preserve">The composition engine should distinguish:</w:t>
      </w:r>
    </w:p>
    <w:p>
      <w:pPr>
        <w:pStyle w:val="Compact"/>
        <w:numPr>
          <w:ilvl w:val="0"/>
          <w:numId w:val="1007"/>
        </w:numPr>
      </w:pPr>
      <w:r>
        <w:rPr>
          <w:b/>
          <w:bCs/>
        </w:rPr>
        <w:t xml:space="preserve">local component adaptation:</w:t>
      </w:r>
      <w:r>
        <w:t xml:space="preserve"> </w:t>
      </w:r>
      <w:r>
        <w:t xml:space="preserve">compact versus expanded figure, one- versus two-column span, inline versus sidebar;</w:t>
      </w:r>
    </w:p>
    <w:p>
      <w:pPr>
        <w:pStyle w:val="Compact"/>
        <w:numPr>
          <w:ilvl w:val="0"/>
          <w:numId w:val="1007"/>
        </w:numPr>
      </w:pPr>
      <w:r>
        <w:rPr>
          <w:b/>
          <w:bCs/>
        </w:rPr>
        <w:t xml:space="preserve">global flow:</w:t>
      </w:r>
      <w:r>
        <w:t xml:space="preserve"> </w:t>
      </w:r>
      <w:r>
        <w:t xml:space="preserve">line breaking, page breaks, float placement, widows/orphans, and cascading movement;</w:t>
      </w:r>
    </w:p>
    <w:p>
      <w:pPr>
        <w:pStyle w:val="Compact"/>
        <w:numPr>
          <w:ilvl w:val="0"/>
          <w:numId w:val="1007"/>
        </w:numPr>
      </w:pPr>
      <w:r>
        <w:rPr>
          <w:b/>
          <w:bCs/>
        </w:rPr>
        <w:t xml:space="preserve">discrete choices:</w:t>
      </w:r>
      <w:r>
        <w:t xml:space="preserve"> </w:t>
      </w:r>
      <w:r>
        <w:t xml:space="preserve">component variant, column count, page placement;</w:t>
      </w:r>
    </w:p>
    <w:p>
      <w:pPr>
        <w:pStyle w:val="Compact"/>
        <w:numPr>
          <w:ilvl w:val="0"/>
          <w:numId w:val="1007"/>
        </w:numPr>
      </w:pPr>
      <w:r>
        <w:rPr>
          <w:b/>
          <w:bCs/>
        </w:rPr>
        <w:t xml:space="preserve">continuous choices:</w:t>
      </w:r>
      <w:r>
        <w:t xml:space="preserve"> </w:t>
      </w:r>
      <w:r>
        <w:t xml:space="preserve">widths, heights, spacing, scale;</w:t>
      </w:r>
    </w:p>
    <w:p>
      <w:pPr>
        <w:pStyle w:val="Compact"/>
        <w:numPr>
          <w:ilvl w:val="0"/>
          <w:numId w:val="1007"/>
        </w:numPr>
      </w:pPr>
      <w:r>
        <w:rPr>
          <w:b/>
          <w:bCs/>
        </w:rPr>
        <w:t xml:space="preserve">hard constraints:</w:t>
      </w:r>
      <w:r>
        <w:t xml:space="preserve"> </w:t>
      </w:r>
      <w:r>
        <w:t xml:space="preserve">no content loss, caption stays associated, minimum type size;</w:t>
      </w:r>
    </w:p>
    <w:p>
      <w:pPr>
        <w:pStyle w:val="Compact"/>
        <w:numPr>
          <w:ilvl w:val="0"/>
          <w:numId w:val="1007"/>
        </w:numPr>
      </w:pPr>
      <w:r>
        <w:rPr>
          <w:b/>
          <w:bCs/>
        </w:rPr>
        <w:t xml:space="preserve">soft constraints:</w:t>
      </w:r>
      <w:r>
        <w:t xml:space="preserve"> </w:t>
      </w:r>
      <w:r>
        <w:t xml:space="preserve">visual balance, preferred figure proximity, preferred page count.</w:t>
      </w:r>
    </w:p>
    <w:p>
      <w:pPr>
        <w:pStyle w:val="FirstParagraph"/>
      </w:pPr>
      <w:r>
        <w:t xml:space="preserve">The POC does not need a universal optimizer, but it should make this separation visible in its architecture and layout manifest.</w:t>
      </w:r>
    </w:p>
    <w:bookmarkEnd w:id="35"/>
    <w:bookmarkEnd w:id="36"/>
    <w:bookmarkStart w:id="41" w:name="X46038eca862b285104a96620dfbaa9c3ed5eb99"/>
    <w:p>
      <w:pPr>
        <w:pStyle w:val="Heading1"/>
      </w:pPr>
      <w:r>
        <w:t xml:space="preserve">5. PDF-to-EPUB conversion and scientific-paper reflow</w:t>
      </w:r>
    </w:p>
    <w:bookmarkStart w:id="37" w:name="X7725338660d9530d0ec64466ef8ebcea09fc22b"/>
    <w:p>
      <w:pPr>
        <w:pStyle w:val="Heading2"/>
      </w:pPr>
      <w:r>
        <w:t xml:space="preserve">5.1 PDF-to-EPUB is established prior art</w:t>
      </w:r>
    </w:p>
    <w:p>
      <w:pPr>
        <w:pStyle w:val="FirstParagraph"/>
      </w:pPr>
      <w:r>
        <w:t xml:space="preserve">Marinai, Marino, and Soda (2011) described PDF-to-EPUB conversion as reversing the formatting imposed during pagination. Their system used layout analysis to recover structures including chapters, paragraphs, notes, illustrations, and a table of contents. The paper explicitly recognized tables, equations, and bibliographic material as difficult.</w:t>
      </w:r>
    </w:p>
    <w:p>
      <w:pPr>
        <w:pStyle w:val="BodyText"/>
      </w:pPr>
      <w:r>
        <w:t xml:space="preserve">This is a direct ancestor of the proposed ingestion path. It also states the key architectural problem clearly: a structured source such as XML or LaTeX can generate multiple outputs naturally, while a camera-ready PDF must be reverse-engineered.</w:t>
      </w:r>
    </w:p>
    <w:bookmarkEnd w:id="37"/>
    <w:bookmarkStart w:id="38" w:name="X0b101405d81f180b73d432f7f1ed276bee40d61"/>
    <w:p>
      <w:pPr>
        <w:pStyle w:val="Heading2"/>
      </w:pPr>
      <w:r>
        <w:t xml:space="preserve">5.2 The closest predecessor: scientific reflow with annotations</w:t>
      </w:r>
    </w:p>
    <w:p>
      <w:pPr>
        <w:pStyle w:val="FirstParagraph"/>
      </w:pPr>
      <w:r>
        <w:t xml:space="preserve">Marinai (2013) addressed multi-column scientific PDFs on e-book readers with limited computation. The tool produced a modified single-column PDF using document-image processing and translated free-form annotations from the reformatted document back to the original.</w:t>
      </w:r>
    </w:p>
    <w:p>
      <w:pPr>
        <w:pStyle w:val="BodyText"/>
      </w:pPr>
      <w:r>
        <w:t xml:space="preserve">It is close enough that the project must discuss it prominently. The differences that preserve room for a modern contribution are:</w:t>
      </w:r>
    </w:p>
    <w:p>
      <w:pPr>
        <w:pStyle w:val="Compact"/>
        <w:numPr>
          <w:ilvl w:val="0"/>
          <w:numId w:val="1008"/>
        </w:numPr>
      </w:pPr>
      <w:r>
        <w:t xml:space="preserve">The output was primarily a</w:t>
      </w:r>
      <w:r>
        <w:t xml:space="preserve"> </w:t>
      </w:r>
      <w:r>
        <w:rPr>
          <w:b/>
          <w:bCs/>
        </w:rPr>
        <w:t xml:space="preserve">geometric rearrangement of page regions</w:t>
      </w:r>
      <w:r>
        <w:t xml:space="preserve">, not a rich canonical semantic article graph.</w:t>
      </w:r>
    </w:p>
    <w:p>
      <w:pPr>
        <w:pStyle w:val="Compact"/>
        <w:numPr>
          <w:ilvl w:val="0"/>
          <w:numId w:val="1008"/>
        </w:numPr>
      </w:pPr>
      <w:r>
        <w:t xml:space="preserve">The system produced another fixed PDF, not a family of responsive renditions generated from persistent semantics.</w:t>
      </w:r>
    </w:p>
    <w:p>
      <w:pPr>
        <w:pStyle w:val="Compact"/>
        <w:numPr>
          <w:ilvl w:val="0"/>
          <w:numId w:val="1008"/>
        </w:numPr>
      </w:pPr>
      <w:r>
        <w:t xml:space="preserve">The annotation mapping depended on correspondence between fixed regions; it did not provide a general semantic selector architecture.</w:t>
      </w:r>
    </w:p>
    <w:p>
      <w:pPr>
        <w:pStyle w:val="Compact"/>
        <w:numPr>
          <w:ilvl w:val="0"/>
          <w:numId w:val="1008"/>
        </w:numPr>
      </w:pPr>
      <w:r>
        <w:t xml:space="preserve">It did not evaluate a controlled cross-product of representation and substantially different e-ink geometries.</w:t>
      </w:r>
    </w:p>
    <w:p>
      <w:pPr>
        <w:pStyle w:val="Compact"/>
        <w:numPr>
          <w:ilvl w:val="0"/>
          <w:numId w:val="1008"/>
        </w:numPr>
      </w:pPr>
      <w:r>
        <w:t xml:space="preserve">It predates modern document-intelligence models, standards, and interactive scholarly-reading systems.</w:t>
      </w:r>
    </w:p>
    <w:bookmarkEnd w:id="38"/>
    <w:bookmarkStart w:id="39" w:name="X09447a2985a617dce8e531e6b01f2a84bcf5e5e"/>
    <w:p>
      <w:pPr>
        <w:pStyle w:val="Heading2"/>
      </w:pPr>
      <w:r>
        <w:t xml:space="preserve">5.3 Accessible HTML as a modern adjacent path</w:t>
      </w:r>
    </w:p>
    <w:p>
      <w:pPr>
        <w:pStyle w:val="FirstParagraph"/>
      </w:pPr>
      <w:r>
        <w:t xml:space="preserve">SciA11y (Wang et al., 2021) reconstructed scientific PDFs into accessible HTML. In an analysis of 11,397 scientific PDFs, only 2.4% met all defined accessibility criteria. Its generated HTML added headings, navigation, and bidirectional citation links; 87% of evaluated renders had no or only some readability issues.</w:t>
      </w:r>
    </w:p>
    <w:p>
      <w:pPr>
        <w:pStyle w:val="BodyText"/>
      </w:pPr>
      <w:r>
        <w:t xml:space="preserve">SciA11y is important because accessible HTML and responsive e-ink reading share the same prerequisite: logical reading structure must be recoverable independently of fixed page geometry.</w:t>
      </w:r>
    </w:p>
    <w:bookmarkEnd w:id="39"/>
    <w:bookmarkStart w:id="40" w:name="Xe7ad38c7ab58e47905fce28a2956e1d0e4ca1e6"/>
    <w:p>
      <w:pPr>
        <w:pStyle w:val="Heading2"/>
      </w:pPr>
      <w:r>
        <w:t xml:space="preserve">5.4 Implication for the POC</w:t>
      </w:r>
    </w:p>
    <w:p>
      <w:pPr>
        <w:pStyle w:val="FirstParagraph"/>
      </w:pPr>
      <w:r>
        <w:t xml:space="preserve">A weak POC would be:</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PDF page blocks → one-column PDF</w:t>
      </w:r>
    </w:p>
    <w:p>
      <w:pPr>
        <w:pStyle w:val="FirstParagraph"/>
      </w:pPr>
      <w:r>
        <w:t xml:space="preserve">A stronger POC is:</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structured source or reconstructed PDF</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canonical semantic graph</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multiple responsive renditions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provenance and persistent annotations</w:t>
      </w:r>
    </w:p>
    <w:p>
      <w:pPr>
        <w:pStyle w:val="FirstParagraph"/>
      </w:pPr>
      <w:r>
        <w:t xml:space="preserve">PDF ingestion should remain an adapter. The first composition demonstration should use a manually checked JATS-derived or equivalent fixture so extraction errors do not obscure the composition thesis.</w:t>
      </w:r>
    </w:p>
    <w:bookmarkEnd w:id="40"/>
    <w:bookmarkEnd w:id="41"/>
    <w:bookmarkStart w:id="46" w:name="Xa37c615736c6544bef73af0ff0566eae34dc9f6"/>
    <w:p>
      <w:pPr>
        <w:pStyle w:val="Heading1"/>
      </w:pPr>
      <w:r>
        <w:t xml:space="preserve">6. Scholarly-document reconstruction and document intelligence</w:t>
      </w:r>
    </w:p>
    <w:bookmarkStart w:id="42" w:name="X198f6b3193d2514bf007121b6822a0b5bed22a3"/>
    <w:p>
      <w:pPr>
        <w:pStyle w:val="Heading2"/>
      </w:pPr>
      <w:r>
        <w:t xml:space="preserve">6.1 Structured extraction is materially more feasible now</w:t>
      </w:r>
    </w:p>
    <w:p>
      <w:pPr>
        <w:pStyle w:val="FirstParagraph"/>
      </w:pPr>
      <w:r>
        <w:t xml:space="preserve">The modern pipeline can build on a mature ecosystem:</w:t>
      </w:r>
    </w:p>
    <w:p>
      <w:pPr>
        <w:pStyle w:val="Compact"/>
        <w:numPr>
          <w:ilvl w:val="0"/>
          <w:numId w:val="1009"/>
        </w:numPr>
      </w:pPr>
      <w:r>
        <w:rPr>
          <w:b/>
          <w:bCs/>
        </w:rPr>
        <w:t xml:space="preserve">PubLayNet</w:t>
      </w:r>
      <w:r>
        <w:t xml:space="preserve"> </w:t>
      </w:r>
      <w:r>
        <w:t xml:space="preserve">(Zhong et al., 2019) aligned PDF and XML representations from more than one million PubMed Central papers, producing over 360,000 annotated document images.</w:t>
      </w:r>
    </w:p>
    <w:p>
      <w:pPr>
        <w:pStyle w:val="Compact"/>
        <w:numPr>
          <w:ilvl w:val="0"/>
          <w:numId w:val="1009"/>
        </w:numPr>
      </w:pPr>
      <w:r>
        <w:rPr>
          <w:b/>
          <w:bCs/>
        </w:rPr>
        <w:t xml:space="preserve">S2ORC</w:t>
      </w:r>
      <w:r>
        <w:t xml:space="preserve"> </w:t>
      </w:r>
      <w:r>
        <w:t xml:space="preserve">(Lo et al., 2020) demonstrated structured scholarly content at scale, linking inline citations, figures, and tables to their objects.</w:t>
      </w:r>
    </w:p>
    <w:p>
      <w:pPr>
        <w:pStyle w:val="Compact"/>
        <w:numPr>
          <w:ilvl w:val="0"/>
          <w:numId w:val="1009"/>
        </w:numPr>
      </w:pPr>
      <w:r>
        <w:rPr>
          <w:b/>
          <w:bCs/>
        </w:rPr>
        <w:t xml:space="preserve">DocLayNet</w:t>
      </w:r>
      <w:r>
        <w:t xml:space="preserve"> </w:t>
      </w:r>
      <w:r>
        <w:t xml:space="preserve">(Pfitzmann et al., 2022) added 80,863 manually annotated pages across diverse document categories and eleven layout classes; baseline models remained roughly ten percentage points below inter-annotator agreement.</w:t>
      </w:r>
    </w:p>
    <w:p>
      <w:pPr>
        <w:pStyle w:val="Compact"/>
        <w:numPr>
          <w:ilvl w:val="0"/>
          <w:numId w:val="1009"/>
        </w:numPr>
      </w:pPr>
      <w:r>
        <w:rPr>
          <w:b/>
          <w:bCs/>
        </w:rPr>
        <w:t xml:space="preserve">VILA</w:t>
      </w:r>
      <w:r>
        <w:t xml:space="preserve"> </w:t>
      </w:r>
      <w:r>
        <w:t xml:space="preserve">(Shen et al., 2022) explicitly modeled layout groups such as lines and blocks for scientific-PDF structure extraction.</w:t>
      </w:r>
    </w:p>
    <w:p>
      <w:pPr>
        <w:pStyle w:val="Compact"/>
        <w:numPr>
          <w:ilvl w:val="0"/>
          <w:numId w:val="1009"/>
        </w:numPr>
      </w:pPr>
      <w:r>
        <w:rPr>
          <w:b/>
          <w:bCs/>
        </w:rPr>
        <w:t xml:space="preserve">Nougat</w:t>
      </w:r>
      <w:r>
        <w:t xml:space="preserve"> </w:t>
      </w:r>
      <w:r>
        <w:t xml:space="preserve">(Blecher et al., 2023) generated markup from document images, targeting semantic losses such as mathematical expressions.</w:t>
      </w:r>
    </w:p>
    <w:p>
      <w:pPr>
        <w:pStyle w:val="Compact"/>
        <w:numPr>
          <w:ilvl w:val="0"/>
          <w:numId w:val="1009"/>
        </w:numPr>
      </w:pPr>
      <w:r>
        <w:rPr>
          <w:b/>
          <w:bCs/>
        </w:rPr>
        <w:t xml:space="preserve">Docling</w:t>
      </w:r>
      <w:r>
        <w:t xml:space="preserve"> </w:t>
      </w:r>
      <w:r>
        <w:t xml:space="preserve">(Auer et al., 2024) converts documents into a unified structured representation using layout and table-recognition models.</w:t>
      </w:r>
    </w:p>
    <w:p>
      <w:pPr>
        <w:pStyle w:val="Compact"/>
        <w:numPr>
          <w:ilvl w:val="0"/>
          <w:numId w:val="1009"/>
        </w:numPr>
      </w:pPr>
      <w:r>
        <w:rPr>
          <w:b/>
          <w:bCs/>
        </w:rPr>
        <w:t xml:space="preserve">MinerU</w:t>
      </w:r>
      <w:r>
        <w:t xml:space="preserve"> </w:t>
      </w:r>
      <w:r>
        <w:t xml:space="preserve">(Wang et al., 2024) combines models with preprocessing and postprocessing to extract heterogeneous document content into structured outputs.</w:t>
      </w:r>
    </w:p>
    <w:p>
      <w:pPr>
        <w:pStyle w:val="FirstParagraph"/>
      </w:pPr>
      <w:r>
        <w:t xml:space="preserve">These projects reduce the cost of creating a PDF adapter. They do not make reconstruction infallible.</w:t>
      </w:r>
    </w:p>
    <w:bookmarkEnd w:id="42"/>
    <w:bookmarkStart w:id="43" w:name="Xcbaac5b5945c7548ef42725c86753f497c95642"/>
    <w:p>
      <w:pPr>
        <w:pStyle w:val="Heading2"/>
      </w:pPr>
      <w:r>
        <w:t xml:space="preserve">6.2 Error propagation remains a product risk</w:t>
      </w:r>
    </w:p>
    <w:p>
      <w:pPr>
        <w:pStyle w:val="FirstParagraph"/>
      </w:pPr>
      <w:r>
        <w:t xml:space="preserve">Layout and semantic errors cascade:</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wrong block boundary</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wrong paragraph or heading</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wrong reading order</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wrong figure association</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wrong pagination</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wrong annotation target</w:t>
      </w:r>
    </w:p>
    <w:p>
      <w:pPr>
        <w:pStyle w:val="FirstParagraph"/>
      </w:pPr>
      <w:r>
        <w:t xml:space="preserve">DocLayNet’s human–model gap is a useful warning. A high bounding-box score does not guarantee a coherent reading experience.</w:t>
      </w:r>
    </w:p>
    <w:bookmarkEnd w:id="43"/>
    <w:bookmarkStart w:id="44" w:name="X56788deaf4e0cd34d67e4fb90fa09123f499494"/>
    <w:p>
      <w:pPr>
        <w:pStyle w:val="Heading2"/>
      </w:pPr>
      <w:r>
        <w:t xml:space="preserve">6.3 Objects are insufficient without relationships</w:t>
      </w:r>
    </w:p>
    <w:p>
      <w:pPr>
        <w:pStyle w:val="FirstParagraph"/>
      </w:pPr>
      <w:r>
        <w:t xml:space="preserve">A parser may identify a figure and a caption without knowing that they belong together. SRT needs relations such as:</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caption describes figure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body sentence refers to figure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footnote belongs to text range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equation number identifies equation</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citation marker links to reference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annotation targets exact semantic range</w:t>
      </w:r>
    </w:p>
    <w:p>
      <w:pPr>
        <w:pStyle w:val="FirstParagraph"/>
      </w:pPr>
      <w:r>
        <w:t xml:space="preserve">This makes the canonical model a</w:t>
      </w:r>
      <w:r>
        <w:t xml:space="preserve"> </w:t>
      </w:r>
      <w:r>
        <w:rPr>
          <w:b/>
          <w:bCs/>
        </w:rPr>
        <w:t xml:space="preserve">graph</w:t>
      </w:r>
      <w:r>
        <w:t xml:space="preserve">, not a flat list of blocks. Evaluation should separately score:</w:t>
      </w:r>
    </w:p>
    <w:p>
      <w:pPr>
        <w:pStyle w:val="Compact"/>
        <w:numPr>
          <w:ilvl w:val="0"/>
          <w:numId w:val="1010"/>
        </w:numPr>
      </w:pPr>
      <w:r>
        <w:t xml:space="preserve">block classification;</w:t>
      </w:r>
    </w:p>
    <w:p>
      <w:pPr>
        <w:pStyle w:val="Compact"/>
        <w:numPr>
          <w:ilvl w:val="0"/>
          <w:numId w:val="1010"/>
        </w:numPr>
      </w:pPr>
      <w:r>
        <w:t xml:space="preserve">reading order;</w:t>
      </w:r>
    </w:p>
    <w:p>
      <w:pPr>
        <w:pStyle w:val="Compact"/>
        <w:numPr>
          <w:ilvl w:val="0"/>
          <w:numId w:val="1010"/>
        </w:numPr>
      </w:pPr>
      <w:r>
        <w:t xml:space="preserve">hierarchy;</w:t>
      </w:r>
    </w:p>
    <w:p>
      <w:pPr>
        <w:pStyle w:val="Compact"/>
        <w:numPr>
          <w:ilvl w:val="0"/>
          <w:numId w:val="1010"/>
        </w:numPr>
      </w:pPr>
      <w:r>
        <w:t xml:space="preserve">figure–caption association;</w:t>
      </w:r>
    </w:p>
    <w:p>
      <w:pPr>
        <w:pStyle w:val="Compact"/>
        <w:numPr>
          <w:ilvl w:val="0"/>
          <w:numId w:val="1010"/>
        </w:numPr>
      </w:pPr>
      <w:r>
        <w:t xml:space="preserve">reference links;</w:t>
      </w:r>
    </w:p>
    <w:p>
      <w:pPr>
        <w:pStyle w:val="Compact"/>
        <w:numPr>
          <w:ilvl w:val="0"/>
          <w:numId w:val="1010"/>
        </w:numPr>
      </w:pPr>
      <w:r>
        <w:t xml:space="preserve">provenance mapping;</w:t>
      </w:r>
    </w:p>
    <w:p>
      <w:pPr>
        <w:pStyle w:val="Compact"/>
        <w:numPr>
          <w:ilvl w:val="0"/>
          <w:numId w:val="1010"/>
        </w:numPr>
      </w:pPr>
      <w:r>
        <w:t xml:space="preserve">rendition usability.</w:t>
      </w:r>
    </w:p>
    <w:bookmarkEnd w:id="44"/>
    <w:bookmarkStart w:id="45" w:name="Xd71c24ab169530f4690b5df5192a46ae3260e69"/>
    <w:p>
      <w:pPr>
        <w:pStyle w:val="Heading2"/>
      </w:pPr>
      <w:r>
        <w:t xml:space="preserve">6.4 Structured source should remain the preferred path</w:t>
      </w:r>
    </w:p>
    <w:p>
      <w:pPr>
        <w:pStyle w:val="FirstParagraph"/>
      </w:pPr>
      <w:r>
        <w:t xml:space="preserve">The ingestion priority should be:</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JATS/XML or trusted CMS data</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LaTeX/HTML source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born-digital PDF reconstruction</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scanned PDF reconstruction</w:t>
      </w:r>
    </w:p>
    <w:p>
      <w:pPr>
        <w:pStyle w:val="FirstParagraph"/>
      </w:pPr>
      <w:r>
        <w:t xml:space="preserve">This is not merely an engineering convenience. It preserves the product thesis that semantics should exist upstream rather than be repeatedly inferred downstream.</w:t>
      </w:r>
    </w:p>
    <w:bookmarkEnd w:id="45"/>
    <w:bookmarkEnd w:id="46"/>
    <w:bookmarkStart w:id="52" w:name="X4c2e8e01a0d57177d21ca6c58afed4920bfe1af"/>
    <w:p>
      <w:pPr>
        <w:pStyle w:val="Heading1"/>
      </w:pPr>
      <w:r>
        <w:t xml:space="preserve">7. Standards and implementation substrates</w:t>
      </w:r>
    </w:p>
    <w:bookmarkStart w:id="47" w:name="X8b1c3bb796fdcd00239fe30bc9e8d5d3cf11d7d"/>
    <w:p>
      <w:pPr>
        <w:pStyle w:val="Heading2"/>
      </w:pPr>
      <w:r>
        <w:t xml:space="preserve">7.1 JATS for scholarly semantics</w:t>
      </w:r>
    </w:p>
    <w:p>
      <w:pPr>
        <w:pStyle w:val="FirstParagraph"/>
      </w:pPr>
      <w:r>
        <w:t xml:space="preserve">JATS 1.4 (ANSI/NISO Z39.96-2024) provides a standardized vocabulary for journal-article text and graphics. It already models much of the ontology required by the POC: front matter, sections, figures, captions, tables, equations, notes, citations, and references.</w:t>
      </w:r>
    </w:p>
    <w:p>
      <w:pPr>
        <w:pStyle w:val="BodyText"/>
      </w:pPr>
      <w:r>
        <w:t xml:space="preserve">The POC does not need to expose raw JATS to every component. A validated JSON graph inspired by JATS is reasonable, provided the mapping is documented and IDs remain stable.</w:t>
      </w:r>
    </w:p>
    <w:bookmarkEnd w:id="47"/>
    <w:bookmarkStart w:id="48" w:name="Xc7d36828aa7fca0a8751e6f7e9a0cf5268c4365"/>
    <w:p>
      <w:pPr>
        <w:pStyle w:val="Heading2"/>
      </w:pPr>
      <w:r>
        <w:t xml:space="preserve">7.2 HTML/CSS for composition</w:t>
      </w:r>
    </w:p>
    <w:p>
      <w:pPr>
        <w:pStyle w:val="FirstParagraph"/>
      </w:pPr>
      <w:r>
        <w:t xml:space="preserve">HTML and CSS provide a practical rendering substrate:</w:t>
      </w:r>
    </w:p>
    <w:p>
      <w:pPr>
        <w:pStyle w:val="Compact"/>
        <w:numPr>
          <w:ilvl w:val="0"/>
          <w:numId w:val="1011"/>
        </w:numPr>
      </w:pPr>
      <w:r>
        <w:t xml:space="preserve">Grid and Flexbox for local layout;</w:t>
      </w:r>
    </w:p>
    <w:p>
      <w:pPr>
        <w:pStyle w:val="Compact"/>
        <w:numPr>
          <w:ilvl w:val="0"/>
          <w:numId w:val="1011"/>
        </w:numPr>
      </w:pPr>
      <w:r>
        <w:t xml:space="preserve">container/media queries for component adaptation;</w:t>
      </w:r>
    </w:p>
    <w:p>
      <w:pPr>
        <w:pStyle w:val="Compact"/>
        <w:numPr>
          <w:ilvl w:val="0"/>
          <w:numId w:val="1011"/>
        </w:numPr>
      </w:pPr>
      <w:r>
        <w:t xml:space="preserve">CSS Fragmentation for pages and columns;</w:t>
      </w:r>
    </w:p>
    <w:p>
      <w:pPr>
        <w:pStyle w:val="Compact"/>
        <w:numPr>
          <w:ilvl w:val="0"/>
          <w:numId w:val="1011"/>
        </w:numPr>
      </w:pPr>
      <w:r>
        <w:t xml:space="preserve">Paged Media features for page size, margins, headers, and footers;</w:t>
      </w:r>
    </w:p>
    <w:p>
      <w:pPr>
        <w:pStyle w:val="Compact"/>
        <w:numPr>
          <w:ilvl w:val="0"/>
          <w:numId w:val="1011"/>
        </w:numPr>
      </w:pPr>
      <w:r>
        <w:t xml:space="preserve">MathML/SVG/images for scientific objects.</w:t>
      </w:r>
    </w:p>
    <w:p>
      <w:pPr>
        <w:pStyle w:val="FirstParagraph"/>
      </w:pPr>
      <w:r>
        <w:t xml:space="preserve">The renderer still needs a policy layer. CSS cannot infer editorial intent that has not been encoded.</w:t>
      </w:r>
    </w:p>
    <w:bookmarkEnd w:id="48"/>
    <w:bookmarkStart w:id="49" w:name="Xfbeefd738c6b894cd3b8135fb306a4ee32fac70"/>
    <w:p>
      <w:pPr>
        <w:pStyle w:val="Heading2"/>
      </w:pPr>
      <w:r>
        <w:t xml:space="preserve">7.3 EPUB as a delivery rendition</w:t>
      </w:r>
    </w:p>
    <w:p>
      <w:pPr>
        <w:pStyle w:val="FirstParagraph"/>
      </w:pPr>
      <w:r>
        <w:t xml:space="preserve">EPUB 3.3 packages XHTML, CSS, images, SVG, and MathML and supports reflowable content. It is appropriate as a delivery format, not as the canonical model. PDF and EPUB should be sibling outputs:</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canonical article graph</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paginated print PDF</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device-paginated HTML view</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reflowable EPUB</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continuous web rendition</w:t>
      </w:r>
    </w:p>
    <w:bookmarkEnd w:id="49"/>
    <w:bookmarkStart w:id="50" w:name="X40b8e86cb7cb2e80133f49af579247dd35bba73"/>
    <w:p>
      <w:pPr>
        <w:pStyle w:val="Heading2"/>
      </w:pPr>
      <w:r>
        <w:t xml:space="preserve">7.4 Web Annotation and EPUB Annotations</w:t>
      </w:r>
    </w:p>
    <w:p>
      <w:pPr>
        <w:pStyle w:val="FirstParagraph"/>
      </w:pPr>
      <w:r>
        <w:t xml:space="preserve">The W3C Web Annotation Data Model represents annotations using bodies, targets, and selectors. This supports the desired rule that a highlight’s canonical location is a semantic text range, while rectangles are derived geometry.</w:t>
      </w:r>
    </w:p>
    <w:p>
      <w:pPr>
        <w:pStyle w:val="BodyText"/>
      </w:pPr>
      <w:r>
        <w:t xml:space="preserve">The EPUB Annotations 1.0 Working Draft, published in 2026, profiles annotation concepts for EPUB resources. Its draft status means it should be treated as design guidance rather than a fixed production dependency.</w:t>
      </w:r>
    </w:p>
    <w:bookmarkEnd w:id="50"/>
    <w:bookmarkStart w:id="51" w:name="X6ece7b40153f1244827d41fd485a40f285d79a7"/>
    <w:p>
      <w:pPr>
        <w:pStyle w:val="Heading2"/>
      </w:pPr>
      <w:r>
        <w:t xml:space="preserve">7.5 Standards-derived architectural decision</w:t>
      </w:r>
    </w:p>
    <w:p>
      <w:pPr>
        <w:pStyle w:val="FirstParagraph"/>
      </w:pPr>
      <w:r>
        <w:t xml:space="preserve">The project should</w:t>
      </w:r>
      <w:r>
        <w:t xml:space="preserve"> </w:t>
      </w:r>
      <w:r>
        <w:rPr>
          <w:b/>
          <w:bCs/>
        </w:rPr>
        <w:t xml:space="preserve">own meaning and policy, not reimplement standards</w:t>
      </w:r>
      <w:r>
        <w:t xml:space="preserve">:</w:t>
      </w:r>
    </w:p>
    <w:p>
      <w:pPr>
        <w:pStyle w:val="Compact"/>
        <w:numPr>
          <w:ilvl w:val="0"/>
          <w:numId w:val="1012"/>
        </w:numPr>
      </w:pPr>
      <w:r>
        <w:t xml:space="preserve">adopt JATS concepts;</w:t>
      </w:r>
    </w:p>
    <w:p>
      <w:pPr>
        <w:pStyle w:val="Compact"/>
        <w:numPr>
          <w:ilvl w:val="0"/>
          <w:numId w:val="1012"/>
        </w:numPr>
      </w:pPr>
      <w:r>
        <w:t xml:space="preserve">render with HTML/CSS and a paged-media engine;</w:t>
      </w:r>
    </w:p>
    <w:p>
      <w:pPr>
        <w:pStyle w:val="Compact"/>
        <w:numPr>
          <w:ilvl w:val="0"/>
          <w:numId w:val="1012"/>
        </w:numPr>
      </w:pPr>
      <w:r>
        <w:t xml:space="preserve">package EPUB when needed;</w:t>
      </w:r>
    </w:p>
    <w:p>
      <w:pPr>
        <w:pStyle w:val="Compact"/>
        <w:numPr>
          <w:ilvl w:val="0"/>
          <w:numId w:val="1012"/>
        </w:numPr>
      </w:pPr>
      <w:r>
        <w:t xml:space="preserve">model annotations with Web Annotation-like selectors;</w:t>
      </w:r>
    </w:p>
    <w:p>
      <w:pPr>
        <w:pStyle w:val="Compact"/>
        <w:numPr>
          <w:ilvl w:val="0"/>
          <w:numId w:val="1012"/>
        </w:numPr>
      </w:pPr>
      <w:r>
        <w:t xml:space="preserve">retain source-PDF coordinates as provenance, not canonical position.</w:t>
      </w:r>
    </w:p>
    <w:bookmarkEnd w:id="51"/>
    <w:bookmarkEnd w:id="52"/>
    <w:bookmarkStart w:id="57" w:name="Xedb6ec6032c03dce6d3f6c6304bcdf5d551f64f"/>
    <w:p>
      <w:pPr>
        <w:pStyle w:val="Heading1"/>
      </w:pPr>
      <w:r>
        <w:t xml:space="preserve">8. E-ink, screen geometry, and active scholarly reading</w:t>
      </w:r>
    </w:p>
    <w:bookmarkStart w:id="53" w:name="X20d10e6fd9509b1013ee01409c4b1189d42b477"/>
    <w:p>
      <w:pPr>
        <w:pStyle w:val="Heading2"/>
      </w:pPr>
      <w:r>
        <w:t xml:space="preserve">8.1 E-ink itself is not necessarily the problem</w:t>
      </w:r>
    </w:p>
    <w:p>
      <w:pPr>
        <w:pStyle w:val="FirstParagraph"/>
      </w:pPr>
      <w:r>
        <w:t xml:space="preserve">Siegenthaler et al. (2011) found broadly similar eye-movement behaviour between print and the e-ink display they tested. Benedetto et al. (2013) found greater subjective visual fatigue for LCD than for e-ink or paper in prolonged reading, although not every physiological measure differed.</w:t>
      </w:r>
    </w:p>
    <w:p>
      <w:pPr>
        <w:pStyle w:val="BodyText"/>
      </w:pPr>
      <w:r>
        <w:t xml:space="preserve">These studies suggest that an uncomfortable scientific-PDF experience on a small e-ink device may be caused less by e-ink as a medium and more by fitting a fixed, paper-shaped layout into an incompatible viewport.</w:t>
      </w:r>
    </w:p>
    <w:bookmarkEnd w:id="53"/>
    <w:bookmarkStart w:id="54" w:name="X6f631577ccfe2083a01eef0e8fefd5f7a5570fa"/>
    <w:p>
      <w:pPr>
        <w:pStyle w:val="Heading2"/>
      </w:pPr>
      <w:r>
        <w:t xml:space="preserve">8.2 Academic reading is active and spatial</w:t>
      </w:r>
    </w:p>
    <w:p>
      <w:pPr>
        <w:pStyle w:val="FirstParagraph"/>
      </w:pPr>
      <w:r>
        <w:t xml:space="preserve">Thayer et al. (2011) studied graduate students using a Kindle DX for academic work. The study is relevant because scholarly reading includes more than linear comprehension:</w:t>
      </w:r>
    </w:p>
    <w:p>
      <w:pPr>
        <w:pStyle w:val="Compact"/>
        <w:numPr>
          <w:ilvl w:val="0"/>
          <w:numId w:val="1013"/>
        </w:numPr>
      </w:pPr>
      <w:r>
        <w:t xml:space="preserve">scanning and skimming;</w:t>
      </w:r>
    </w:p>
    <w:p>
      <w:pPr>
        <w:pStyle w:val="Compact"/>
        <w:numPr>
          <w:ilvl w:val="0"/>
          <w:numId w:val="1013"/>
        </w:numPr>
      </w:pPr>
      <w:r>
        <w:t xml:space="preserve">comparing distant passages;</w:t>
      </w:r>
    </w:p>
    <w:p>
      <w:pPr>
        <w:pStyle w:val="Compact"/>
        <w:numPr>
          <w:ilvl w:val="0"/>
          <w:numId w:val="1013"/>
        </w:numPr>
      </w:pPr>
      <w:r>
        <w:t xml:space="preserve">moving between text and figures;</w:t>
      </w:r>
    </w:p>
    <w:p>
      <w:pPr>
        <w:pStyle w:val="Compact"/>
        <w:numPr>
          <w:ilvl w:val="0"/>
          <w:numId w:val="1013"/>
        </w:numPr>
      </w:pPr>
      <w:r>
        <w:t xml:space="preserve">following citations;</w:t>
      </w:r>
    </w:p>
    <w:p>
      <w:pPr>
        <w:pStyle w:val="Compact"/>
        <w:numPr>
          <w:ilvl w:val="0"/>
          <w:numId w:val="1013"/>
        </w:numPr>
      </w:pPr>
      <w:r>
        <w:t xml:space="preserve">annotating;</w:t>
      </w:r>
    </w:p>
    <w:p>
      <w:pPr>
        <w:pStyle w:val="Compact"/>
        <w:numPr>
          <w:ilvl w:val="0"/>
          <w:numId w:val="1013"/>
        </w:numPr>
      </w:pPr>
      <w:r>
        <w:t xml:space="preserve">returning to remembered spatial locations.</w:t>
      </w:r>
    </w:p>
    <w:p>
      <w:pPr>
        <w:pStyle w:val="FirstParagraph"/>
      </w:pPr>
      <w:r>
        <w:t xml:space="preserve">The Semantic Reader Project (Lo et al., 2024) likewise treats conventional PDFs as a substrate that can be augmented with interactive interfaces. Its line of work reinforces the importance of document structure and cross-object navigation, even though it does not focus on responsive e-ink pagination.</w:t>
      </w:r>
    </w:p>
    <w:bookmarkEnd w:id="54"/>
    <w:bookmarkStart w:id="55" w:name="Xbbada63f7e7b879cd3cc66c158fa3977e170093"/>
    <w:p>
      <w:pPr>
        <w:pStyle w:val="Heading2"/>
      </w:pPr>
      <w:r>
        <w:t xml:space="preserve">8.3 Screen size and movement are interacting variables</w:t>
      </w:r>
    </w:p>
    <w:p>
      <w:pPr>
        <w:pStyle w:val="FirstParagraph"/>
      </w:pPr>
      <w:r>
        <w:t xml:space="preserve">Haverkamp et al. (2023) compared smartphone versus tablet reading and scrolling versus paging. They found no statistically significant main effect of screen size on integrated understanding, but navigation patterns and subjective experience differed by movement mode and device combination.</w:t>
      </w:r>
    </w:p>
    <w:p>
      <w:pPr>
        <w:pStyle w:val="BodyText"/>
      </w:pPr>
      <w:r>
        <w:t xml:space="preserve">This supports a more precise experiment than “large screen versus small screen.” The SRT study should manipulate:</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representation</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 original fixed PDF</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 geometrically optimized single-column PDF</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 semantic responsive rendition</w:t>
      </w:r>
      <w:r>
        <w:rPr>
          <w:rFonts w:ascii="Noto Sans Mono" w:hAnsi="Noto Sans Mono" w:eastAsia="Noto Sans Mono"/>
          <w:color w:val="222B35"/>
          <w:sz w:val="16"/>
        </w:rPr>
        <w:br/>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viewport geometry</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 large paper-like e-ink</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 small tall/narrow e-ink</w:t>
      </w:r>
    </w:p>
    <w:p>
      <w:pPr>
        <w:pStyle w:val="FirstParagraph"/>
      </w:pPr>
      <w:r>
        <w:t xml:space="preserve">The interaction is the interesting hypothesis: semantic recomposition may matter most when the fixed page and device geometry are badly mismatched.</w:t>
      </w:r>
    </w:p>
    <w:bookmarkEnd w:id="55"/>
    <w:bookmarkStart w:id="56" w:name="Xc3ded050c700ef2def5d9abd9c85b93ca6b1499"/>
    <w:p>
      <w:pPr>
        <w:pStyle w:val="Heading2"/>
      </w:pPr>
      <w:r>
        <w:t xml:space="preserve">8.4 The direct empirical gap</w:t>
      </w:r>
    </w:p>
    <w:p>
      <w:pPr>
        <w:pStyle w:val="FirstParagraph"/>
      </w:pPr>
      <w:r>
        <w:t xml:space="preserve">In this targeted search, I did not identify a peer-reviewed controlled study that jointly compares fixed scholarly PDF, geometric reflow, and semantic reflow across markedly different e-ink geometries while measuring comprehension, navigation, figure integration, annotation, and reading-position continuity.</w:t>
      </w:r>
    </w:p>
    <w:p>
      <w:pPr>
        <w:pStyle w:val="BodyText"/>
      </w:pPr>
      <w:r>
        <w:t xml:space="preserve">That is an apparent gap, not yet a verified first-ever claim.</w:t>
      </w:r>
    </w:p>
    <w:bookmarkEnd w:id="56"/>
    <w:bookmarkEnd w:id="57"/>
    <w:bookmarkStart w:id="62" w:name="X30f8598267a57c3d05cf439daa1b9ad7f63c5bf"/>
    <w:p>
      <w:pPr>
        <w:pStyle w:val="Heading1"/>
      </w:pPr>
      <w:r>
        <w:t xml:space="preserve">9. Annotation persistence across reflow</w:t>
      </w:r>
    </w:p>
    <w:bookmarkStart w:id="58" w:name="Xdf8a06c2353b00d3c6e80566835a0a7251ee870"/>
    <w:p>
      <w:pPr>
        <w:pStyle w:val="Heading2"/>
      </w:pPr>
      <w:r>
        <w:t xml:space="preserve">9.1 A long research lineage</w:t>
      </w:r>
    </w:p>
    <w:p>
      <w:pPr>
        <w:pStyle w:val="FirstParagraph"/>
      </w:pPr>
      <w:r>
        <w:t xml:space="preserve">XLibris and related active-reading systems established free-form digital ink as a core reading interaction. Brush et al. (2001) studied robust annotation positioning when documents change. Golovchinsky and Denoue’s</w:t>
      </w:r>
      <w:r>
        <w:t xml:space="preserve"> </w:t>
      </w:r>
      <w:r>
        <w:rPr>
          <w:b/>
          <w:bCs/>
        </w:rPr>
        <w:t xml:space="preserve">Moving Markup</w:t>
      </w:r>
      <w:r>
        <w:t xml:space="preserve"> </w:t>
      </w:r>
      <w:r>
        <w:t xml:space="preserve">(2002) repositioned free-form annotations across changes in font, font size, aspect ratio, and device. Bargeron and Moscovich’s</w:t>
      </w:r>
      <w:r>
        <w:t xml:space="preserve"> </w:t>
      </w:r>
      <w:r>
        <w:rPr>
          <w:b/>
          <w:bCs/>
        </w:rPr>
        <w:t xml:space="preserve">Reflowing Digital Ink Annotations</w:t>
      </w:r>
      <w:r>
        <w:t xml:space="preserve"> </w:t>
      </w:r>
      <w:r>
        <w:t xml:space="preserve">(2003) examined how ink should move when the underlying document reflows.</w:t>
      </w:r>
    </w:p>
    <w:p>
      <w:pPr>
        <w:pStyle w:val="BodyText"/>
      </w:pPr>
      <w:r>
        <w:t xml:space="preserve">Sutherland, Luxton-Reilly, and Plimmer’s mapping study (2016) found that much digital-ink research still concerned static documents and that changing text remained difficult.</w:t>
      </w:r>
    </w:p>
    <w:bookmarkEnd w:id="58"/>
    <w:bookmarkStart w:id="59" w:name="X896537929fb0d566192efb27f51080c1937a7cd"/>
    <w:p>
      <w:pPr>
        <w:pStyle w:val="Heading2"/>
      </w:pPr>
      <w:r>
        <w:t xml:space="preserve">9.2 Text highlights are the tractable P0</w:t>
      </w:r>
    </w:p>
    <w:p>
      <w:pPr>
        <w:pStyle w:val="FirstParagraph"/>
      </w:pPr>
      <w:r>
        <w:t xml:space="preserve">A highlight can be represented by:</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semantic node ID</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exact text range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quote</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prefix/suffix context</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optional source-PDF coordinates</w:t>
      </w:r>
    </w:p>
    <w:p>
      <w:pPr>
        <w:pStyle w:val="FirstParagraph"/>
      </w:pPr>
      <w:r>
        <w:t xml:space="preserve">Its page rectangles are derived from the current layout. This aligns with the Web Annotation selector model.</w:t>
      </w:r>
    </w:p>
    <w:bookmarkEnd w:id="59"/>
    <w:bookmarkStart w:id="60" w:name="X70740df5473fe5b89bb0b35f16e740a9da312d9"/>
    <w:p>
      <w:pPr>
        <w:pStyle w:val="Heading2"/>
      </w:pPr>
      <w:r>
        <w:t xml:space="preserve">9.3 Freehand ink is semantically ambiguous</w:t>
      </w:r>
    </w:p>
    <w:p>
      <w:pPr>
        <w:pStyle w:val="FirstParagraph"/>
      </w:pPr>
      <w:r>
        <w:t xml:space="preserve">A stroke may be:</w:t>
      </w:r>
    </w:p>
    <w:p>
      <w:pPr>
        <w:pStyle w:val="Compact"/>
        <w:numPr>
          <w:ilvl w:val="0"/>
          <w:numId w:val="1014"/>
        </w:numPr>
      </w:pPr>
      <w:r>
        <w:t xml:space="preserve">an underline attached to a line of text;</w:t>
      </w:r>
    </w:p>
    <w:p>
      <w:pPr>
        <w:pStyle w:val="Compact"/>
        <w:numPr>
          <w:ilvl w:val="0"/>
          <w:numId w:val="1014"/>
        </w:numPr>
      </w:pPr>
      <w:r>
        <w:t xml:space="preserve">a circle around several lines;</w:t>
      </w:r>
    </w:p>
    <w:p>
      <w:pPr>
        <w:pStyle w:val="Compact"/>
        <w:numPr>
          <w:ilvl w:val="0"/>
          <w:numId w:val="1014"/>
        </w:numPr>
      </w:pPr>
      <w:r>
        <w:t xml:space="preserve">an arrow relating two objects;</w:t>
      </w:r>
    </w:p>
    <w:p>
      <w:pPr>
        <w:pStyle w:val="Compact"/>
        <w:numPr>
          <w:ilvl w:val="0"/>
          <w:numId w:val="1014"/>
        </w:numPr>
      </w:pPr>
      <w:r>
        <w:t xml:space="preserve">a margin note attached to a paragraph but spatially offset;</w:t>
      </w:r>
    </w:p>
    <w:p>
      <w:pPr>
        <w:pStyle w:val="Compact"/>
        <w:numPr>
          <w:ilvl w:val="0"/>
          <w:numId w:val="1014"/>
        </w:numPr>
      </w:pPr>
      <w:r>
        <w:t xml:space="preserve">a page-level diagram with no clear textual anchor.</w:t>
      </w:r>
    </w:p>
    <w:p>
      <w:pPr>
        <w:pStyle w:val="FirstParagraph"/>
      </w:pPr>
      <w:r>
        <w:t xml:space="preserve">A layout change may alter line count, aspect ratio, and relative positions. Translation or uniform scaling is often insufficient.</w:t>
      </w:r>
    </w:p>
    <w:p>
      <w:pPr>
        <w:pStyle w:val="BodyText"/>
      </w:pPr>
      <w:r>
        <w:t xml:space="preserve">The POC should therefore sequence annotation work:</w:t>
      </w:r>
    </w:p>
    <w:p>
      <w:pPr>
        <w:pStyle w:val="Compact"/>
        <w:numPr>
          <w:ilvl w:val="0"/>
          <w:numId w:val="1015"/>
        </w:numPr>
      </w:pPr>
      <w:r>
        <w:t xml:space="preserve">text highlights;</w:t>
      </w:r>
    </w:p>
    <w:p>
      <w:pPr>
        <w:pStyle w:val="Compact"/>
        <w:numPr>
          <w:ilvl w:val="0"/>
          <w:numId w:val="1015"/>
        </w:numPr>
      </w:pPr>
      <w:r>
        <w:t xml:space="preserve">anchored text notes;</w:t>
      </w:r>
    </w:p>
    <w:p>
      <w:pPr>
        <w:pStyle w:val="Compact"/>
        <w:numPr>
          <w:ilvl w:val="0"/>
          <w:numId w:val="1015"/>
        </w:numPr>
      </w:pPr>
      <w:r>
        <w:t xml:space="preserve">paragraph-relative margin notes;</w:t>
      </w:r>
    </w:p>
    <w:p>
      <w:pPr>
        <w:pStyle w:val="Compact"/>
        <w:numPr>
          <w:ilvl w:val="0"/>
          <w:numId w:val="1015"/>
        </w:numPr>
      </w:pPr>
      <w:r>
        <w:t xml:space="preserve">constrained freehand underlines;</w:t>
      </w:r>
    </w:p>
    <w:p>
      <w:pPr>
        <w:pStyle w:val="Compact"/>
        <w:numPr>
          <w:ilvl w:val="0"/>
          <w:numId w:val="1015"/>
        </w:numPr>
      </w:pPr>
      <w:r>
        <w:t xml:space="preserve">arbitrary multi-object ink as a research extension.</w:t>
      </w:r>
    </w:p>
    <w:bookmarkEnd w:id="60"/>
    <w:bookmarkStart w:id="61" w:name="X4d30fb1e0b04b6960c5899e0c06238a6fe0c70a"/>
    <w:p>
      <w:pPr>
        <w:pStyle w:val="Heading2"/>
      </w:pPr>
      <w:r>
        <w:t xml:space="preserve">9.4 Annotation evaluation</w:t>
      </w:r>
    </w:p>
    <w:p>
      <w:pPr>
        <w:pStyle w:val="FirstParagraph"/>
      </w:pPr>
      <w:r>
        <w:t xml:space="preserve">Annotation persistence needs more than a screenshot. Measure:</w:t>
      </w:r>
    </w:p>
    <w:p>
      <w:pPr>
        <w:pStyle w:val="Compact"/>
        <w:numPr>
          <w:ilvl w:val="0"/>
          <w:numId w:val="1016"/>
        </w:numPr>
      </w:pPr>
      <w:r>
        <w:t xml:space="preserve">exact text-target survival;</w:t>
      </w:r>
    </w:p>
    <w:p>
      <w:pPr>
        <w:pStyle w:val="Compact"/>
        <w:numPr>
          <w:ilvl w:val="0"/>
          <w:numId w:val="1016"/>
        </w:numPr>
      </w:pPr>
      <w:r>
        <w:t xml:space="preserve">target ambiguity after edits;</w:t>
      </w:r>
    </w:p>
    <w:p>
      <w:pPr>
        <w:pStyle w:val="Compact"/>
        <w:numPr>
          <w:ilvl w:val="0"/>
          <w:numId w:val="1016"/>
        </w:numPr>
      </w:pPr>
      <w:r>
        <w:t xml:space="preserve">geometric displacement from intended object;</w:t>
      </w:r>
    </w:p>
    <w:p>
      <w:pPr>
        <w:pStyle w:val="Compact"/>
        <w:numPr>
          <w:ilvl w:val="0"/>
          <w:numId w:val="1016"/>
        </w:numPr>
      </w:pPr>
      <w:r>
        <w:t xml:space="preserve">confidence/fallback status;</w:t>
      </w:r>
    </w:p>
    <w:p>
      <w:pPr>
        <w:pStyle w:val="Compact"/>
        <w:numPr>
          <w:ilvl w:val="0"/>
          <w:numId w:val="1016"/>
        </w:numPr>
      </w:pPr>
      <w:r>
        <w:t xml:space="preserve">reader success in relocating the annotation;</w:t>
      </w:r>
    </w:p>
    <w:p>
      <w:pPr>
        <w:pStyle w:val="Compact"/>
        <w:numPr>
          <w:ilvl w:val="0"/>
          <w:numId w:val="1016"/>
        </w:numPr>
      </w:pPr>
      <w:r>
        <w:t xml:space="preserve">subjective acceptability of transformed ink.</w:t>
      </w:r>
    </w:p>
    <w:bookmarkEnd w:id="61"/>
    <w:bookmarkEnd w:id="62"/>
    <w:bookmarkStart w:id="63" w:name="Xdb8031d4960f635a67c1235da6ad718e0f221b4"/>
    <w:p>
      <w:pPr>
        <w:pStyle w:val="Heading1"/>
        <w:pageBreakBefore/>
      </w:pPr>
      <w:r>
        <w:t xml:space="preserve">10. Cross-strand evidence map</w:t>
      </w:r>
    </w:p>
    <w:p>
      <w:pPr>
        <w:pStyle w:val="FirstParagraph"/>
      </w:pPr>
      <w:r>
        <w:t xml:space="preserve">The following map summarizes what each lineage contributes. “Strong” means the capability is central; “partial” means it is present but limited or indirect.</w:t>
      </w:r>
    </w:p>
    <w:tbl>
      <w:tblPr>
        <w:tblStyle w:val="TableGrid"/>
        <w:tblW w:type="auto" w:w="0"/>
        <w:jc w:val="center"/>
        <w:tblLayout w:type="fixed"/>
        <w:tblLook w:firstRow="1" w:lastRow="0" w:firstColumn="0" w:lastColumn="0" w:noHBand="0" w:noVBand="0" w:val="0020"/>
        <w:tblBorders>
          <w:top w:val="single" w:sz="4" w:color="D8DEE5"/>
          <w:left w:val="single" w:sz="4" w:color="D8DEE5"/>
          <w:bottom w:val="single" w:sz="4" w:color="D8DEE5"/>
          <w:right w:val="single" w:sz="4" w:color="D8DEE5"/>
          <w:insideH w:val="single" w:sz="4" w:color="D8DEE5"/>
          <w:insideV w:val="single" w:sz="4" w:color="D8DEE5"/>
        </w:tblBorders>
        <w:tblCaption w:val="Literature review table 2"/>
        <w:tblDescription w:val="Structured evidence summary for Semantic Responsive Typesetting."/>
      </w:tblPr>
      <w:tblGrid>
        <w:gridCol w:w="1320"/>
        <w:gridCol w:w="1320"/>
        <w:gridCol w:w="1320"/>
        <w:gridCol w:w="1320"/>
        <w:gridCol w:w="1320"/>
        <w:gridCol w:w="1320"/>
      </w:tblGrid>
      <w:tr>
        <w:trPr>
          <w:tblHeader w:val="on"/>
          <w:cantSplit/>
          <w:tblHeader w:val="true"/>
        </w:trPr>
        <w:tc>
          <w:tcPr>
            <w:vAlign w:val="top"/>
            <w:tcMar>
              <w:top w:w="70" w:type="dxa"/>
              <w:start w:w="85" w:type="dxa"/>
              <w:bottom w:w="70" w:type="dxa"/>
              <w:end w:w="85" w:type="dxa"/>
            </w:tcMar>
            <w:tcW w:w="2332" w:type="dxa"/>
            <w:shd w:fill="1F2A44" w:val="clear"/>
          </w:tcPr>
          <w:p>
            <w:pPr>
              <w:spacing w:after="40" w:line="240" w:lineRule="auto"/>
              <w:jc w:val="left"/>
            </w:pPr>
            <w:r>
              <w:rPr>
                <w:rFonts w:ascii="Noto Sans" w:hAnsi="Noto Sans" w:eastAsia="Noto Sans"/>
                <w:b/>
                <w:color w:val="FFFFFF"/>
                <w:sz w:val="15"/>
              </w:rPr>
              <w:t xml:space="preserve">Literature strand</w:t>
            </w:r>
          </w:p>
        </w:tc>
        <w:tc>
          <w:tcPr>
            <w:vAlign w:val="top"/>
            <w:tcMar>
              <w:top w:w="70" w:type="dxa"/>
              <w:start w:w="85" w:type="dxa"/>
              <w:bottom w:w="70" w:type="dxa"/>
              <w:end w:w="85" w:type="dxa"/>
            </w:tcMar>
            <w:tcW w:w="1468" w:type="dxa"/>
            <w:shd w:fill="1F2A44" w:val="clear"/>
          </w:tcPr>
          <w:p>
            <w:pPr>
              <w:spacing w:after="40" w:line="240" w:lineRule="auto"/>
              <w:jc w:val="left"/>
            </w:pPr>
            <w:r>
              <w:rPr>
                <w:rFonts w:ascii="Noto Sans" w:hAnsi="Noto Sans" w:eastAsia="Noto Sans"/>
                <w:b/>
                <w:color w:val="FFFFFF"/>
                <w:sz w:val="15"/>
              </w:rPr>
              <w:t xml:space="preserve">Semantic source/recovery</w:t>
            </w:r>
          </w:p>
        </w:tc>
        <w:tc>
          <w:tcPr>
            <w:vAlign w:val="top"/>
            <w:tcMar>
              <w:top w:w="70" w:type="dxa"/>
              <w:start w:w="85" w:type="dxa"/>
              <w:bottom w:w="70" w:type="dxa"/>
              <w:end w:w="85" w:type="dxa"/>
            </w:tcMar>
            <w:tcW w:w="1584" w:type="dxa"/>
            <w:shd w:fill="1F2A44" w:val="clear"/>
          </w:tcPr>
          <w:p>
            <w:pPr>
              <w:spacing w:after="40" w:line="240" w:lineRule="auto"/>
              <w:jc w:val="left"/>
            </w:pPr>
            <w:r>
              <w:rPr>
                <w:rFonts w:ascii="Noto Sans" w:hAnsi="Noto Sans" w:eastAsia="Noto Sans"/>
                <w:b/>
                <w:color w:val="FFFFFF"/>
                <w:sz w:val="15"/>
              </w:rPr>
              <w:t xml:space="preserve">Width + finite-height recomposition</w:t>
            </w:r>
          </w:p>
        </w:tc>
        <w:tc>
          <w:tcPr>
            <w:vAlign w:val="top"/>
            <w:tcMar>
              <w:top w:w="70" w:type="dxa"/>
              <w:start w:w="85" w:type="dxa"/>
              <w:bottom w:w="70" w:type="dxa"/>
              <w:end w:w="85" w:type="dxa"/>
            </w:tcMar>
            <w:tcW w:w="1512" w:type="dxa"/>
            <w:shd w:fill="1F2A44" w:val="clear"/>
          </w:tcPr>
          <w:p>
            <w:pPr>
              <w:spacing w:after="40" w:line="240" w:lineRule="auto"/>
              <w:jc w:val="left"/>
            </w:pPr>
            <w:r>
              <w:rPr>
                <w:rFonts w:ascii="Noto Sans" w:hAnsi="Noto Sans" w:eastAsia="Noto Sans"/>
                <w:b/>
                <w:color w:val="FFFFFF"/>
                <w:sz w:val="15"/>
              </w:rPr>
              <w:t xml:space="preserve">Provenance or persistent identity</w:t>
            </w:r>
          </w:p>
        </w:tc>
        <w:tc>
          <w:tcPr>
            <w:vAlign w:val="top"/>
            <w:tcMar>
              <w:top w:w="70" w:type="dxa"/>
              <w:start w:w="85" w:type="dxa"/>
              <w:bottom w:w="70" w:type="dxa"/>
              <w:end w:w="85" w:type="dxa"/>
            </w:tcMar>
            <w:tcW w:w="1497" w:type="dxa"/>
            <w:shd w:fill="1F2A44" w:val="clear"/>
          </w:tcPr>
          <w:p>
            <w:pPr>
              <w:spacing w:after="40" w:line="240" w:lineRule="auto"/>
              <w:jc w:val="left"/>
            </w:pPr>
            <w:r>
              <w:rPr>
                <w:rFonts w:ascii="Noto Sans" w:hAnsi="Noto Sans" w:eastAsia="Noto Sans"/>
                <w:b/>
                <w:color w:val="FFFFFF"/>
                <w:sz w:val="15"/>
              </w:rPr>
              <w:t xml:space="preserve">Annotation continuity</w:t>
            </w:r>
          </w:p>
        </w:tc>
        <w:tc>
          <w:tcPr>
            <w:vAlign w:val="top"/>
            <w:tcMar>
              <w:top w:w="70" w:type="dxa"/>
              <w:start w:w="85" w:type="dxa"/>
              <w:bottom w:w="70" w:type="dxa"/>
              <w:end w:w="85" w:type="dxa"/>
            </w:tcMar>
            <w:tcW w:w="1555" w:type="dxa"/>
            <w:shd w:fill="1F2A44" w:val="clear"/>
          </w:tcPr>
          <w:p>
            <w:pPr>
              <w:spacing w:after="40" w:line="240" w:lineRule="auto"/>
              <w:jc w:val="left"/>
            </w:pPr>
            <w:r>
              <w:rPr>
                <w:rFonts w:ascii="Noto Sans" w:hAnsi="Noto Sans" w:eastAsia="Noto Sans"/>
                <w:b/>
                <w:color w:val="FFFFFF"/>
                <w:sz w:val="15"/>
              </w:rPr>
              <w:t xml:space="preserve">Active-reading evaluation</w:t>
            </w:r>
          </w:p>
        </w:tc>
      </w:tr>
      <w:tr>
        <w:trPr>
          <w:cantSplit/>
        </w:trPr>
        <w:tc>
          <w:tcPr>
            <w:vAlign w:val="top"/>
            <w:tcMar>
              <w:top w:w="70" w:type="dxa"/>
              <w:start w:w="85" w:type="dxa"/>
              <w:bottom w:w="70" w:type="dxa"/>
              <w:end w:w="85" w:type="dxa"/>
            </w:tcMar>
            <w:tcW w:w="2332" w:type="dxa"/>
          </w:tcPr>
          <w:p>
            <w:pPr>
              <w:spacing w:after="40" w:line="240" w:lineRule="auto"/>
              <w:jc w:val="left"/>
            </w:pPr>
            <w:r>
              <w:rPr>
                <w:rFonts w:ascii="Noto Sans" w:hAnsi="Noto Sans" w:eastAsia="Noto Sans"/>
                <w:color w:val="222B35"/>
                <w:sz w:val="15"/>
              </w:rPr>
              <w:t xml:space="preserve">Adaptive document layout</w:t>
            </w:r>
          </w:p>
        </w:tc>
        <w:tc>
          <w:tcPr>
            <w:vAlign w:val="top"/>
            <w:tcMar>
              <w:top w:w="70" w:type="dxa"/>
              <w:start w:w="85" w:type="dxa"/>
              <w:bottom w:w="70" w:type="dxa"/>
              <w:end w:w="85" w:type="dxa"/>
            </w:tcMar>
            <w:tcW w:w="1468" w:type="dxa"/>
          </w:tcPr>
          <w:p>
            <w:pPr>
              <w:spacing w:after="40" w:line="240" w:lineRule="auto"/>
              <w:jc w:val="left"/>
            </w:pPr>
            <w:r>
              <w:rPr>
                <w:rFonts w:ascii="Noto Sans" w:hAnsi="Noto Sans" w:eastAsia="Noto Sans"/>
                <w:color w:val="222B35"/>
                <w:sz w:val="15"/>
              </w:rPr>
              <w:t xml:space="preserve">Strong structured-input assumption</w:t>
            </w:r>
          </w:p>
        </w:tc>
        <w:tc>
          <w:tcPr>
            <w:vAlign w:val="top"/>
            <w:tcMar>
              <w:top w:w="70" w:type="dxa"/>
              <w:start w:w="85" w:type="dxa"/>
              <w:bottom w:w="70" w:type="dxa"/>
              <w:end w:w="85" w:type="dxa"/>
            </w:tcMar>
            <w:tcW w:w="1584" w:type="dxa"/>
          </w:tcPr>
          <w:p>
            <w:pPr>
              <w:spacing w:after="40" w:line="240" w:lineRule="auto"/>
              <w:jc w:val="left"/>
            </w:pPr>
            <w:r>
              <w:rPr>
                <w:rFonts w:ascii="Noto Sans" w:hAnsi="Noto Sans" w:eastAsia="Noto Sans"/>
                <w:color w:val="222B35"/>
                <w:sz w:val="15"/>
              </w:rPr>
              <w:t xml:space="preserve">Strong</w:t>
            </w:r>
          </w:p>
        </w:tc>
        <w:tc>
          <w:tcPr>
            <w:vAlign w:val="top"/>
            <w:tcMar>
              <w:top w:w="70" w:type="dxa"/>
              <w:start w:w="85" w:type="dxa"/>
              <w:bottom w:w="70" w:type="dxa"/>
              <w:end w:w="85" w:type="dxa"/>
            </w:tcMar>
            <w:tcW w:w="1512" w:type="dxa"/>
          </w:tcPr>
          <w:p>
            <w:pPr>
              <w:spacing w:after="40" w:line="240" w:lineRule="auto"/>
              <w:jc w:val="left"/>
            </w:pPr>
            <w:r>
              <w:rPr>
                <w:rFonts w:ascii="Noto Sans" w:hAnsi="Noto Sans" w:eastAsia="Noto Sans"/>
                <w:color w:val="222B35"/>
                <w:sz w:val="15"/>
              </w:rPr>
              <w:t xml:space="preserve">Partial</w:t>
            </w:r>
          </w:p>
        </w:tc>
        <w:tc>
          <w:tcPr>
            <w:vAlign w:val="top"/>
            <w:tcMar>
              <w:top w:w="70" w:type="dxa"/>
              <w:start w:w="85" w:type="dxa"/>
              <w:bottom w:w="70" w:type="dxa"/>
              <w:end w:w="85" w:type="dxa"/>
            </w:tcMar>
            <w:tcW w:w="1497" w:type="dxa"/>
          </w:tcPr>
          <w:p>
            <w:pPr>
              <w:spacing w:after="40" w:line="240" w:lineRule="auto"/>
              <w:jc w:val="left"/>
            </w:pPr>
            <w:r>
              <w:rPr>
                <w:rFonts w:ascii="Noto Sans" w:hAnsi="Noto Sans" w:eastAsia="Noto Sans"/>
                <w:color w:val="222B35"/>
                <w:sz w:val="15"/>
              </w:rPr>
              <w:t xml:space="preserve">Weak</w:t>
            </w:r>
          </w:p>
        </w:tc>
        <w:tc>
          <w:tcPr>
            <w:vAlign w:val="top"/>
            <w:tcMar>
              <w:top w:w="70" w:type="dxa"/>
              <w:start w:w="85" w:type="dxa"/>
              <w:bottom w:w="70" w:type="dxa"/>
              <w:end w:w="85" w:type="dxa"/>
            </w:tcMar>
            <w:tcW w:w="1555" w:type="dxa"/>
          </w:tcPr>
          <w:p>
            <w:pPr>
              <w:spacing w:after="40" w:line="240" w:lineRule="auto"/>
              <w:jc w:val="left"/>
            </w:pPr>
            <w:r>
              <w:rPr>
                <w:rFonts w:ascii="Noto Sans" w:hAnsi="Noto Sans" w:eastAsia="Noto Sans"/>
                <w:color w:val="222B35"/>
                <w:sz w:val="15"/>
              </w:rPr>
              <w:t xml:space="preserve">Partial</w:t>
            </w:r>
          </w:p>
        </w:tc>
      </w:tr>
      <w:tr>
        <w:trPr>
          <w:cantSplit/>
        </w:trPr>
        <w:tc>
          <w:tcPr>
            <w:vAlign w:val="top"/>
            <w:tcMar>
              <w:top w:w="70" w:type="dxa"/>
              <w:start w:w="85" w:type="dxa"/>
              <w:bottom w:w="70" w:type="dxa"/>
              <w:end w:w="85" w:type="dxa"/>
            </w:tcMar>
            <w:tcW w:w="2332" w:type="dxa"/>
            <w:shd w:fill="F3F5F7" w:val="clear"/>
          </w:tcPr>
          <w:p>
            <w:pPr>
              <w:spacing w:after="40" w:line="240" w:lineRule="auto"/>
              <w:jc w:val="left"/>
            </w:pPr>
            <w:r>
              <w:rPr>
                <w:rFonts w:ascii="Noto Sans" w:hAnsi="Noto Sans" w:eastAsia="Noto Sans"/>
                <w:color w:val="222B35"/>
                <w:sz w:val="15"/>
              </w:rPr>
              <w:t xml:space="preserve">PDF-to-EPUB / scientific reflow</w:t>
            </w:r>
          </w:p>
        </w:tc>
        <w:tc>
          <w:tcPr>
            <w:vAlign w:val="top"/>
            <w:tcMar>
              <w:top w:w="70" w:type="dxa"/>
              <w:start w:w="85" w:type="dxa"/>
              <w:bottom w:w="70" w:type="dxa"/>
              <w:end w:w="85" w:type="dxa"/>
            </w:tcMar>
            <w:tcW w:w="1468" w:type="dxa"/>
            <w:shd w:fill="F3F5F7" w:val="clear"/>
          </w:tcPr>
          <w:p>
            <w:pPr>
              <w:spacing w:after="40" w:line="240" w:lineRule="auto"/>
              <w:jc w:val="left"/>
            </w:pPr>
            <w:r>
              <w:rPr>
                <w:rFonts w:ascii="Noto Sans" w:hAnsi="Noto Sans" w:eastAsia="Noto Sans"/>
                <w:color w:val="222B35"/>
                <w:sz w:val="15"/>
              </w:rPr>
              <w:t xml:space="preserve">Partial</w:t>
            </w:r>
          </w:p>
        </w:tc>
        <w:tc>
          <w:tcPr>
            <w:vAlign w:val="top"/>
            <w:tcMar>
              <w:top w:w="70" w:type="dxa"/>
              <w:start w:w="85" w:type="dxa"/>
              <w:bottom w:w="70" w:type="dxa"/>
              <w:end w:w="85" w:type="dxa"/>
            </w:tcMar>
            <w:tcW w:w="1584" w:type="dxa"/>
            <w:shd w:fill="F3F5F7" w:val="clear"/>
          </w:tcPr>
          <w:p>
            <w:pPr>
              <w:spacing w:after="40" w:line="240" w:lineRule="auto"/>
              <w:jc w:val="left"/>
            </w:pPr>
            <w:r>
              <w:rPr>
                <w:rFonts w:ascii="Noto Sans" w:hAnsi="Noto Sans" w:eastAsia="Noto Sans"/>
                <w:color w:val="222B35"/>
                <w:sz w:val="15"/>
              </w:rPr>
              <w:t xml:space="preserve">Partial to strong</w:t>
            </w:r>
          </w:p>
        </w:tc>
        <w:tc>
          <w:tcPr>
            <w:vAlign w:val="top"/>
            <w:tcMar>
              <w:top w:w="70" w:type="dxa"/>
              <w:start w:w="85" w:type="dxa"/>
              <w:bottom w:w="70" w:type="dxa"/>
              <w:end w:w="85" w:type="dxa"/>
            </w:tcMar>
            <w:tcW w:w="1512" w:type="dxa"/>
            <w:shd w:fill="F3F5F7" w:val="clear"/>
          </w:tcPr>
          <w:p>
            <w:pPr>
              <w:spacing w:after="40" w:line="240" w:lineRule="auto"/>
              <w:jc w:val="left"/>
            </w:pPr>
            <w:r>
              <w:rPr>
                <w:rFonts w:ascii="Noto Sans" w:hAnsi="Noto Sans" w:eastAsia="Noto Sans"/>
                <w:color w:val="222B35"/>
                <w:sz w:val="15"/>
              </w:rPr>
              <w:t xml:space="preserve">Partial geometric mapping</w:t>
            </w:r>
          </w:p>
        </w:tc>
        <w:tc>
          <w:tcPr>
            <w:vAlign w:val="top"/>
            <w:tcMar>
              <w:top w:w="70" w:type="dxa"/>
              <w:start w:w="85" w:type="dxa"/>
              <w:bottom w:w="70" w:type="dxa"/>
              <w:end w:w="85" w:type="dxa"/>
            </w:tcMar>
            <w:tcW w:w="1497" w:type="dxa"/>
            <w:shd w:fill="F3F5F7" w:val="clear"/>
          </w:tcPr>
          <w:p>
            <w:pPr>
              <w:spacing w:after="40" w:line="240" w:lineRule="auto"/>
              <w:jc w:val="left"/>
            </w:pPr>
            <w:r>
              <w:rPr>
                <w:rFonts w:ascii="Noto Sans" w:hAnsi="Noto Sans" w:eastAsia="Noto Sans"/>
                <w:color w:val="222B35"/>
                <w:sz w:val="15"/>
              </w:rPr>
              <w:t xml:space="preserve">Partial</w:t>
            </w:r>
          </w:p>
        </w:tc>
        <w:tc>
          <w:tcPr>
            <w:vAlign w:val="top"/>
            <w:tcMar>
              <w:top w:w="70" w:type="dxa"/>
              <w:start w:w="85" w:type="dxa"/>
              <w:bottom w:w="70" w:type="dxa"/>
              <w:end w:w="85" w:type="dxa"/>
            </w:tcMar>
            <w:tcW w:w="1555" w:type="dxa"/>
            <w:shd w:fill="F3F5F7" w:val="clear"/>
          </w:tcPr>
          <w:p>
            <w:pPr>
              <w:spacing w:after="40" w:line="240" w:lineRule="auto"/>
              <w:jc w:val="left"/>
            </w:pPr>
            <w:r>
              <w:rPr>
                <w:rFonts w:ascii="Noto Sans" w:hAnsi="Noto Sans" w:eastAsia="Noto Sans"/>
                <w:color w:val="222B35"/>
                <w:sz w:val="15"/>
              </w:rPr>
              <w:t xml:space="preserve">Weak</w:t>
            </w:r>
          </w:p>
        </w:tc>
      </w:tr>
      <w:tr>
        <w:trPr>
          <w:cantSplit/>
        </w:trPr>
        <w:tc>
          <w:tcPr>
            <w:vAlign w:val="top"/>
            <w:tcMar>
              <w:top w:w="70" w:type="dxa"/>
              <w:start w:w="85" w:type="dxa"/>
              <w:bottom w:w="70" w:type="dxa"/>
              <w:end w:w="85" w:type="dxa"/>
            </w:tcMar>
            <w:tcW w:w="2332" w:type="dxa"/>
          </w:tcPr>
          <w:p>
            <w:pPr>
              <w:spacing w:after="40" w:line="240" w:lineRule="auto"/>
              <w:jc w:val="left"/>
            </w:pPr>
            <w:r>
              <w:rPr>
                <w:rFonts w:ascii="Noto Sans" w:hAnsi="Noto Sans" w:eastAsia="Noto Sans"/>
                <w:color w:val="222B35"/>
                <w:sz w:val="15"/>
              </w:rPr>
              <w:t xml:space="preserve">Modern document intelligence</w:t>
            </w:r>
          </w:p>
        </w:tc>
        <w:tc>
          <w:tcPr>
            <w:vAlign w:val="top"/>
            <w:tcMar>
              <w:top w:w="70" w:type="dxa"/>
              <w:start w:w="85" w:type="dxa"/>
              <w:bottom w:w="70" w:type="dxa"/>
              <w:end w:w="85" w:type="dxa"/>
            </w:tcMar>
            <w:tcW w:w="1468" w:type="dxa"/>
          </w:tcPr>
          <w:p>
            <w:pPr>
              <w:spacing w:after="40" w:line="240" w:lineRule="auto"/>
              <w:jc w:val="left"/>
            </w:pPr>
            <w:r>
              <w:rPr>
                <w:rFonts w:ascii="Noto Sans" w:hAnsi="Noto Sans" w:eastAsia="Noto Sans"/>
                <w:color w:val="222B35"/>
                <w:sz w:val="15"/>
              </w:rPr>
              <w:t xml:space="preserve">Strong recovery focus</w:t>
            </w:r>
          </w:p>
        </w:tc>
        <w:tc>
          <w:tcPr>
            <w:vAlign w:val="top"/>
            <w:tcMar>
              <w:top w:w="70" w:type="dxa"/>
              <w:start w:w="85" w:type="dxa"/>
              <w:bottom w:w="70" w:type="dxa"/>
              <w:end w:w="85" w:type="dxa"/>
            </w:tcMar>
            <w:tcW w:w="1584" w:type="dxa"/>
          </w:tcPr>
          <w:p>
            <w:pPr>
              <w:spacing w:after="40" w:line="240" w:lineRule="auto"/>
              <w:jc w:val="left"/>
            </w:pPr>
            <w:r>
              <w:rPr>
                <w:rFonts w:ascii="Noto Sans" w:hAnsi="Noto Sans" w:eastAsia="Noto Sans"/>
                <w:color w:val="222B35"/>
                <w:sz w:val="15"/>
              </w:rPr>
              <w:t xml:space="preserve">Weak</w:t>
            </w:r>
          </w:p>
        </w:tc>
        <w:tc>
          <w:tcPr>
            <w:vAlign w:val="top"/>
            <w:tcMar>
              <w:top w:w="70" w:type="dxa"/>
              <w:start w:w="85" w:type="dxa"/>
              <w:bottom w:w="70" w:type="dxa"/>
              <w:end w:w="85" w:type="dxa"/>
            </w:tcMar>
            <w:tcW w:w="1512" w:type="dxa"/>
          </w:tcPr>
          <w:p>
            <w:pPr>
              <w:spacing w:after="40" w:line="240" w:lineRule="auto"/>
              <w:jc w:val="left"/>
            </w:pPr>
            <w:r>
              <w:rPr>
                <w:rFonts w:ascii="Noto Sans" w:hAnsi="Noto Sans" w:eastAsia="Noto Sans"/>
                <w:color w:val="222B35"/>
                <w:sz w:val="15"/>
              </w:rPr>
              <w:t xml:space="preserve">Partial</w:t>
            </w:r>
          </w:p>
        </w:tc>
        <w:tc>
          <w:tcPr>
            <w:vAlign w:val="top"/>
            <w:tcMar>
              <w:top w:w="70" w:type="dxa"/>
              <w:start w:w="85" w:type="dxa"/>
              <w:bottom w:w="70" w:type="dxa"/>
              <w:end w:w="85" w:type="dxa"/>
            </w:tcMar>
            <w:tcW w:w="1497" w:type="dxa"/>
          </w:tcPr>
          <w:p>
            <w:pPr>
              <w:spacing w:after="40" w:line="240" w:lineRule="auto"/>
              <w:jc w:val="left"/>
            </w:pPr>
            <w:r>
              <w:rPr>
                <w:rFonts w:ascii="Noto Sans" w:hAnsi="Noto Sans" w:eastAsia="Noto Sans"/>
                <w:color w:val="222B35"/>
                <w:sz w:val="15"/>
              </w:rPr>
              <w:t xml:space="preserve">Weak</w:t>
            </w:r>
          </w:p>
        </w:tc>
        <w:tc>
          <w:tcPr>
            <w:vAlign w:val="top"/>
            <w:tcMar>
              <w:top w:w="70" w:type="dxa"/>
              <w:start w:w="85" w:type="dxa"/>
              <w:bottom w:w="70" w:type="dxa"/>
              <w:end w:w="85" w:type="dxa"/>
            </w:tcMar>
            <w:tcW w:w="1555" w:type="dxa"/>
          </w:tcPr>
          <w:p>
            <w:pPr>
              <w:spacing w:after="40" w:line="240" w:lineRule="auto"/>
              <w:jc w:val="left"/>
            </w:pPr>
            <w:r>
              <w:rPr>
                <w:rFonts w:ascii="Noto Sans" w:hAnsi="Noto Sans" w:eastAsia="Noto Sans"/>
                <w:color w:val="222B35"/>
                <w:sz w:val="15"/>
              </w:rPr>
              <w:t xml:space="preserve">Weak</w:t>
            </w:r>
          </w:p>
        </w:tc>
      </w:tr>
      <w:tr>
        <w:trPr>
          <w:cantSplit/>
        </w:trPr>
        <w:tc>
          <w:tcPr>
            <w:vAlign w:val="top"/>
            <w:tcMar>
              <w:top w:w="70" w:type="dxa"/>
              <w:start w:w="85" w:type="dxa"/>
              <w:bottom w:w="70" w:type="dxa"/>
              <w:end w:w="85" w:type="dxa"/>
            </w:tcMar>
            <w:tcW w:w="2332" w:type="dxa"/>
            <w:shd w:fill="F3F5F7" w:val="clear"/>
          </w:tcPr>
          <w:p>
            <w:pPr>
              <w:spacing w:after="40" w:line="240" w:lineRule="auto"/>
              <w:jc w:val="left"/>
            </w:pPr>
            <w:r>
              <w:rPr>
                <w:rFonts w:ascii="Noto Sans" w:hAnsi="Noto Sans" w:eastAsia="Noto Sans"/>
                <w:color w:val="222B35"/>
                <w:sz w:val="15"/>
              </w:rPr>
              <w:t xml:space="preserve">Responsive authoring/optimization</w:t>
            </w:r>
          </w:p>
        </w:tc>
        <w:tc>
          <w:tcPr>
            <w:vAlign w:val="top"/>
            <w:tcMar>
              <w:top w:w="70" w:type="dxa"/>
              <w:start w:w="85" w:type="dxa"/>
              <w:bottom w:w="70" w:type="dxa"/>
              <w:end w:w="85" w:type="dxa"/>
            </w:tcMar>
            <w:tcW w:w="1468" w:type="dxa"/>
            <w:shd w:fill="F3F5F7" w:val="clear"/>
          </w:tcPr>
          <w:p>
            <w:pPr>
              <w:spacing w:after="40" w:line="240" w:lineRule="auto"/>
              <w:jc w:val="left"/>
            </w:pPr>
            <w:r>
              <w:rPr>
                <w:rFonts w:ascii="Noto Sans" w:hAnsi="Noto Sans" w:eastAsia="Noto Sans"/>
                <w:color w:val="222B35"/>
                <w:sz w:val="15"/>
              </w:rPr>
              <w:t xml:space="preserve">Strong</w:t>
            </w:r>
          </w:p>
        </w:tc>
        <w:tc>
          <w:tcPr>
            <w:vAlign w:val="top"/>
            <w:tcMar>
              <w:top w:w="70" w:type="dxa"/>
              <w:start w:w="85" w:type="dxa"/>
              <w:bottom w:w="70" w:type="dxa"/>
              <w:end w:w="85" w:type="dxa"/>
            </w:tcMar>
            <w:tcW w:w="1584" w:type="dxa"/>
            <w:shd w:fill="F3F5F7" w:val="clear"/>
          </w:tcPr>
          <w:p>
            <w:pPr>
              <w:spacing w:after="40" w:line="240" w:lineRule="auto"/>
              <w:jc w:val="left"/>
            </w:pPr>
            <w:r>
              <w:rPr>
                <w:rFonts w:ascii="Noto Sans" w:hAnsi="Noto Sans" w:eastAsia="Noto Sans"/>
                <w:color w:val="222B35"/>
                <w:sz w:val="15"/>
              </w:rPr>
              <w:t xml:space="preserve">Strong</w:t>
            </w:r>
          </w:p>
        </w:tc>
        <w:tc>
          <w:tcPr>
            <w:vAlign w:val="top"/>
            <w:tcMar>
              <w:top w:w="70" w:type="dxa"/>
              <w:start w:w="85" w:type="dxa"/>
              <w:bottom w:w="70" w:type="dxa"/>
              <w:end w:w="85" w:type="dxa"/>
            </w:tcMar>
            <w:tcW w:w="1512" w:type="dxa"/>
            <w:shd w:fill="F3F5F7" w:val="clear"/>
          </w:tcPr>
          <w:p>
            <w:pPr>
              <w:spacing w:after="40" w:line="240" w:lineRule="auto"/>
              <w:jc w:val="left"/>
            </w:pPr>
            <w:r>
              <w:rPr>
                <w:rFonts w:ascii="Noto Sans" w:hAnsi="Noto Sans" w:eastAsia="Noto Sans"/>
                <w:color w:val="222B35"/>
                <w:sz w:val="15"/>
              </w:rPr>
              <w:t xml:space="preserve">Partial unified models</w:t>
            </w:r>
          </w:p>
        </w:tc>
        <w:tc>
          <w:tcPr>
            <w:vAlign w:val="top"/>
            <w:tcMar>
              <w:top w:w="70" w:type="dxa"/>
              <w:start w:w="85" w:type="dxa"/>
              <w:bottom w:w="70" w:type="dxa"/>
              <w:end w:w="85" w:type="dxa"/>
            </w:tcMar>
            <w:tcW w:w="1497" w:type="dxa"/>
            <w:shd w:fill="F3F5F7" w:val="clear"/>
          </w:tcPr>
          <w:p>
            <w:pPr>
              <w:spacing w:after="40" w:line="240" w:lineRule="auto"/>
              <w:jc w:val="left"/>
            </w:pPr>
            <w:r>
              <w:rPr>
                <w:rFonts w:ascii="Noto Sans" w:hAnsi="Noto Sans" w:eastAsia="Noto Sans"/>
                <w:color w:val="222B35"/>
                <w:sz w:val="15"/>
              </w:rPr>
              <w:t xml:space="preserve">Weak</w:t>
            </w:r>
          </w:p>
        </w:tc>
        <w:tc>
          <w:tcPr>
            <w:vAlign w:val="top"/>
            <w:tcMar>
              <w:top w:w="70" w:type="dxa"/>
              <w:start w:w="85" w:type="dxa"/>
              <w:bottom w:w="70" w:type="dxa"/>
              <w:end w:w="85" w:type="dxa"/>
            </w:tcMar>
            <w:tcW w:w="1555" w:type="dxa"/>
            <w:shd w:fill="F3F5F7" w:val="clear"/>
          </w:tcPr>
          <w:p>
            <w:pPr>
              <w:spacing w:after="40" w:line="240" w:lineRule="auto"/>
              <w:jc w:val="left"/>
            </w:pPr>
            <w:r>
              <w:rPr>
                <w:rFonts w:ascii="Noto Sans" w:hAnsi="Noto Sans" w:eastAsia="Noto Sans"/>
                <w:color w:val="222B35"/>
                <w:sz w:val="15"/>
              </w:rPr>
              <w:t xml:space="preserve">Authoring-focused</w:t>
            </w:r>
          </w:p>
        </w:tc>
      </w:tr>
      <w:tr>
        <w:trPr>
          <w:cantSplit/>
        </w:trPr>
        <w:tc>
          <w:tcPr>
            <w:vAlign w:val="top"/>
            <w:tcMar>
              <w:top w:w="70" w:type="dxa"/>
              <w:start w:w="85" w:type="dxa"/>
              <w:bottom w:w="70" w:type="dxa"/>
              <w:end w:w="85" w:type="dxa"/>
            </w:tcMar>
            <w:tcW w:w="2332" w:type="dxa"/>
          </w:tcPr>
          <w:p>
            <w:pPr>
              <w:spacing w:after="40" w:line="240" w:lineRule="auto"/>
              <w:jc w:val="left"/>
            </w:pPr>
            <w:r>
              <w:rPr>
                <w:rFonts w:ascii="Noto Sans" w:hAnsi="Noto Sans" w:eastAsia="Noto Sans"/>
                <w:color w:val="222B35"/>
                <w:sz w:val="15"/>
              </w:rPr>
              <w:t xml:space="preserve">E-reader and scholarly-reading HCI</w:t>
            </w:r>
          </w:p>
        </w:tc>
        <w:tc>
          <w:tcPr>
            <w:vAlign w:val="top"/>
            <w:tcMar>
              <w:top w:w="70" w:type="dxa"/>
              <w:start w:w="85" w:type="dxa"/>
              <w:bottom w:w="70" w:type="dxa"/>
              <w:end w:w="85" w:type="dxa"/>
            </w:tcMar>
            <w:tcW w:w="1468" w:type="dxa"/>
          </w:tcPr>
          <w:p>
            <w:pPr>
              <w:spacing w:after="40" w:line="240" w:lineRule="auto"/>
              <w:jc w:val="left"/>
            </w:pPr>
            <w:r>
              <w:rPr>
                <w:rFonts w:ascii="Noto Sans" w:hAnsi="Noto Sans" w:eastAsia="Noto Sans"/>
                <w:color w:val="222B35"/>
                <w:sz w:val="15"/>
              </w:rPr>
              <w:t xml:space="preserve">Weak</w:t>
            </w:r>
          </w:p>
        </w:tc>
        <w:tc>
          <w:tcPr>
            <w:vAlign w:val="top"/>
            <w:tcMar>
              <w:top w:w="70" w:type="dxa"/>
              <w:start w:w="85" w:type="dxa"/>
              <w:bottom w:w="70" w:type="dxa"/>
              <w:end w:w="85" w:type="dxa"/>
            </w:tcMar>
            <w:tcW w:w="1584" w:type="dxa"/>
          </w:tcPr>
          <w:p>
            <w:pPr>
              <w:spacing w:after="40" w:line="240" w:lineRule="auto"/>
              <w:jc w:val="left"/>
            </w:pPr>
            <w:r>
              <w:rPr>
                <w:rFonts w:ascii="Noto Sans" w:hAnsi="Noto Sans" w:eastAsia="Noto Sans"/>
                <w:color w:val="222B35"/>
                <w:sz w:val="15"/>
              </w:rPr>
              <w:t xml:space="preserve">Weak</w:t>
            </w:r>
          </w:p>
        </w:tc>
        <w:tc>
          <w:tcPr>
            <w:vAlign w:val="top"/>
            <w:tcMar>
              <w:top w:w="70" w:type="dxa"/>
              <w:start w:w="85" w:type="dxa"/>
              <w:bottom w:w="70" w:type="dxa"/>
              <w:end w:w="85" w:type="dxa"/>
            </w:tcMar>
            <w:tcW w:w="1512" w:type="dxa"/>
          </w:tcPr>
          <w:p>
            <w:pPr>
              <w:spacing w:after="40" w:line="240" w:lineRule="auto"/>
              <w:jc w:val="left"/>
            </w:pPr>
            <w:r>
              <w:rPr>
                <w:rFonts w:ascii="Noto Sans" w:hAnsi="Noto Sans" w:eastAsia="Noto Sans"/>
                <w:color w:val="222B35"/>
                <w:sz w:val="15"/>
              </w:rPr>
              <w:t xml:space="preserve">Weak</w:t>
            </w:r>
          </w:p>
        </w:tc>
        <w:tc>
          <w:tcPr>
            <w:vAlign w:val="top"/>
            <w:tcMar>
              <w:top w:w="70" w:type="dxa"/>
              <w:start w:w="85" w:type="dxa"/>
              <w:bottom w:w="70" w:type="dxa"/>
              <w:end w:w="85" w:type="dxa"/>
            </w:tcMar>
            <w:tcW w:w="1497" w:type="dxa"/>
          </w:tcPr>
          <w:p>
            <w:pPr>
              <w:spacing w:after="40" w:line="240" w:lineRule="auto"/>
              <w:jc w:val="left"/>
            </w:pPr>
            <w:r>
              <w:rPr>
                <w:rFonts w:ascii="Noto Sans" w:hAnsi="Noto Sans" w:eastAsia="Noto Sans"/>
                <w:color w:val="222B35"/>
                <w:sz w:val="15"/>
              </w:rPr>
              <w:t xml:space="preserve">Partial interaction studies</w:t>
            </w:r>
          </w:p>
        </w:tc>
        <w:tc>
          <w:tcPr>
            <w:vAlign w:val="top"/>
            <w:tcMar>
              <w:top w:w="70" w:type="dxa"/>
              <w:start w:w="85" w:type="dxa"/>
              <w:bottom w:w="70" w:type="dxa"/>
              <w:end w:w="85" w:type="dxa"/>
            </w:tcMar>
            <w:tcW w:w="1555" w:type="dxa"/>
          </w:tcPr>
          <w:p>
            <w:pPr>
              <w:spacing w:after="40" w:line="240" w:lineRule="auto"/>
              <w:jc w:val="left"/>
            </w:pPr>
            <w:r>
              <w:rPr>
                <w:rFonts w:ascii="Noto Sans" w:hAnsi="Noto Sans" w:eastAsia="Noto Sans"/>
                <w:color w:val="222B35"/>
                <w:sz w:val="15"/>
              </w:rPr>
              <w:t xml:space="preserve">Strong</w:t>
            </w:r>
          </w:p>
        </w:tc>
      </w:tr>
      <w:tr>
        <w:trPr>
          <w:cantSplit/>
        </w:trPr>
        <w:tc>
          <w:tcPr>
            <w:vAlign w:val="top"/>
            <w:tcMar>
              <w:top w:w="70" w:type="dxa"/>
              <w:start w:w="85" w:type="dxa"/>
              <w:bottom w:w="70" w:type="dxa"/>
              <w:end w:w="85" w:type="dxa"/>
            </w:tcMar>
            <w:tcW w:w="2332" w:type="dxa"/>
            <w:shd w:fill="F3F5F7" w:val="clear"/>
          </w:tcPr>
          <w:p>
            <w:pPr>
              <w:spacing w:after="40" w:line="240" w:lineRule="auto"/>
              <w:jc w:val="left"/>
            </w:pPr>
            <w:r>
              <w:rPr>
                <w:rFonts w:ascii="Noto Sans" w:hAnsi="Noto Sans" w:eastAsia="Noto Sans"/>
                <w:color w:val="222B35"/>
                <w:sz w:val="15"/>
              </w:rPr>
              <w:t xml:space="preserve">Annotation anchoring/reflow</w:t>
            </w:r>
          </w:p>
        </w:tc>
        <w:tc>
          <w:tcPr>
            <w:vAlign w:val="top"/>
            <w:tcMar>
              <w:top w:w="70" w:type="dxa"/>
              <w:start w:w="85" w:type="dxa"/>
              <w:bottom w:w="70" w:type="dxa"/>
              <w:end w:w="85" w:type="dxa"/>
            </w:tcMar>
            <w:tcW w:w="1468" w:type="dxa"/>
            <w:shd w:fill="F3F5F7" w:val="clear"/>
          </w:tcPr>
          <w:p>
            <w:pPr>
              <w:spacing w:after="40" w:line="240" w:lineRule="auto"/>
              <w:jc w:val="left"/>
            </w:pPr>
            <w:r>
              <w:rPr>
                <w:rFonts w:ascii="Noto Sans" w:hAnsi="Noto Sans" w:eastAsia="Noto Sans"/>
                <w:color w:val="222B35"/>
                <w:sz w:val="15"/>
              </w:rPr>
              <w:t xml:space="preserve">Partial</w:t>
            </w:r>
          </w:p>
        </w:tc>
        <w:tc>
          <w:tcPr>
            <w:vAlign w:val="top"/>
            <w:tcMar>
              <w:top w:w="70" w:type="dxa"/>
              <w:start w:w="85" w:type="dxa"/>
              <w:bottom w:w="70" w:type="dxa"/>
              <w:end w:w="85" w:type="dxa"/>
            </w:tcMar>
            <w:tcW w:w="1584" w:type="dxa"/>
            <w:shd w:fill="F3F5F7" w:val="clear"/>
          </w:tcPr>
          <w:p>
            <w:pPr>
              <w:spacing w:after="40" w:line="240" w:lineRule="auto"/>
              <w:jc w:val="left"/>
            </w:pPr>
            <w:r>
              <w:rPr>
                <w:rFonts w:ascii="Noto Sans" w:hAnsi="Noto Sans" w:eastAsia="Noto Sans"/>
                <w:color w:val="222B35"/>
                <w:sz w:val="15"/>
              </w:rPr>
              <w:t xml:space="preserve">Partial</w:t>
            </w:r>
          </w:p>
        </w:tc>
        <w:tc>
          <w:tcPr>
            <w:vAlign w:val="top"/>
            <w:tcMar>
              <w:top w:w="70" w:type="dxa"/>
              <w:start w:w="85" w:type="dxa"/>
              <w:bottom w:w="70" w:type="dxa"/>
              <w:end w:w="85" w:type="dxa"/>
            </w:tcMar>
            <w:tcW w:w="1512" w:type="dxa"/>
            <w:shd w:fill="F3F5F7" w:val="clear"/>
          </w:tcPr>
          <w:p>
            <w:pPr>
              <w:spacing w:after="40" w:line="240" w:lineRule="auto"/>
              <w:jc w:val="left"/>
            </w:pPr>
            <w:r>
              <w:rPr>
                <w:rFonts w:ascii="Noto Sans" w:hAnsi="Noto Sans" w:eastAsia="Noto Sans"/>
                <w:color w:val="222B35"/>
                <w:sz w:val="15"/>
              </w:rPr>
              <w:t xml:space="preserve">Strong target focus</w:t>
            </w:r>
          </w:p>
        </w:tc>
        <w:tc>
          <w:tcPr>
            <w:vAlign w:val="top"/>
            <w:tcMar>
              <w:top w:w="70" w:type="dxa"/>
              <w:start w:w="85" w:type="dxa"/>
              <w:bottom w:w="70" w:type="dxa"/>
              <w:end w:w="85" w:type="dxa"/>
            </w:tcMar>
            <w:tcW w:w="1497" w:type="dxa"/>
            <w:shd w:fill="F3F5F7" w:val="clear"/>
          </w:tcPr>
          <w:p>
            <w:pPr>
              <w:spacing w:after="40" w:line="240" w:lineRule="auto"/>
              <w:jc w:val="left"/>
            </w:pPr>
            <w:r>
              <w:rPr>
                <w:rFonts w:ascii="Noto Sans" w:hAnsi="Noto Sans" w:eastAsia="Noto Sans"/>
                <w:color w:val="222B35"/>
                <w:sz w:val="15"/>
              </w:rPr>
              <w:t xml:space="preserve">Strong</w:t>
            </w:r>
          </w:p>
        </w:tc>
        <w:tc>
          <w:tcPr>
            <w:vAlign w:val="top"/>
            <w:tcMar>
              <w:top w:w="70" w:type="dxa"/>
              <w:start w:w="85" w:type="dxa"/>
              <w:bottom w:w="70" w:type="dxa"/>
              <w:end w:w="85" w:type="dxa"/>
            </w:tcMar>
            <w:tcW w:w="1555" w:type="dxa"/>
            <w:shd w:fill="F3F5F7" w:val="clear"/>
          </w:tcPr>
          <w:p>
            <w:pPr>
              <w:spacing w:after="40" w:line="240" w:lineRule="auto"/>
              <w:jc w:val="left"/>
            </w:pPr>
            <w:r>
              <w:rPr>
                <w:rFonts w:ascii="Noto Sans" w:hAnsi="Noto Sans" w:eastAsia="Noto Sans"/>
                <w:color w:val="222B35"/>
                <w:sz w:val="15"/>
              </w:rPr>
              <w:t xml:space="preserve">Strong for annotation behaviour</w:t>
            </w:r>
          </w:p>
        </w:tc>
      </w:tr>
      <w:tr>
        <w:trPr>
          <w:cantSplit/>
        </w:trPr>
        <w:tc>
          <w:tcPr>
            <w:vAlign w:val="top"/>
            <w:tcMar>
              <w:top w:w="70" w:type="dxa"/>
              <w:start w:w="85" w:type="dxa"/>
              <w:bottom w:w="70" w:type="dxa"/>
              <w:end w:w="85" w:type="dxa"/>
            </w:tcMar>
            <w:tcW w:w="2332" w:type="dxa"/>
          </w:tcPr>
          <w:p>
            <w:pPr>
              <w:spacing w:after="40" w:line="240" w:lineRule="auto"/>
              <w:jc w:val="left"/>
            </w:pPr>
            <w:r>
              <w:rPr>
                <w:rFonts w:ascii="Noto Sans" w:hAnsi="Noto Sans" w:eastAsia="Noto Sans"/>
                <w:color w:val="222B35"/>
                <w:sz w:val="15"/>
              </w:rPr>
              <w:t xml:space="preserve">Standards</w:t>
            </w:r>
          </w:p>
        </w:tc>
        <w:tc>
          <w:tcPr>
            <w:vAlign w:val="top"/>
            <w:tcMar>
              <w:top w:w="70" w:type="dxa"/>
              <w:start w:w="85" w:type="dxa"/>
              <w:bottom w:w="70" w:type="dxa"/>
              <w:end w:w="85" w:type="dxa"/>
            </w:tcMar>
            <w:tcW w:w="1468" w:type="dxa"/>
          </w:tcPr>
          <w:p>
            <w:pPr>
              <w:spacing w:after="40" w:line="240" w:lineRule="auto"/>
              <w:jc w:val="left"/>
            </w:pPr>
            <w:r>
              <w:rPr>
                <w:rFonts w:ascii="Noto Sans" w:hAnsi="Noto Sans" w:eastAsia="Noto Sans"/>
                <w:color w:val="222B35"/>
                <w:sz w:val="15"/>
              </w:rPr>
              <w:t xml:space="preserve">Strong vocabulary</w:t>
            </w:r>
          </w:p>
        </w:tc>
        <w:tc>
          <w:tcPr>
            <w:vAlign w:val="top"/>
            <w:tcMar>
              <w:top w:w="70" w:type="dxa"/>
              <w:start w:w="85" w:type="dxa"/>
              <w:bottom w:w="70" w:type="dxa"/>
              <w:end w:w="85" w:type="dxa"/>
            </w:tcMar>
            <w:tcW w:w="1584" w:type="dxa"/>
          </w:tcPr>
          <w:p>
            <w:pPr>
              <w:spacing w:after="40" w:line="240" w:lineRule="auto"/>
              <w:jc w:val="left"/>
            </w:pPr>
            <w:r>
              <w:rPr>
                <w:rFonts w:ascii="Noto Sans" w:hAnsi="Noto Sans" w:eastAsia="Noto Sans"/>
                <w:color w:val="222B35"/>
                <w:sz w:val="15"/>
              </w:rPr>
              <w:t xml:space="preserve">Strong primitives</w:t>
            </w:r>
          </w:p>
        </w:tc>
        <w:tc>
          <w:tcPr>
            <w:vAlign w:val="top"/>
            <w:tcMar>
              <w:top w:w="70" w:type="dxa"/>
              <w:start w:w="85" w:type="dxa"/>
              <w:bottom w:w="70" w:type="dxa"/>
              <w:end w:w="85" w:type="dxa"/>
            </w:tcMar>
            <w:tcW w:w="1512" w:type="dxa"/>
          </w:tcPr>
          <w:p>
            <w:pPr>
              <w:spacing w:after="40" w:line="240" w:lineRule="auto"/>
              <w:jc w:val="left"/>
            </w:pPr>
            <w:r>
              <w:rPr>
                <w:rFonts w:ascii="Noto Sans" w:hAnsi="Noto Sans" w:eastAsia="Noto Sans"/>
                <w:color w:val="222B35"/>
                <w:sz w:val="15"/>
              </w:rPr>
              <w:t xml:space="preserve">Strong identifiers/selectors</w:t>
            </w:r>
          </w:p>
        </w:tc>
        <w:tc>
          <w:tcPr>
            <w:vAlign w:val="top"/>
            <w:tcMar>
              <w:top w:w="70" w:type="dxa"/>
              <w:start w:w="85" w:type="dxa"/>
              <w:bottom w:w="70" w:type="dxa"/>
              <w:end w:w="85" w:type="dxa"/>
            </w:tcMar>
            <w:tcW w:w="1497" w:type="dxa"/>
          </w:tcPr>
          <w:p>
            <w:pPr>
              <w:spacing w:after="40" w:line="240" w:lineRule="auto"/>
              <w:jc w:val="left"/>
            </w:pPr>
            <w:r>
              <w:rPr>
                <w:rFonts w:ascii="Noto Sans" w:hAnsi="Noto Sans" w:eastAsia="Noto Sans"/>
                <w:color w:val="222B35"/>
                <w:sz w:val="15"/>
              </w:rPr>
              <w:t xml:space="preserve">Strong model</w:t>
            </w:r>
          </w:p>
        </w:tc>
        <w:tc>
          <w:tcPr>
            <w:vAlign w:val="top"/>
            <w:tcMar>
              <w:top w:w="70" w:type="dxa"/>
              <w:start w:w="85" w:type="dxa"/>
              <w:bottom w:w="70" w:type="dxa"/>
              <w:end w:w="85" w:type="dxa"/>
            </w:tcMar>
            <w:tcW w:w="1555" w:type="dxa"/>
          </w:tcPr>
          <w:p>
            <w:pPr>
              <w:spacing w:after="40" w:line="240" w:lineRule="auto"/>
              <w:jc w:val="left"/>
            </w:pPr>
            <w:r>
              <w:rPr>
                <w:rFonts w:ascii="Noto Sans" w:hAnsi="Noto Sans" w:eastAsia="Noto Sans"/>
                <w:color w:val="222B35"/>
                <w:sz w:val="15"/>
              </w:rPr>
              <w:t xml:space="preserve">None by themselves</w:t>
            </w:r>
          </w:p>
        </w:tc>
      </w:tr>
    </w:tbl>
    <w:p>
      <w:pPr>
        <w:pStyle w:val="BodyText"/>
      </w:pPr>
      <w:r>
        <w:t xml:space="preserve">No single strand supplies the complete architecture. The POC’s value is to make the joins explicit and testable.</w:t>
      </w:r>
    </w:p>
    <w:bookmarkEnd w:id="63"/>
    <w:bookmarkStart w:id="68" w:name="X0d15dcef7636275bd94db3d4d00a01de53f70ad"/>
    <w:p>
      <w:pPr>
        <w:pStyle w:val="Heading1"/>
      </w:pPr>
      <w:r>
        <w:t xml:space="preserve">11. Apparent research gap and novelty guardrails</w:t>
      </w:r>
    </w:p>
    <w:bookmarkStart w:id="64" w:name="Xc75a6cad554493971dce8ad25669a572af9236d"/>
    <w:p>
      <w:pPr>
        <w:pStyle w:val="Heading2"/>
      </w:pPr>
      <w:r>
        <w:t xml:space="preserve">11.1 Gap statement</w:t>
      </w:r>
    </w:p>
    <w:p>
      <w:pPr>
        <w:pStyle w:val="FirstParagraph"/>
      </w:pPr>
      <w:r>
        <w:t xml:space="preserve">A precise gap statement is:</w:t>
      </w:r>
    </w:p>
    <w:p>
      <w:pPr>
        <w:pStyle w:val="BlockText"/>
      </w:pPr>
      <w:r>
        <w:t xml:space="preserve">Existing work separately addresses adaptive document layout, scholarly-PDF reconstruction, scientific-paper reflow, e-reader interaction, and annotation repositioning. This review did not identify a system that integrates all five into a provenance-preserving semantic composition architecture and evaluates it across heterogeneous e-ink page geometries during active scholarly reading.</w:t>
      </w:r>
    </w:p>
    <w:p>
      <w:pPr>
        <w:pStyle w:val="FirstParagraph"/>
      </w:pPr>
      <w:r>
        <w:t xml:space="preserve">The proposed integration includes:</w:t>
      </w:r>
    </w:p>
    <w:p>
      <w:pPr>
        <w:pStyle w:val="Compact"/>
        <w:numPr>
          <w:ilvl w:val="0"/>
          <w:numId w:val="1017"/>
        </w:numPr>
      </w:pPr>
      <w:r>
        <w:t xml:space="preserve">a canonical scholarly graph;</w:t>
      </w:r>
    </w:p>
    <w:p>
      <w:pPr>
        <w:pStyle w:val="Compact"/>
        <w:numPr>
          <w:ilvl w:val="0"/>
          <w:numId w:val="1017"/>
        </w:numPr>
      </w:pPr>
      <w:r>
        <w:t xml:space="preserve">stable semantic IDs and source provenance;</w:t>
      </w:r>
    </w:p>
    <w:p>
      <w:pPr>
        <w:pStyle w:val="Compact"/>
        <w:numPr>
          <w:ilvl w:val="0"/>
          <w:numId w:val="1017"/>
        </w:numPr>
      </w:pPr>
      <w:r>
        <w:t xml:space="preserve">responsive composition across width and finite height;</w:t>
      </w:r>
    </w:p>
    <w:p>
      <w:pPr>
        <w:pStyle w:val="Compact"/>
        <w:numPr>
          <w:ilvl w:val="0"/>
          <w:numId w:val="1017"/>
        </w:numPr>
      </w:pPr>
      <w:r>
        <w:t xml:space="preserve">multiple paginated and continuous targets;</w:t>
      </w:r>
    </w:p>
    <w:p>
      <w:pPr>
        <w:pStyle w:val="Compact"/>
        <w:numPr>
          <w:ilvl w:val="0"/>
          <w:numId w:val="1017"/>
        </w:numPr>
      </w:pPr>
      <w:r>
        <w:t xml:space="preserve">hybrid semantic/visual fallbacks for complex objects;</w:t>
      </w:r>
    </w:p>
    <w:p>
      <w:pPr>
        <w:pStyle w:val="Compact"/>
        <w:numPr>
          <w:ilvl w:val="0"/>
          <w:numId w:val="1017"/>
        </w:numPr>
      </w:pPr>
      <w:r>
        <w:t xml:space="preserve">persistent reading and annotation anchors;</w:t>
      </w:r>
    </w:p>
    <w:p>
      <w:pPr>
        <w:pStyle w:val="Compact"/>
        <w:numPr>
          <w:ilvl w:val="0"/>
          <w:numId w:val="1017"/>
        </w:numPr>
      </w:pPr>
      <w:r>
        <w:t xml:space="preserve">inspectable layout decisions and target-specific overrides;</w:t>
      </w:r>
    </w:p>
    <w:p>
      <w:pPr>
        <w:pStyle w:val="Compact"/>
        <w:numPr>
          <w:ilvl w:val="0"/>
          <w:numId w:val="1017"/>
        </w:numPr>
      </w:pPr>
      <w:r>
        <w:t xml:space="preserve">optional progressive or viewport-first composition;</w:t>
      </w:r>
    </w:p>
    <w:p>
      <w:pPr>
        <w:pStyle w:val="Compact"/>
        <w:numPr>
          <w:ilvl w:val="0"/>
          <w:numId w:val="1017"/>
        </w:numPr>
      </w:pPr>
      <w:r>
        <w:t xml:space="preserve">engineering and human-subject evaluation.</w:t>
      </w:r>
    </w:p>
    <w:bookmarkEnd w:id="64"/>
    <w:bookmarkStart w:id="65" w:name="Xcdd0e48fd4bea80c2bc06843b6ff31083dc5ff7"/>
    <w:p>
      <w:pPr>
        <w:pStyle w:val="Heading2"/>
      </w:pPr>
      <w:r>
        <w:t xml:space="preserve">11.2 Claims to avoid</w:t>
      </w:r>
    </w:p>
    <w:p>
      <w:pPr>
        <w:pStyle w:val="FirstParagraph"/>
      </w:pPr>
      <w:r>
        <w:t xml:space="preserve">Do not claim:</w:t>
      </w:r>
    </w:p>
    <w:p>
      <w:pPr>
        <w:pStyle w:val="Compact"/>
        <w:numPr>
          <w:ilvl w:val="0"/>
          <w:numId w:val="1018"/>
        </w:numPr>
      </w:pPr>
      <w:r>
        <w:t xml:space="preserve">the first PDF-to-EPUB converter;</w:t>
      </w:r>
    </w:p>
    <w:p>
      <w:pPr>
        <w:pStyle w:val="Compact"/>
        <w:numPr>
          <w:ilvl w:val="0"/>
          <w:numId w:val="1018"/>
        </w:numPr>
      </w:pPr>
      <w:r>
        <w:t xml:space="preserve">the first scientific-paper reflow system;</w:t>
      </w:r>
    </w:p>
    <w:p>
      <w:pPr>
        <w:pStyle w:val="Compact"/>
        <w:numPr>
          <w:ilvl w:val="0"/>
          <w:numId w:val="1018"/>
        </w:numPr>
      </w:pPr>
      <w:r>
        <w:t xml:space="preserve">the first adaptive or responsive document layout;</w:t>
      </w:r>
    </w:p>
    <w:p>
      <w:pPr>
        <w:pStyle w:val="Compact"/>
        <w:numPr>
          <w:ilvl w:val="0"/>
          <w:numId w:val="1018"/>
        </w:numPr>
      </w:pPr>
      <w:r>
        <w:t xml:space="preserve">the first annotation system that survives layout change;</w:t>
      </w:r>
    </w:p>
    <w:p>
      <w:pPr>
        <w:pStyle w:val="Compact"/>
        <w:numPr>
          <w:ilvl w:val="0"/>
          <w:numId w:val="1018"/>
        </w:numPr>
      </w:pPr>
      <w:r>
        <w:t xml:space="preserve">the first semantic scholarly reader;</w:t>
      </w:r>
    </w:p>
    <w:p>
      <w:pPr>
        <w:pStyle w:val="Compact"/>
        <w:numPr>
          <w:ilvl w:val="0"/>
          <w:numId w:val="1018"/>
        </w:numPr>
      </w:pPr>
      <w:r>
        <w:t xml:space="preserve">perfect reconstruction of arbitrary PDFs;</w:t>
      </w:r>
    </w:p>
    <w:p>
      <w:pPr>
        <w:pStyle w:val="Compact"/>
        <w:numPr>
          <w:ilvl w:val="0"/>
          <w:numId w:val="1018"/>
        </w:numPr>
      </w:pPr>
      <w:r>
        <w:t xml:space="preserve">that screen size alone causes the observed experience.</w:t>
      </w:r>
    </w:p>
    <w:bookmarkEnd w:id="65"/>
    <w:bookmarkStart w:id="66" w:name="X7a7638393ce89f404f482d4188b9e5688968d9f"/>
    <w:p>
      <w:pPr>
        <w:pStyle w:val="Heading2"/>
      </w:pPr>
      <w:r>
        <w:t xml:space="preserve">11.3 Defensible contribution claims</w:t>
      </w:r>
    </w:p>
    <w:p>
      <w:pPr>
        <w:pStyle w:val="FirstParagraph"/>
      </w:pPr>
      <w:r>
        <w:t xml:space="preserve">Potential claims, subject to implementation and formal review, include:</w:t>
      </w:r>
    </w:p>
    <w:p>
      <w:pPr>
        <w:pStyle w:val="Compact"/>
        <w:numPr>
          <w:ilvl w:val="0"/>
          <w:numId w:val="1019"/>
        </w:numPr>
      </w:pPr>
      <w:r>
        <w:t xml:space="preserve">a unified canonical model connecting semantic nodes, source-PDF provenance, generated renditions, and annotations;</w:t>
      </w:r>
    </w:p>
    <w:p>
      <w:pPr>
        <w:pStyle w:val="Compact"/>
        <w:numPr>
          <w:ilvl w:val="0"/>
          <w:numId w:val="1019"/>
        </w:numPr>
      </w:pPr>
      <w:r>
        <w:t xml:space="preserve">a fidelity-constrained responsive pagination policy for scholarly documents;</w:t>
      </w:r>
    </w:p>
    <w:p>
      <w:pPr>
        <w:pStyle w:val="Compact"/>
        <w:numPr>
          <w:ilvl w:val="0"/>
          <w:numId w:val="1019"/>
        </w:numPr>
      </w:pPr>
      <w:r>
        <w:t xml:space="preserve">a systematic comparison of original PDF, geometric reflow, and semantic recomposition across contrasting e-ink geometries;</w:t>
      </w:r>
    </w:p>
    <w:p>
      <w:pPr>
        <w:pStyle w:val="Compact"/>
        <w:numPr>
          <w:ilvl w:val="0"/>
          <w:numId w:val="1019"/>
        </w:numPr>
      </w:pPr>
      <w:r>
        <w:t xml:space="preserve">an annotation persistence model evaluated under device and typography changes;</w:t>
      </w:r>
    </w:p>
    <w:p>
      <w:pPr>
        <w:pStyle w:val="Compact"/>
        <w:numPr>
          <w:ilvl w:val="0"/>
          <w:numId w:val="1019"/>
        </w:numPr>
      </w:pPr>
      <w:r>
        <w:t xml:space="preserve">a progressive-composition strategy evaluated by time to first stable reading region and anchor stability;</w:t>
      </w:r>
    </w:p>
    <w:p>
      <w:pPr>
        <w:pStyle w:val="Compact"/>
        <w:numPr>
          <w:ilvl w:val="0"/>
          <w:numId w:val="1019"/>
        </w:numPr>
      </w:pPr>
      <w:r>
        <w:t xml:space="preserve">evidence about which scientific objects should be semantically reflowed versus preserved as visual fallbacks.</w:t>
      </w:r>
    </w:p>
    <w:bookmarkEnd w:id="66"/>
    <w:bookmarkStart w:id="67" w:name="X0688417873d018a52b55dc209398ef85f8480fa"/>
    <w:p>
      <w:pPr>
        <w:pStyle w:val="Heading2"/>
      </w:pPr>
      <w:r>
        <w:t xml:space="preserve">11.4 Product thesis versus paper contribution</w:t>
      </w:r>
    </w:p>
    <w:p>
      <w:pPr>
        <w:pStyle w:val="FirstParagraph"/>
      </w:pPr>
      <w:r>
        <w:t xml:space="preserve">The long-term product thesis is broad:</w:t>
      </w:r>
    </w:p>
    <w:p>
      <w:pPr>
        <w:pStyle w:val="BlockText"/>
      </w:pPr>
      <w:r>
        <w:t xml:space="preserve">structured content and visual components should remain semantically connected while geometry is compiled for each target.</w:t>
      </w:r>
    </w:p>
    <w:p>
      <w:pPr>
        <w:pStyle w:val="FirstParagraph"/>
      </w:pPr>
      <w:r>
        <w:t xml:space="preserve">A research paper needs a narrower falsifiable contribution. Scholarly e-ink reading is a good benchmark because it combines long-form prose, finite pages, cross-references, figures, equations, tables, and annotations.</w:t>
      </w:r>
    </w:p>
    <w:bookmarkEnd w:id="67"/>
    <w:bookmarkEnd w:id="68"/>
    <w:bookmarkStart w:id="69" w:name="X30701cde2559c7d936d90c264c162db32b370db"/>
    <w:p>
      <w:pPr>
        <w:pStyle w:val="Heading1"/>
      </w:pPr>
      <w:r>
        <w:t xml:space="preserve">12. Literature-derived product requirements</w:t>
      </w:r>
    </w:p>
    <w:p>
      <w:pPr>
        <w:pStyle w:val="FirstParagraph"/>
      </w:pPr>
      <w:r>
        <w:t xml:space="preserve">These requirements should be added to or checked against the PRD.</w:t>
      </w:r>
    </w:p>
    <w:tbl>
      <w:tblPr>
        <w:tblStyle w:val="TableGrid"/>
        <w:tblW w:type="auto" w:w="0"/>
        <w:jc w:val="center"/>
        <w:tblLayout w:type="fixed"/>
        <w:tblLook w:firstRow="1" w:lastRow="0" w:firstColumn="0" w:lastColumn="0" w:noHBand="0" w:noVBand="0" w:val="0020"/>
        <w:tblBorders>
          <w:top w:val="single" w:sz="4" w:color="D8DEE5"/>
          <w:left w:val="single" w:sz="4" w:color="D8DEE5"/>
          <w:bottom w:val="single" w:sz="4" w:color="D8DEE5"/>
          <w:right w:val="single" w:sz="4" w:color="D8DEE5"/>
          <w:insideH w:val="single" w:sz="4" w:color="D8DEE5"/>
          <w:insideV w:val="single" w:sz="4" w:color="D8DEE5"/>
        </w:tblBorders>
        <w:tblCaption w:val="Literature review table 3"/>
        <w:tblDescription w:val="Structured evidence summary for Semantic Responsive Typesetting."/>
      </w:tblPr>
      <w:tblGrid>
        <w:gridCol w:w="2640"/>
        <w:gridCol w:w="2640"/>
        <w:gridCol w:w="2640"/>
      </w:tblGrid>
      <w:tr>
        <w:trPr>
          <w:tblHeader w:val="on"/>
          <w:cantSplit/>
          <w:tblHeader w:val="true"/>
        </w:trPr>
        <w:tc>
          <w:tcPr>
            <w:vAlign w:val="top"/>
            <w:tcMar>
              <w:top w:w="70" w:type="dxa"/>
              <w:start w:w="85" w:type="dxa"/>
              <w:bottom w:w="70" w:type="dxa"/>
              <w:end w:w="85" w:type="dxa"/>
            </w:tcMar>
            <w:tcW w:w="835" w:type="dxa"/>
            <w:shd w:fill="1F2A44" w:val="clear"/>
          </w:tcPr>
          <w:p>
            <w:pPr>
              <w:spacing w:after="40" w:line="240" w:lineRule="auto"/>
              <w:jc w:val="left"/>
            </w:pPr>
            <w:r>
              <w:rPr>
                <w:rFonts w:ascii="Noto Sans" w:hAnsi="Noto Sans" w:eastAsia="Noto Sans"/>
                <w:b/>
                <w:color w:val="FFFFFF"/>
                <w:sz w:val="16"/>
              </w:rPr>
              <w:t xml:space="preserve">ID</w:t>
            </w:r>
          </w:p>
        </w:tc>
        <w:tc>
          <w:tcPr>
            <w:vAlign w:val="top"/>
            <w:tcMar>
              <w:top w:w="70" w:type="dxa"/>
              <w:start w:w="85" w:type="dxa"/>
              <w:bottom w:w="70" w:type="dxa"/>
              <w:end w:w="85" w:type="dxa"/>
            </w:tcMar>
            <w:tcW w:w="3542" w:type="dxa"/>
            <w:shd w:fill="1F2A44" w:val="clear"/>
          </w:tcPr>
          <w:p>
            <w:pPr>
              <w:spacing w:after="40" w:line="240" w:lineRule="auto"/>
              <w:jc w:val="left"/>
            </w:pPr>
            <w:r>
              <w:rPr>
                <w:rFonts w:ascii="Noto Sans" w:hAnsi="Noto Sans" w:eastAsia="Noto Sans"/>
                <w:b/>
                <w:color w:val="FFFFFF"/>
                <w:sz w:val="16"/>
              </w:rPr>
              <w:t xml:space="preserve">Requirement</w:t>
            </w:r>
          </w:p>
        </w:tc>
        <w:tc>
          <w:tcPr>
            <w:vAlign w:val="top"/>
            <w:tcMar>
              <w:top w:w="70" w:type="dxa"/>
              <w:start w:w="85" w:type="dxa"/>
              <w:bottom w:w="70" w:type="dxa"/>
              <w:end w:w="85" w:type="dxa"/>
            </w:tcMar>
            <w:tcW w:w="4852" w:type="dxa"/>
            <w:shd w:fill="1F2A44" w:val="clear"/>
          </w:tcPr>
          <w:p>
            <w:pPr>
              <w:spacing w:after="40" w:line="240" w:lineRule="auto"/>
              <w:jc w:val="left"/>
            </w:pPr>
            <w:r>
              <w:rPr>
                <w:rFonts w:ascii="Noto Sans" w:hAnsi="Noto Sans" w:eastAsia="Noto Sans"/>
                <w:b/>
                <w:color w:val="FFFFFF"/>
                <w:sz w:val="16"/>
              </w:rPr>
              <w:t xml:space="preserve">Literature rationale</w:t>
            </w:r>
          </w:p>
        </w:tc>
      </w:tr>
      <w:tr>
        <w:trPr>
          <w:cantSplit/>
        </w:trPr>
        <w:tc>
          <w:tcPr>
            <w:vAlign w:val="top"/>
            <w:tcMar>
              <w:top w:w="70" w:type="dxa"/>
              <w:start w:w="85" w:type="dxa"/>
              <w:bottom w:w="70" w:type="dxa"/>
              <w:end w:w="85" w:type="dxa"/>
            </w:tcMar>
            <w:tcW w:w="835" w:type="dxa"/>
          </w:tcPr>
          <w:p>
            <w:pPr>
              <w:spacing w:after="40" w:line="240" w:lineRule="auto"/>
              <w:jc w:val="left"/>
            </w:pPr>
            <w:r>
              <w:rPr>
                <w:rFonts w:ascii="Noto Sans" w:hAnsi="Noto Sans" w:eastAsia="Noto Sans"/>
                <w:color w:val="222B35"/>
                <w:sz w:val="16"/>
              </w:rPr>
              <w:t xml:space="preserve">LR-01</w:t>
            </w:r>
          </w:p>
        </w:tc>
        <w:tc>
          <w:tcPr>
            <w:vAlign w:val="top"/>
            <w:tcMar>
              <w:top w:w="70" w:type="dxa"/>
              <w:start w:w="85" w:type="dxa"/>
              <w:bottom w:w="70" w:type="dxa"/>
              <w:end w:w="85" w:type="dxa"/>
            </w:tcMar>
            <w:tcW w:w="3542" w:type="dxa"/>
          </w:tcPr>
          <w:p>
            <w:pPr>
              <w:spacing w:after="40" w:line="240" w:lineRule="auto"/>
              <w:jc w:val="left"/>
            </w:pPr>
            <w:r>
              <w:rPr>
                <w:rFonts w:ascii="Noto Sans" w:hAnsi="Noto Sans" w:eastAsia="Noto Sans"/>
                <w:color w:val="222B35"/>
                <w:sz w:val="16"/>
              </w:rPr>
              <w:t xml:space="preserve">Canonical content must not be page coordinates.</w:t>
            </w:r>
          </w:p>
        </w:tc>
        <w:tc>
          <w:tcPr>
            <w:vAlign w:val="top"/>
            <w:tcMar>
              <w:top w:w="70" w:type="dxa"/>
              <w:start w:w="85" w:type="dxa"/>
              <w:bottom w:w="70" w:type="dxa"/>
              <w:end w:w="85" w:type="dxa"/>
            </w:tcMar>
            <w:tcW w:w="4852" w:type="dxa"/>
          </w:tcPr>
          <w:p>
            <w:pPr>
              <w:spacing w:after="40" w:line="240" w:lineRule="auto"/>
              <w:jc w:val="left"/>
            </w:pPr>
            <w:r>
              <w:rPr>
                <w:rFonts w:ascii="Noto Sans" w:hAnsi="Noto Sans" w:eastAsia="Noto Sans"/>
                <w:color w:val="222B35"/>
                <w:sz w:val="16"/>
              </w:rPr>
              <w:t xml:space="preserve">Adaptive-layout and PDF-reconstruction work both expose the cost of early flattening.</w:t>
            </w:r>
          </w:p>
        </w:tc>
      </w:tr>
      <w:tr>
        <w:trPr>
          <w:cantSplit/>
        </w:trPr>
        <w:tc>
          <w:tcPr>
            <w:vAlign w:val="top"/>
            <w:tcMar>
              <w:top w:w="70" w:type="dxa"/>
              <w:start w:w="85" w:type="dxa"/>
              <w:bottom w:w="70" w:type="dxa"/>
              <w:end w:w="85" w:type="dxa"/>
            </w:tcMar>
            <w:tcW w:w="835" w:type="dxa"/>
            <w:shd w:fill="F3F5F7" w:val="clear"/>
          </w:tcPr>
          <w:p>
            <w:pPr>
              <w:spacing w:after="40" w:line="240" w:lineRule="auto"/>
              <w:jc w:val="left"/>
            </w:pPr>
            <w:r>
              <w:rPr>
                <w:rFonts w:ascii="Noto Sans" w:hAnsi="Noto Sans" w:eastAsia="Noto Sans"/>
                <w:color w:val="222B35"/>
                <w:sz w:val="16"/>
              </w:rPr>
              <w:t xml:space="preserve">LR-02</w:t>
            </w:r>
          </w:p>
        </w:tc>
        <w:tc>
          <w:tcPr>
            <w:vAlign w:val="top"/>
            <w:tcMar>
              <w:top w:w="70" w:type="dxa"/>
              <w:start w:w="85" w:type="dxa"/>
              <w:bottom w:w="70" w:type="dxa"/>
              <w:end w:w="85" w:type="dxa"/>
            </w:tcMar>
            <w:tcW w:w="3542" w:type="dxa"/>
            <w:shd w:fill="F3F5F7" w:val="clear"/>
          </w:tcPr>
          <w:p>
            <w:pPr>
              <w:spacing w:after="40" w:line="240" w:lineRule="auto"/>
              <w:jc w:val="left"/>
            </w:pPr>
            <w:r>
              <w:rPr>
                <w:rFonts w:ascii="Noto Sans" w:hAnsi="Noto Sans" w:eastAsia="Noto Sans"/>
                <w:color w:val="222B35"/>
                <w:sz w:val="16"/>
              </w:rPr>
              <w:t xml:space="preserve">Every rendered object must retain a stable semantic ID.</w:t>
            </w:r>
          </w:p>
        </w:tc>
        <w:tc>
          <w:tcPr>
            <w:vAlign w:val="top"/>
            <w:tcMar>
              <w:top w:w="70" w:type="dxa"/>
              <w:start w:w="85" w:type="dxa"/>
              <w:bottom w:w="70" w:type="dxa"/>
              <w:end w:w="85" w:type="dxa"/>
            </w:tcMar>
            <w:tcW w:w="4852" w:type="dxa"/>
            <w:shd w:fill="F3F5F7" w:val="clear"/>
          </w:tcPr>
          <w:p>
            <w:pPr>
              <w:spacing w:after="40" w:line="240" w:lineRule="auto"/>
              <w:jc w:val="left"/>
            </w:pPr>
            <w:r>
              <w:rPr>
                <w:rFonts w:ascii="Noto Sans" w:hAnsi="Noto Sans" w:eastAsia="Noto Sans"/>
                <w:color w:val="222B35"/>
                <w:sz w:val="16"/>
              </w:rPr>
              <w:t xml:space="preserve">Required for provenance, overrides, reading anchors, and annotations.</w:t>
            </w:r>
          </w:p>
        </w:tc>
      </w:tr>
      <w:tr>
        <w:trPr>
          <w:cantSplit/>
        </w:trPr>
        <w:tc>
          <w:tcPr>
            <w:vAlign w:val="top"/>
            <w:tcMar>
              <w:top w:w="70" w:type="dxa"/>
              <w:start w:w="85" w:type="dxa"/>
              <w:bottom w:w="70" w:type="dxa"/>
              <w:end w:w="85" w:type="dxa"/>
            </w:tcMar>
            <w:tcW w:w="835" w:type="dxa"/>
          </w:tcPr>
          <w:p>
            <w:pPr>
              <w:spacing w:after="40" w:line="240" w:lineRule="auto"/>
              <w:jc w:val="left"/>
            </w:pPr>
            <w:r>
              <w:rPr>
                <w:rFonts w:ascii="Noto Sans" w:hAnsi="Noto Sans" w:eastAsia="Noto Sans"/>
                <w:color w:val="222B35"/>
                <w:sz w:val="16"/>
              </w:rPr>
              <w:t xml:space="preserve">LR-03</w:t>
            </w:r>
          </w:p>
        </w:tc>
        <w:tc>
          <w:tcPr>
            <w:vAlign w:val="top"/>
            <w:tcMar>
              <w:top w:w="70" w:type="dxa"/>
              <w:start w:w="85" w:type="dxa"/>
              <w:bottom w:w="70" w:type="dxa"/>
              <w:end w:w="85" w:type="dxa"/>
            </w:tcMar>
            <w:tcW w:w="3542" w:type="dxa"/>
          </w:tcPr>
          <w:p>
            <w:pPr>
              <w:spacing w:after="40" w:line="240" w:lineRule="auto"/>
              <w:jc w:val="left"/>
            </w:pPr>
            <w:r>
              <w:rPr>
                <w:rFonts w:ascii="Noto Sans" w:hAnsi="Noto Sans" w:eastAsia="Noto Sans"/>
                <w:color w:val="222B35"/>
                <w:sz w:val="16"/>
              </w:rPr>
              <w:t xml:space="preserve">The model must represent relationships, not only block classes.</w:t>
            </w:r>
          </w:p>
        </w:tc>
        <w:tc>
          <w:tcPr>
            <w:vAlign w:val="top"/>
            <w:tcMar>
              <w:top w:w="70" w:type="dxa"/>
              <w:start w:w="85" w:type="dxa"/>
              <w:bottom w:w="70" w:type="dxa"/>
              <w:end w:w="85" w:type="dxa"/>
            </w:tcMar>
            <w:tcW w:w="4852" w:type="dxa"/>
          </w:tcPr>
          <w:p>
            <w:pPr>
              <w:spacing w:after="40" w:line="240" w:lineRule="auto"/>
              <w:jc w:val="left"/>
            </w:pPr>
            <w:r>
              <w:rPr>
                <w:rFonts w:ascii="Noto Sans" w:hAnsi="Noto Sans" w:eastAsia="Noto Sans"/>
                <w:color w:val="222B35"/>
                <w:sz w:val="16"/>
              </w:rPr>
              <w:t xml:space="preserve">Figure/caption/reference coherence cannot be recovered from object detection alone.</w:t>
            </w:r>
          </w:p>
        </w:tc>
      </w:tr>
      <w:tr>
        <w:trPr>
          <w:cantSplit/>
        </w:trPr>
        <w:tc>
          <w:tcPr>
            <w:vAlign w:val="top"/>
            <w:tcMar>
              <w:top w:w="70" w:type="dxa"/>
              <w:start w:w="85" w:type="dxa"/>
              <w:bottom w:w="70" w:type="dxa"/>
              <w:end w:w="85" w:type="dxa"/>
            </w:tcMar>
            <w:tcW w:w="835" w:type="dxa"/>
            <w:shd w:fill="F3F5F7" w:val="clear"/>
          </w:tcPr>
          <w:p>
            <w:pPr>
              <w:spacing w:after="40" w:line="240" w:lineRule="auto"/>
              <w:jc w:val="left"/>
            </w:pPr>
            <w:r>
              <w:rPr>
                <w:rFonts w:ascii="Noto Sans" w:hAnsi="Noto Sans" w:eastAsia="Noto Sans"/>
                <w:color w:val="222B35"/>
                <w:sz w:val="16"/>
              </w:rPr>
              <w:t xml:space="preserve">LR-04</w:t>
            </w:r>
          </w:p>
        </w:tc>
        <w:tc>
          <w:tcPr>
            <w:vAlign w:val="top"/>
            <w:tcMar>
              <w:top w:w="70" w:type="dxa"/>
              <w:start w:w="85" w:type="dxa"/>
              <w:bottom w:w="70" w:type="dxa"/>
              <w:end w:w="85" w:type="dxa"/>
            </w:tcMar>
            <w:tcW w:w="3542" w:type="dxa"/>
            <w:shd w:fill="F3F5F7" w:val="clear"/>
          </w:tcPr>
          <w:p>
            <w:pPr>
              <w:spacing w:after="40" w:line="240" w:lineRule="auto"/>
              <w:jc w:val="left"/>
            </w:pPr>
            <w:r>
              <w:rPr>
                <w:rFonts w:ascii="Noto Sans" w:hAnsi="Noto Sans" w:eastAsia="Noto Sans"/>
                <w:color w:val="222B35"/>
                <w:sz w:val="16"/>
              </w:rPr>
              <w:t xml:space="preserve">The first POC must use a trusted structured fixture.</w:t>
            </w:r>
          </w:p>
        </w:tc>
        <w:tc>
          <w:tcPr>
            <w:vAlign w:val="top"/>
            <w:tcMar>
              <w:top w:w="70" w:type="dxa"/>
              <w:start w:w="85" w:type="dxa"/>
              <w:bottom w:w="70" w:type="dxa"/>
              <w:end w:w="85" w:type="dxa"/>
            </w:tcMar>
            <w:tcW w:w="4852" w:type="dxa"/>
            <w:shd w:fill="F3F5F7" w:val="clear"/>
          </w:tcPr>
          <w:p>
            <w:pPr>
              <w:spacing w:after="40" w:line="240" w:lineRule="auto"/>
              <w:jc w:val="left"/>
            </w:pPr>
            <w:r>
              <w:rPr>
                <w:rFonts w:ascii="Noto Sans" w:hAnsi="Noto Sans" w:eastAsia="Noto Sans"/>
                <w:color w:val="222B35"/>
                <w:sz w:val="16"/>
              </w:rPr>
              <w:t xml:space="preserve">Modern parsers are useful but imperfect; extraction errors would confound composition evaluation.</w:t>
            </w:r>
          </w:p>
        </w:tc>
      </w:tr>
      <w:tr>
        <w:trPr>
          <w:cantSplit/>
        </w:trPr>
        <w:tc>
          <w:tcPr>
            <w:vAlign w:val="top"/>
            <w:tcMar>
              <w:top w:w="70" w:type="dxa"/>
              <w:start w:w="85" w:type="dxa"/>
              <w:bottom w:w="70" w:type="dxa"/>
              <w:end w:w="85" w:type="dxa"/>
            </w:tcMar>
            <w:tcW w:w="835" w:type="dxa"/>
          </w:tcPr>
          <w:p>
            <w:pPr>
              <w:spacing w:after="40" w:line="240" w:lineRule="auto"/>
              <w:jc w:val="left"/>
            </w:pPr>
            <w:r>
              <w:rPr>
                <w:rFonts w:ascii="Noto Sans" w:hAnsi="Noto Sans" w:eastAsia="Noto Sans"/>
                <w:color w:val="222B35"/>
                <w:sz w:val="16"/>
              </w:rPr>
              <w:t xml:space="preserve">LR-05</w:t>
            </w:r>
          </w:p>
        </w:tc>
        <w:tc>
          <w:tcPr>
            <w:vAlign w:val="top"/>
            <w:tcMar>
              <w:top w:w="70" w:type="dxa"/>
              <w:start w:w="85" w:type="dxa"/>
              <w:bottom w:w="70" w:type="dxa"/>
              <w:end w:w="85" w:type="dxa"/>
            </w:tcMar>
            <w:tcW w:w="3542" w:type="dxa"/>
          </w:tcPr>
          <w:p>
            <w:pPr>
              <w:spacing w:after="40" w:line="240" w:lineRule="auto"/>
              <w:jc w:val="left"/>
            </w:pPr>
            <w:r>
              <w:rPr>
                <w:rFonts w:ascii="Noto Sans" w:hAnsi="Noto Sans" w:eastAsia="Noto Sans"/>
                <w:color w:val="222B35"/>
                <w:sz w:val="16"/>
              </w:rPr>
              <w:t xml:space="preserve">PDF ingestion must emit confidence and provenance.</w:t>
            </w:r>
          </w:p>
        </w:tc>
        <w:tc>
          <w:tcPr>
            <w:vAlign w:val="top"/>
            <w:tcMar>
              <w:top w:w="70" w:type="dxa"/>
              <w:start w:w="85" w:type="dxa"/>
              <w:bottom w:w="70" w:type="dxa"/>
              <w:end w:w="85" w:type="dxa"/>
            </w:tcMar>
            <w:tcW w:w="4852" w:type="dxa"/>
          </w:tcPr>
          <w:p>
            <w:pPr>
              <w:spacing w:after="40" w:line="240" w:lineRule="auto"/>
              <w:jc w:val="left"/>
            </w:pPr>
            <w:r>
              <w:rPr>
                <w:rFonts w:ascii="Noto Sans" w:hAnsi="Noto Sans" w:eastAsia="Noto Sans"/>
                <w:color w:val="222B35"/>
                <w:sz w:val="16"/>
              </w:rPr>
              <w:t xml:space="preserve">Reconstruction errors cascade into layout and annotation failures.</w:t>
            </w:r>
          </w:p>
        </w:tc>
      </w:tr>
      <w:tr>
        <w:trPr>
          <w:cantSplit/>
        </w:trPr>
        <w:tc>
          <w:tcPr>
            <w:vAlign w:val="top"/>
            <w:tcMar>
              <w:top w:w="70" w:type="dxa"/>
              <w:start w:w="85" w:type="dxa"/>
              <w:bottom w:w="70" w:type="dxa"/>
              <w:end w:w="85" w:type="dxa"/>
            </w:tcMar>
            <w:tcW w:w="835" w:type="dxa"/>
            <w:shd w:fill="F3F5F7" w:val="clear"/>
          </w:tcPr>
          <w:p>
            <w:pPr>
              <w:spacing w:after="40" w:line="240" w:lineRule="auto"/>
              <w:jc w:val="left"/>
            </w:pPr>
            <w:r>
              <w:rPr>
                <w:rFonts w:ascii="Noto Sans" w:hAnsi="Noto Sans" w:eastAsia="Noto Sans"/>
                <w:color w:val="222B35"/>
                <w:sz w:val="16"/>
              </w:rPr>
              <w:t xml:space="preserve">LR-06</w:t>
            </w:r>
          </w:p>
        </w:tc>
        <w:tc>
          <w:tcPr>
            <w:vAlign w:val="top"/>
            <w:tcMar>
              <w:top w:w="70" w:type="dxa"/>
              <w:start w:w="85" w:type="dxa"/>
              <w:bottom w:w="70" w:type="dxa"/>
              <w:end w:w="85" w:type="dxa"/>
            </w:tcMar>
            <w:tcW w:w="3542" w:type="dxa"/>
            <w:shd w:fill="F3F5F7" w:val="clear"/>
          </w:tcPr>
          <w:p>
            <w:pPr>
              <w:spacing w:after="40" w:line="240" w:lineRule="auto"/>
              <w:jc w:val="left"/>
            </w:pPr>
            <w:r>
              <w:rPr>
                <w:rFonts w:ascii="Noto Sans" w:hAnsi="Noto Sans" w:eastAsia="Noto Sans"/>
                <w:color w:val="222B35"/>
                <w:sz w:val="16"/>
              </w:rPr>
              <w:t xml:space="preserve">Width and finite height must be separate constraints.</w:t>
            </w:r>
          </w:p>
        </w:tc>
        <w:tc>
          <w:tcPr>
            <w:vAlign w:val="top"/>
            <w:tcMar>
              <w:top w:w="70" w:type="dxa"/>
              <w:start w:w="85" w:type="dxa"/>
              <w:bottom w:w="70" w:type="dxa"/>
              <w:end w:w="85" w:type="dxa"/>
            </w:tcMar>
            <w:tcW w:w="4852" w:type="dxa"/>
            <w:shd w:fill="F3F5F7" w:val="clear"/>
          </w:tcPr>
          <w:p>
            <w:pPr>
              <w:spacing w:after="40" w:line="240" w:lineRule="auto"/>
              <w:jc w:val="left"/>
            </w:pPr>
            <w:r>
              <w:rPr>
                <w:rFonts w:ascii="Noto Sans" w:hAnsi="Noto Sans" w:eastAsia="Noto Sans"/>
                <w:color w:val="222B35"/>
                <w:sz w:val="16"/>
              </w:rPr>
              <w:t xml:space="preserve">Continuous responsive web layout does not solve fragmentation and pagination.</w:t>
            </w:r>
          </w:p>
        </w:tc>
      </w:tr>
      <w:tr>
        <w:trPr>
          <w:cantSplit/>
        </w:trPr>
        <w:tc>
          <w:tcPr>
            <w:vAlign w:val="top"/>
            <w:tcMar>
              <w:top w:w="70" w:type="dxa"/>
              <w:start w:w="85" w:type="dxa"/>
              <w:bottom w:w="70" w:type="dxa"/>
              <w:end w:w="85" w:type="dxa"/>
            </w:tcMar>
            <w:tcW w:w="835" w:type="dxa"/>
          </w:tcPr>
          <w:p>
            <w:pPr>
              <w:spacing w:after="40" w:line="240" w:lineRule="auto"/>
              <w:jc w:val="left"/>
            </w:pPr>
            <w:r>
              <w:rPr>
                <w:rFonts w:ascii="Noto Sans" w:hAnsi="Noto Sans" w:eastAsia="Noto Sans"/>
                <w:color w:val="222B35"/>
                <w:sz w:val="16"/>
              </w:rPr>
              <w:t xml:space="preserve">LR-07</w:t>
            </w:r>
          </w:p>
        </w:tc>
        <w:tc>
          <w:tcPr>
            <w:vAlign w:val="top"/>
            <w:tcMar>
              <w:top w:w="70" w:type="dxa"/>
              <w:start w:w="85" w:type="dxa"/>
              <w:bottom w:w="70" w:type="dxa"/>
              <w:end w:w="85" w:type="dxa"/>
            </w:tcMar>
            <w:tcW w:w="3542" w:type="dxa"/>
          </w:tcPr>
          <w:p>
            <w:pPr>
              <w:spacing w:after="40" w:line="240" w:lineRule="auto"/>
              <w:jc w:val="left"/>
            </w:pPr>
            <w:r>
              <w:rPr>
                <w:rFonts w:ascii="Noto Sans" w:hAnsi="Noto Sans" w:eastAsia="Noto Sans"/>
                <w:color w:val="222B35"/>
                <w:sz w:val="16"/>
              </w:rPr>
              <w:t xml:space="preserve">The renderer must support hybrid fallbacks.</w:t>
            </w:r>
          </w:p>
        </w:tc>
        <w:tc>
          <w:tcPr>
            <w:vAlign w:val="top"/>
            <w:tcMar>
              <w:top w:w="70" w:type="dxa"/>
              <w:start w:w="85" w:type="dxa"/>
              <w:bottom w:w="70" w:type="dxa"/>
              <w:end w:w="85" w:type="dxa"/>
            </w:tcMar>
            <w:tcW w:w="4852" w:type="dxa"/>
          </w:tcPr>
          <w:p>
            <w:pPr>
              <w:spacing w:after="40" w:line="240" w:lineRule="auto"/>
              <w:jc w:val="left"/>
            </w:pPr>
            <w:r>
              <w:rPr>
                <w:rFonts w:ascii="Noto Sans" w:hAnsi="Noto Sans" w:eastAsia="Noto Sans"/>
                <w:color w:val="222B35"/>
                <w:sz w:val="16"/>
              </w:rPr>
              <w:t xml:space="preserve">Tables, equations, and multi-panel figures are not all safely reflowable.</w:t>
            </w:r>
          </w:p>
        </w:tc>
      </w:tr>
      <w:tr>
        <w:trPr>
          <w:cantSplit/>
        </w:trPr>
        <w:tc>
          <w:tcPr>
            <w:vAlign w:val="top"/>
            <w:tcMar>
              <w:top w:w="70" w:type="dxa"/>
              <w:start w:w="85" w:type="dxa"/>
              <w:bottom w:w="70" w:type="dxa"/>
              <w:end w:w="85" w:type="dxa"/>
            </w:tcMar>
            <w:tcW w:w="835" w:type="dxa"/>
            <w:shd w:fill="F3F5F7" w:val="clear"/>
          </w:tcPr>
          <w:p>
            <w:pPr>
              <w:spacing w:after="40" w:line="240" w:lineRule="auto"/>
              <w:jc w:val="left"/>
            </w:pPr>
            <w:r>
              <w:rPr>
                <w:rFonts w:ascii="Noto Sans" w:hAnsi="Noto Sans" w:eastAsia="Noto Sans"/>
                <w:color w:val="222B35"/>
                <w:sz w:val="16"/>
              </w:rPr>
              <w:t xml:space="preserve">LR-08</w:t>
            </w:r>
          </w:p>
        </w:tc>
        <w:tc>
          <w:tcPr>
            <w:vAlign w:val="top"/>
            <w:tcMar>
              <w:top w:w="70" w:type="dxa"/>
              <w:start w:w="85" w:type="dxa"/>
              <w:bottom w:w="70" w:type="dxa"/>
              <w:end w:w="85" w:type="dxa"/>
            </w:tcMar>
            <w:tcW w:w="3542" w:type="dxa"/>
            <w:shd w:fill="F3F5F7" w:val="clear"/>
          </w:tcPr>
          <w:p>
            <w:pPr>
              <w:spacing w:after="40" w:line="240" w:lineRule="auto"/>
              <w:jc w:val="left"/>
            </w:pPr>
            <w:r>
              <w:rPr>
                <w:rFonts w:ascii="Noto Sans" w:hAnsi="Noto Sans" w:eastAsia="Noto Sans"/>
                <w:color w:val="222B35"/>
                <w:sz w:val="16"/>
              </w:rPr>
              <w:t xml:space="preserve">Scholarly mode must prohibit silent summarization or content deletion.</w:t>
            </w:r>
          </w:p>
        </w:tc>
        <w:tc>
          <w:tcPr>
            <w:vAlign w:val="top"/>
            <w:tcMar>
              <w:top w:w="70" w:type="dxa"/>
              <w:start w:w="85" w:type="dxa"/>
              <w:bottom w:w="70" w:type="dxa"/>
              <w:end w:w="85" w:type="dxa"/>
            </w:tcMar>
            <w:tcW w:w="4852" w:type="dxa"/>
            <w:shd w:fill="F3F5F7" w:val="clear"/>
          </w:tcPr>
          <w:p>
            <w:pPr>
              <w:spacing w:after="40" w:line="240" w:lineRule="auto"/>
              <w:jc w:val="left"/>
            </w:pPr>
            <w:r>
              <w:rPr>
                <w:rFonts w:ascii="Noto Sans" w:hAnsi="Noto Sans" w:eastAsia="Noto Sans"/>
                <w:color w:val="222B35"/>
                <w:sz w:val="16"/>
              </w:rPr>
              <w:t xml:space="preserve">Optimization systems that alter content are not automatically appropriate for fidelity-critical reading.</w:t>
            </w:r>
          </w:p>
        </w:tc>
      </w:tr>
      <w:tr>
        <w:trPr>
          <w:cantSplit/>
        </w:trPr>
        <w:tc>
          <w:tcPr>
            <w:vAlign w:val="top"/>
            <w:tcMar>
              <w:top w:w="70" w:type="dxa"/>
              <w:start w:w="85" w:type="dxa"/>
              <w:bottom w:w="70" w:type="dxa"/>
              <w:end w:w="85" w:type="dxa"/>
            </w:tcMar>
            <w:tcW w:w="835" w:type="dxa"/>
          </w:tcPr>
          <w:p>
            <w:pPr>
              <w:spacing w:after="40" w:line="240" w:lineRule="auto"/>
              <w:jc w:val="left"/>
            </w:pPr>
            <w:r>
              <w:rPr>
                <w:rFonts w:ascii="Noto Sans" w:hAnsi="Noto Sans" w:eastAsia="Noto Sans"/>
                <w:color w:val="222B35"/>
                <w:sz w:val="16"/>
              </w:rPr>
              <w:t xml:space="preserve">LR-09</w:t>
            </w:r>
          </w:p>
        </w:tc>
        <w:tc>
          <w:tcPr>
            <w:vAlign w:val="top"/>
            <w:tcMar>
              <w:top w:w="70" w:type="dxa"/>
              <w:start w:w="85" w:type="dxa"/>
              <w:bottom w:w="70" w:type="dxa"/>
              <w:end w:w="85" w:type="dxa"/>
            </w:tcMar>
            <w:tcW w:w="3542" w:type="dxa"/>
          </w:tcPr>
          <w:p>
            <w:pPr>
              <w:spacing w:after="40" w:line="240" w:lineRule="auto"/>
              <w:jc w:val="left"/>
            </w:pPr>
            <w:r>
              <w:rPr>
                <w:rFonts w:ascii="Noto Sans" w:hAnsi="Noto Sans" w:eastAsia="Noto Sans"/>
                <w:color w:val="222B35"/>
                <w:sz w:val="16"/>
              </w:rPr>
              <w:t xml:space="preserve">Text annotations must use semantic selectors; geometry is a cache.</w:t>
            </w:r>
          </w:p>
        </w:tc>
        <w:tc>
          <w:tcPr>
            <w:vAlign w:val="top"/>
            <w:tcMar>
              <w:top w:w="70" w:type="dxa"/>
              <w:start w:w="85" w:type="dxa"/>
              <w:bottom w:w="70" w:type="dxa"/>
              <w:end w:w="85" w:type="dxa"/>
            </w:tcMar>
            <w:tcW w:w="4852" w:type="dxa"/>
          </w:tcPr>
          <w:p>
            <w:pPr>
              <w:spacing w:after="40" w:line="240" w:lineRule="auto"/>
              <w:jc w:val="left"/>
            </w:pPr>
            <w:r>
              <w:rPr>
                <w:rFonts w:ascii="Noto Sans" w:hAnsi="Noto Sans" w:eastAsia="Noto Sans"/>
                <w:color w:val="222B35"/>
                <w:sz w:val="16"/>
              </w:rPr>
              <w:t xml:space="preserve">Annotation-reflow research and Web Annotation support this architecture.</w:t>
            </w:r>
          </w:p>
        </w:tc>
      </w:tr>
      <w:tr>
        <w:trPr>
          <w:cantSplit/>
        </w:trPr>
        <w:tc>
          <w:tcPr>
            <w:vAlign w:val="top"/>
            <w:tcMar>
              <w:top w:w="70" w:type="dxa"/>
              <w:start w:w="85" w:type="dxa"/>
              <w:bottom w:w="70" w:type="dxa"/>
              <w:end w:w="85" w:type="dxa"/>
            </w:tcMar>
            <w:tcW w:w="835" w:type="dxa"/>
            <w:shd w:fill="F3F5F7" w:val="clear"/>
          </w:tcPr>
          <w:p>
            <w:pPr>
              <w:spacing w:after="40" w:line="240" w:lineRule="auto"/>
              <w:jc w:val="left"/>
            </w:pPr>
            <w:r>
              <w:rPr>
                <w:rFonts w:ascii="Noto Sans" w:hAnsi="Noto Sans" w:eastAsia="Noto Sans"/>
                <w:color w:val="222B35"/>
                <w:sz w:val="16"/>
              </w:rPr>
              <w:t xml:space="preserve">LR-10</w:t>
            </w:r>
          </w:p>
        </w:tc>
        <w:tc>
          <w:tcPr>
            <w:vAlign w:val="top"/>
            <w:tcMar>
              <w:top w:w="70" w:type="dxa"/>
              <w:start w:w="85" w:type="dxa"/>
              <w:bottom w:w="70" w:type="dxa"/>
              <w:end w:w="85" w:type="dxa"/>
            </w:tcMar>
            <w:tcW w:w="3542" w:type="dxa"/>
            <w:shd w:fill="F3F5F7" w:val="clear"/>
          </w:tcPr>
          <w:p>
            <w:pPr>
              <w:spacing w:after="40" w:line="240" w:lineRule="auto"/>
              <w:jc w:val="left"/>
            </w:pPr>
            <w:r>
              <w:rPr>
                <w:rFonts w:ascii="Noto Sans" w:hAnsi="Noto Sans" w:eastAsia="Noto Sans"/>
                <w:color w:val="222B35"/>
                <w:sz w:val="16"/>
              </w:rPr>
              <w:t xml:space="preserve">Freehand ink must be scoped separately from text highlights.</w:t>
            </w:r>
          </w:p>
        </w:tc>
        <w:tc>
          <w:tcPr>
            <w:vAlign w:val="top"/>
            <w:tcMar>
              <w:top w:w="70" w:type="dxa"/>
              <w:start w:w="85" w:type="dxa"/>
              <w:bottom w:w="70" w:type="dxa"/>
              <w:end w:w="85" w:type="dxa"/>
            </w:tcMar>
            <w:tcW w:w="4852" w:type="dxa"/>
            <w:shd w:fill="F3F5F7" w:val="clear"/>
          </w:tcPr>
          <w:p>
            <w:pPr>
              <w:spacing w:after="40" w:line="240" w:lineRule="auto"/>
              <w:jc w:val="left"/>
            </w:pPr>
            <w:r>
              <w:rPr>
                <w:rFonts w:ascii="Noto Sans" w:hAnsi="Noto Sans" w:eastAsia="Noto Sans"/>
                <w:color w:val="222B35"/>
                <w:sz w:val="16"/>
              </w:rPr>
              <w:t xml:space="preserve">Ink attachment semantics are ambiguous under major reflow.</w:t>
            </w:r>
          </w:p>
        </w:tc>
      </w:tr>
      <w:tr>
        <w:trPr>
          <w:cantSplit/>
        </w:trPr>
        <w:tc>
          <w:tcPr>
            <w:vAlign w:val="top"/>
            <w:tcMar>
              <w:top w:w="70" w:type="dxa"/>
              <w:start w:w="85" w:type="dxa"/>
              <w:bottom w:w="70" w:type="dxa"/>
              <w:end w:w="85" w:type="dxa"/>
            </w:tcMar>
            <w:tcW w:w="835" w:type="dxa"/>
          </w:tcPr>
          <w:p>
            <w:pPr>
              <w:spacing w:after="40" w:line="240" w:lineRule="auto"/>
              <w:jc w:val="left"/>
            </w:pPr>
            <w:r>
              <w:rPr>
                <w:rFonts w:ascii="Noto Sans" w:hAnsi="Noto Sans" w:eastAsia="Noto Sans"/>
                <w:color w:val="222B35"/>
                <w:sz w:val="16"/>
              </w:rPr>
              <w:t xml:space="preserve">LR-11</w:t>
            </w:r>
          </w:p>
        </w:tc>
        <w:tc>
          <w:tcPr>
            <w:vAlign w:val="top"/>
            <w:tcMar>
              <w:top w:w="70" w:type="dxa"/>
              <w:start w:w="85" w:type="dxa"/>
              <w:bottom w:w="70" w:type="dxa"/>
              <w:end w:w="85" w:type="dxa"/>
            </w:tcMar>
            <w:tcW w:w="3542" w:type="dxa"/>
          </w:tcPr>
          <w:p>
            <w:pPr>
              <w:spacing w:after="40" w:line="240" w:lineRule="auto"/>
              <w:jc w:val="left"/>
            </w:pPr>
            <w:r>
              <w:rPr>
                <w:rFonts w:ascii="Noto Sans" w:hAnsi="Noto Sans" w:eastAsia="Noto Sans"/>
                <w:color w:val="222B35"/>
                <w:sz w:val="16"/>
              </w:rPr>
              <w:t xml:space="preserve">Evaluation must measure active reading, not only visual quality.</w:t>
            </w:r>
          </w:p>
        </w:tc>
        <w:tc>
          <w:tcPr>
            <w:vAlign w:val="top"/>
            <w:tcMar>
              <w:top w:w="70" w:type="dxa"/>
              <w:start w:w="85" w:type="dxa"/>
              <w:bottom w:w="70" w:type="dxa"/>
              <w:end w:w="85" w:type="dxa"/>
            </w:tcMar>
            <w:tcW w:w="4852" w:type="dxa"/>
          </w:tcPr>
          <w:p>
            <w:pPr>
              <w:spacing w:after="40" w:line="240" w:lineRule="auto"/>
              <w:jc w:val="left"/>
            </w:pPr>
            <w:r>
              <w:rPr>
                <w:rFonts w:ascii="Noto Sans" w:hAnsi="Noto Sans" w:eastAsia="Noto Sans"/>
                <w:color w:val="222B35"/>
                <w:sz w:val="16"/>
              </w:rPr>
              <w:t xml:space="preserve">Academic reading includes navigation, comparison, and annotation.</w:t>
            </w:r>
          </w:p>
        </w:tc>
      </w:tr>
      <w:tr>
        <w:trPr>
          <w:cantSplit/>
        </w:trPr>
        <w:tc>
          <w:tcPr>
            <w:vAlign w:val="top"/>
            <w:tcMar>
              <w:top w:w="70" w:type="dxa"/>
              <w:start w:w="85" w:type="dxa"/>
              <w:bottom w:w="70" w:type="dxa"/>
              <w:end w:w="85" w:type="dxa"/>
            </w:tcMar>
            <w:tcW w:w="835" w:type="dxa"/>
            <w:shd w:fill="F3F5F7" w:val="clear"/>
          </w:tcPr>
          <w:p>
            <w:pPr>
              <w:spacing w:after="40" w:line="240" w:lineRule="auto"/>
              <w:jc w:val="left"/>
            </w:pPr>
            <w:r>
              <w:rPr>
                <w:rFonts w:ascii="Noto Sans" w:hAnsi="Noto Sans" w:eastAsia="Noto Sans"/>
                <w:color w:val="222B35"/>
                <w:sz w:val="16"/>
              </w:rPr>
              <w:t xml:space="preserve">LR-12</w:t>
            </w:r>
          </w:p>
        </w:tc>
        <w:tc>
          <w:tcPr>
            <w:vAlign w:val="top"/>
            <w:tcMar>
              <w:top w:w="70" w:type="dxa"/>
              <w:start w:w="85" w:type="dxa"/>
              <w:bottom w:w="70" w:type="dxa"/>
              <w:end w:w="85" w:type="dxa"/>
            </w:tcMar>
            <w:tcW w:w="3542" w:type="dxa"/>
            <w:shd w:fill="F3F5F7" w:val="clear"/>
          </w:tcPr>
          <w:p>
            <w:pPr>
              <w:spacing w:after="40" w:line="240" w:lineRule="auto"/>
              <w:jc w:val="left"/>
            </w:pPr>
            <w:r>
              <w:rPr>
                <w:rFonts w:ascii="Noto Sans" w:hAnsi="Noto Sans" w:eastAsia="Noto Sans"/>
                <w:color w:val="222B35"/>
                <w:sz w:val="16"/>
              </w:rPr>
              <w:t xml:space="preserve">Representation and viewport geometry must be crossed experimentally.</w:t>
            </w:r>
          </w:p>
        </w:tc>
        <w:tc>
          <w:tcPr>
            <w:vAlign w:val="top"/>
            <w:tcMar>
              <w:top w:w="70" w:type="dxa"/>
              <w:start w:w="85" w:type="dxa"/>
              <w:bottom w:w="70" w:type="dxa"/>
              <w:end w:w="85" w:type="dxa"/>
            </w:tcMar>
            <w:tcW w:w="4852" w:type="dxa"/>
            <w:shd w:fill="F3F5F7" w:val="clear"/>
          </w:tcPr>
          <w:p>
            <w:pPr>
              <w:spacing w:after="40" w:line="240" w:lineRule="auto"/>
              <w:jc w:val="left"/>
            </w:pPr>
            <w:r>
              <w:rPr>
                <w:rFonts w:ascii="Noto Sans" w:hAnsi="Noto Sans" w:eastAsia="Noto Sans"/>
                <w:color w:val="222B35"/>
                <w:sz w:val="16"/>
              </w:rPr>
              <w:t xml:space="preserve">Screen size, movement mode, and layout interact.</w:t>
            </w:r>
          </w:p>
        </w:tc>
      </w:tr>
      <w:tr>
        <w:trPr>
          <w:cantSplit/>
        </w:trPr>
        <w:tc>
          <w:tcPr>
            <w:vAlign w:val="top"/>
            <w:tcMar>
              <w:top w:w="70" w:type="dxa"/>
              <w:start w:w="85" w:type="dxa"/>
              <w:bottom w:w="70" w:type="dxa"/>
              <w:end w:w="85" w:type="dxa"/>
            </w:tcMar>
            <w:tcW w:w="835" w:type="dxa"/>
          </w:tcPr>
          <w:p>
            <w:pPr>
              <w:spacing w:after="40" w:line="240" w:lineRule="auto"/>
              <w:jc w:val="left"/>
            </w:pPr>
            <w:r>
              <w:rPr>
                <w:rFonts w:ascii="Noto Sans" w:hAnsi="Noto Sans" w:eastAsia="Noto Sans"/>
                <w:color w:val="222B35"/>
                <w:sz w:val="16"/>
              </w:rPr>
              <w:t xml:space="preserve">LR-13</w:t>
            </w:r>
          </w:p>
        </w:tc>
        <w:tc>
          <w:tcPr>
            <w:vAlign w:val="top"/>
            <w:tcMar>
              <w:top w:w="70" w:type="dxa"/>
              <w:start w:w="85" w:type="dxa"/>
              <w:bottom w:w="70" w:type="dxa"/>
              <w:end w:w="85" w:type="dxa"/>
            </w:tcMar>
            <w:tcW w:w="3542" w:type="dxa"/>
          </w:tcPr>
          <w:p>
            <w:pPr>
              <w:spacing w:after="40" w:line="240" w:lineRule="auto"/>
              <w:jc w:val="left"/>
            </w:pPr>
            <w:r>
              <w:rPr>
                <w:rFonts w:ascii="Noto Sans" w:hAnsi="Noto Sans" w:eastAsia="Noto Sans"/>
                <w:color w:val="222B35"/>
                <w:sz w:val="16"/>
              </w:rPr>
              <w:t xml:space="preserve">Progressive composition must preserve a stable semantic reading anchor.</w:t>
            </w:r>
          </w:p>
        </w:tc>
        <w:tc>
          <w:tcPr>
            <w:vAlign w:val="top"/>
            <w:tcMar>
              <w:top w:w="70" w:type="dxa"/>
              <w:start w:w="85" w:type="dxa"/>
              <w:bottom w:w="70" w:type="dxa"/>
              <w:end w:w="85" w:type="dxa"/>
            </w:tcMar>
            <w:tcW w:w="4852" w:type="dxa"/>
          </w:tcPr>
          <w:p>
            <w:pPr>
              <w:spacing w:after="40" w:line="240" w:lineRule="auto"/>
              <w:jc w:val="left"/>
            </w:pPr>
            <w:r>
              <w:rPr>
                <w:rFonts w:ascii="Noto Sans" w:hAnsi="Noto Sans" w:eastAsia="Noto Sans"/>
                <w:color w:val="222B35"/>
                <w:sz w:val="16"/>
              </w:rPr>
              <w:t xml:space="preserve">Fast first display is not useful if later pagination causes disruptive jumps.</w:t>
            </w:r>
          </w:p>
        </w:tc>
      </w:tr>
      <w:tr>
        <w:trPr>
          <w:cantSplit/>
        </w:trPr>
        <w:tc>
          <w:tcPr>
            <w:vAlign w:val="top"/>
            <w:tcMar>
              <w:top w:w="70" w:type="dxa"/>
              <w:start w:w="85" w:type="dxa"/>
              <w:bottom w:w="70" w:type="dxa"/>
              <w:end w:w="85" w:type="dxa"/>
            </w:tcMar>
            <w:tcW w:w="835" w:type="dxa"/>
            <w:shd w:fill="F3F5F7" w:val="clear"/>
          </w:tcPr>
          <w:p>
            <w:pPr>
              <w:spacing w:after="40" w:line="240" w:lineRule="auto"/>
              <w:jc w:val="left"/>
            </w:pPr>
            <w:r>
              <w:rPr>
                <w:rFonts w:ascii="Noto Sans" w:hAnsi="Noto Sans" w:eastAsia="Noto Sans"/>
                <w:color w:val="222B35"/>
                <w:sz w:val="16"/>
              </w:rPr>
              <w:t xml:space="preserve">LR-14</w:t>
            </w:r>
          </w:p>
        </w:tc>
        <w:tc>
          <w:tcPr>
            <w:vAlign w:val="top"/>
            <w:tcMar>
              <w:top w:w="70" w:type="dxa"/>
              <w:start w:w="85" w:type="dxa"/>
              <w:bottom w:w="70" w:type="dxa"/>
              <w:end w:w="85" w:type="dxa"/>
            </w:tcMar>
            <w:tcW w:w="3542" w:type="dxa"/>
            <w:shd w:fill="F3F5F7" w:val="clear"/>
          </w:tcPr>
          <w:p>
            <w:pPr>
              <w:spacing w:after="40" w:line="240" w:lineRule="auto"/>
              <w:jc w:val="left"/>
            </w:pPr>
            <w:r>
              <w:rPr>
                <w:rFonts w:ascii="Noto Sans" w:hAnsi="Noto Sans" w:eastAsia="Noto Sans"/>
                <w:color w:val="222B35"/>
                <w:sz w:val="16"/>
              </w:rPr>
              <w:t xml:space="preserve">The layout manifest must explain decisions and fallbacks.</w:t>
            </w:r>
          </w:p>
        </w:tc>
        <w:tc>
          <w:tcPr>
            <w:vAlign w:val="top"/>
            <w:tcMar>
              <w:top w:w="70" w:type="dxa"/>
              <w:start w:w="85" w:type="dxa"/>
              <w:bottom w:w="70" w:type="dxa"/>
              <w:end w:w="85" w:type="dxa"/>
            </w:tcMar>
            <w:tcW w:w="4852" w:type="dxa"/>
            <w:shd w:fill="F3F5F7" w:val="clear"/>
          </w:tcPr>
          <w:p>
            <w:pPr>
              <w:spacing w:after="40" w:line="240" w:lineRule="auto"/>
              <w:jc w:val="left"/>
            </w:pPr>
            <w:r>
              <w:rPr>
                <w:rFonts w:ascii="Noto Sans" w:hAnsi="Noto Sans" w:eastAsia="Noto Sans"/>
                <w:color w:val="222B35"/>
                <w:sz w:val="16"/>
              </w:rPr>
              <w:t xml:space="preserve">The POC’s general value is governed recomposition, not opaque rendering.</w:t>
            </w:r>
          </w:p>
        </w:tc>
      </w:tr>
    </w:tbl>
    <w:bookmarkEnd w:id="69"/>
    <w:bookmarkStart w:id="74" w:name="X10eda10dbe7908dbc30342db4fd78cae4bcef3f"/>
    <w:p>
      <w:pPr>
        <w:pStyle w:val="Heading1"/>
      </w:pPr>
      <w:r>
        <w:t xml:space="preserve">13. Recommended research design</w:t>
      </w:r>
    </w:p>
    <w:bookmarkStart w:id="70" w:name="X4ee58c8eace5276482b285cd974afd2d9aadc50"/>
    <w:p>
      <w:pPr>
        <w:pStyle w:val="Heading2"/>
      </w:pPr>
      <w:r>
        <w:t xml:space="preserve">13.1 Research questions</w:t>
      </w:r>
    </w:p>
    <w:p>
      <w:pPr>
        <w:pStyle w:val="FirstParagraph"/>
      </w:pPr>
      <w:r>
        <w:rPr>
          <w:b/>
          <w:bCs/>
        </w:rPr>
        <w:t xml:space="preserve">RQ1 — Composition correctness</w:t>
      </w:r>
      <w:r>
        <w:br/>
      </w:r>
      <w:r>
        <w:t xml:space="preserve">Can one canonical semantic graph generate coherent renditions across A4, large 4:3 e-ink, small tall e-ink, and continuous mobile targets without losing content identity or relationships?</w:t>
      </w:r>
    </w:p>
    <w:p>
      <w:pPr>
        <w:pStyle w:val="BodyText"/>
      </w:pPr>
      <w:r>
        <w:rPr>
          <w:b/>
          <w:bCs/>
        </w:rPr>
        <w:t xml:space="preserve">RQ2 — Representation × geometry</w:t>
      </w:r>
      <w:r>
        <w:br/>
      </w:r>
      <w:r>
        <w:t xml:space="preserve">How do original PDF, geometrically optimized PDF, and semantic responsive rendition affect comprehension, navigation, workload, and interaction across large and small e-ink geometries?</w:t>
      </w:r>
    </w:p>
    <w:p>
      <w:pPr>
        <w:pStyle w:val="BodyText"/>
      </w:pPr>
      <w:r>
        <w:rPr>
          <w:b/>
          <w:bCs/>
        </w:rPr>
        <w:t xml:space="preserve">RQ3 — Hybrid rendering</w:t>
      </w:r>
      <w:r>
        <w:br/>
      </w:r>
      <w:r>
        <w:t xml:space="preserve">Which scholarly content classes can be safely reflowed, and which require preserved visual or dedicated interactive fallbacks?</w:t>
      </w:r>
    </w:p>
    <w:p>
      <w:pPr>
        <w:pStyle w:val="BodyText"/>
      </w:pPr>
      <w:r>
        <w:rPr>
          <w:b/>
          <w:bCs/>
        </w:rPr>
        <w:t xml:space="preserve">RQ4 — Annotation continuity</w:t>
      </w:r>
      <w:r>
        <w:br/>
      </w:r>
      <w:r>
        <w:t xml:space="preserve">How accurately and acceptably can text highlights, anchored notes, and constrained freehand ink persist across typography, viewport, and pagination changes?</w:t>
      </w:r>
    </w:p>
    <w:p>
      <w:pPr>
        <w:pStyle w:val="BodyText"/>
      </w:pPr>
      <w:r>
        <w:rPr>
          <w:b/>
          <w:bCs/>
        </w:rPr>
        <w:t xml:space="preserve">RQ5 — Progressive composition</w:t>
      </w:r>
      <w:r>
        <w:br/>
      </w:r>
      <w:r>
        <w:t xml:space="preserve">Can viewport-first composition reduce perceived delay while preserving reading-position and annotation stability as distant content is paginated?</w:t>
      </w:r>
    </w:p>
    <w:bookmarkEnd w:id="70"/>
    <w:bookmarkStart w:id="71" w:name="Xed39e9836e6445a3b3137cffd3ecf30f33abe99"/>
    <w:p>
      <w:pPr>
        <w:pStyle w:val="Heading2"/>
      </w:pPr>
      <w:r>
        <w:t xml:space="preserve">13.2 Phase A: engineering evaluation</w:t>
      </w:r>
    </w:p>
    <w:p>
      <w:pPr>
        <w:pStyle w:val="FirstParagraph"/>
      </w:pPr>
      <w:r>
        <w:t xml:space="preserve">Use one golden paper and a stratified regression corpus:</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prose-heavy</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figure-heavy</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table-heavy</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equation-heavy</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mixed complex layout</w:t>
      </w:r>
    </w:p>
    <w:p>
      <w:pPr>
        <w:pStyle w:val="FirstParagraph"/>
      </w:pPr>
      <w:r>
        <w:t xml:space="preserve">Prefer papers with JATS or LaTeX ground truth. Evaluate:</w:t>
      </w:r>
    </w:p>
    <w:p>
      <w:pPr>
        <w:pStyle w:val="Compact"/>
        <w:numPr>
          <w:ilvl w:val="0"/>
          <w:numId w:val="1020"/>
        </w:numPr>
      </w:pPr>
      <w:r>
        <w:t xml:space="preserve">semantic-node coverage;</w:t>
      </w:r>
    </w:p>
    <w:p>
      <w:pPr>
        <w:pStyle w:val="Compact"/>
        <w:numPr>
          <w:ilvl w:val="0"/>
          <w:numId w:val="1020"/>
        </w:numPr>
      </w:pPr>
      <w:r>
        <w:t xml:space="preserve">reading order and hierarchy;</w:t>
      </w:r>
    </w:p>
    <w:p>
      <w:pPr>
        <w:pStyle w:val="Compact"/>
        <w:numPr>
          <w:ilvl w:val="0"/>
          <w:numId w:val="1020"/>
        </w:numPr>
      </w:pPr>
      <w:r>
        <w:t xml:space="preserve">figure–caption and citation–reference links;</w:t>
      </w:r>
    </w:p>
    <w:p>
      <w:pPr>
        <w:pStyle w:val="Compact"/>
        <w:numPr>
          <w:ilvl w:val="0"/>
          <w:numId w:val="1020"/>
        </w:numPr>
      </w:pPr>
      <w:r>
        <w:t xml:space="preserve">exact source-provenance mapping;</w:t>
      </w:r>
    </w:p>
    <w:p>
      <w:pPr>
        <w:pStyle w:val="Compact"/>
        <w:numPr>
          <w:ilvl w:val="0"/>
          <w:numId w:val="1020"/>
        </w:numPr>
      </w:pPr>
      <w:r>
        <w:t xml:space="preserve">overflow, clipping, and constraint violations;</w:t>
      </w:r>
    </w:p>
    <w:p>
      <w:pPr>
        <w:pStyle w:val="Compact"/>
        <w:numPr>
          <w:ilvl w:val="0"/>
          <w:numId w:val="1020"/>
        </w:numPr>
      </w:pPr>
      <w:r>
        <w:t xml:space="preserve">content-preservation checksums;</w:t>
      </w:r>
    </w:p>
    <w:p>
      <w:pPr>
        <w:pStyle w:val="Compact"/>
        <w:numPr>
          <w:ilvl w:val="0"/>
          <w:numId w:val="1020"/>
        </w:numPr>
      </w:pPr>
      <w:r>
        <w:t xml:space="preserve">stable IDs across targets;</w:t>
      </w:r>
    </w:p>
    <w:p>
      <w:pPr>
        <w:pStyle w:val="Compact"/>
        <w:numPr>
          <w:ilvl w:val="0"/>
          <w:numId w:val="1020"/>
        </w:numPr>
      </w:pPr>
      <w:r>
        <w:t xml:space="preserve">annotation target survival;</w:t>
      </w:r>
    </w:p>
    <w:p>
      <w:pPr>
        <w:pStyle w:val="Compact"/>
        <w:numPr>
          <w:ilvl w:val="0"/>
          <w:numId w:val="1020"/>
        </w:numPr>
      </w:pPr>
      <w:r>
        <w:t xml:space="preserve">total composition time and time to first stable viewport.</w:t>
      </w:r>
    </w:p>
    <w:bookmarkEnd w:id="71"/>
    <w:bookmarkStart w:id="72" w:name="X366c3b2d3d84097f7cfe6c49215f9aead90d871"/>
    <w:p>
      <w:pPr>
        <w:pStyle w:val="Heading2"/>
      </w:pPr>
      <w:r>
        <w:t xml:space="preserve">13.3 Phase B: active-reading study</w:t>
      </w:r>
    </w:p>
    <w:p>
      <w:pPr>
        <w:pStyle w:val="FirstParagraph"/>
      </w:pPr>
      <w:r>
        <w:t xml:space="preserve">A counterbalanced within-participant design can cross:</w:t>
      </w:r>
    </w:p>
    <w:tbl>
      <w:tblPr>
        <w:tblStyle w:val="TableGrid"/>
        <w:tblW w:type="auto" w:w="0"/>
        <w:jc w:val="center"/>
        <w:tblLayout w:type="fixed"/>
        <w:tblLook w:firstRow="1" w:lastRow="0" w:firstColumn="0" w:lastColumn="0" w:noHBand="0" w:noVBand="0" w:val="0020"/>
        <w:tblBorders>
          <w:top w:val="single" w:sz="4" w:color="D8DEE5"/>
          <w:left w:val="single" w:sz="4" w:color="D8DEE5"/>
          <w:bottom w:val="single" w:sz="4" w:color="D8DEE5"/>
          <w:right w:val="single" w:sz="4" w:color="D8DEE5"/>
          <w:insideH w:val="single" w:sz="4" w:color="D8DEE5"/>
          <w:insideV w:val="single" w:sz="4" w:color="D8DEE5"/>
        </w:tblBorders>
        <w:tblCaption w:val="Literature review table 4"/>
        <w:tblDescription w:val="Structured evidence summary for Semantic Responsive Typesetting."/>
      </w:tblPr>
      <w:tblGrid>
        <w:gridCol w:w="3960"/>
        <w:gridCol w:w="3960"/>
      </w:tblGrid>
      <w:tr>
        <w:trPr>
          <w:tblHeader w:val="on"/>
          <w:cantSplit/>
          <w:tblHeader w:val="true"/>
        </w:trPr>
        <w:tc>
          <w:tcPr>
            <w:vAlign w:val="top"/>
            <w:tcMar>
              <w:top w:w="70" w:type="dxa"/>
              <w:start w:w="85" w:type="dxa"/>
              <w:bottom w:w="70" w:type="dxa"/>
              <w:end w:w="85" w:type="dxa"/>
            </w:tcMar>
            <w:tcW w:w="1944" w:type="dxa"/>
            <w:shd w:fill="1F2A44" w:val="clear"/>
          </w:tcPr>
          <w:p>
            <w:pPr>
              <w:spacing w:after="40" w:line="240" w:lineRule="auto"/>
              <w:jc w:val="left"/>
            </w:pPr>
            <w:r>
              <w:rPr>
                <w:rFonts w:ascii="Noto Sans" w:hAnsi="Noto Sans" w:eastAsia="Noto Sans"/>
                <w:b/>
                <w:color w:val="FFFFFF"/>
                <w:sz w:val="16"/>
              </w:rPr>
              <w:t xml:space="preserve">Factor</w:t>
            </w:r>
          </w:p>
        </w:tc>
        <w:tc>
          <w:tcPr>
            <w:vAlign w:val="top"/>
            <w:tcMar>
              <w:top w:w="70" w:type="dxa"/>
              <w:start w:w="85" w:type="dxa"/>
              <w:bottom w:w="70" w:type="dxa"/>
              <w:end w:w="85" w:type="dxa"/>
            </w:tcMar>
            <w:tcW w:w="7272" w:type="dxa"/>
            <w:shd w:fill="1F2A44" w:val="clear"/>
          </w:tcPr>
          <w:p>
            <w:pPr>
              <w:spacing w:after="40" w:line="240" w:lineRule="auto"/>
              <w:jc w:val="left"/>
            </w:pPr>
            <w:r>
              <w:rPr>
                <w:rFonts w:ascii="Noto Sans" w:hAnsi="Noto Sans" w:eastAsia="Noto Sans"/>
                <w:b/>
                <w:color w:val="FFFFFF"/>
                <w:sz w:val="16"/>
              </w:rPr>
              <w:t xml:space="preserve">Conditions</w:t>
            </w:r>
          </w:p>
        </w:tc>
      </w:tr>
      <w:tr>
        <w:trPr>
          <w:cantSplit/>
        </w:trPr>
        <w:tc>
          <w:tcPr>
            <w:vAlign w:val="top"/>
            <w:tcMar>
              <w:top w:w="70" w:type="dxa"/>
              <w:start w:w="85" w:type="dxa"/>
              <w:bottom w:w="70" w:type="dxa"/>
              <w:end w:w="85" w:type="dxa"/>
            </w:tcMar>
            <w:tcW w:w="1944" w:type="dxa"/>
          </w:tcPr>
          <w:p>
            <w:pPr>
              <w:spacing w:after="40" w:line="240" w:lineRule="auto"/>
              <w:jc w:val="left"/>
            </w:pPr>
            <w:r>
              <w:rPr>
                <w:rFonts w:ascii="Noto Sans" w:hAnsi="Noto Sans" w:eastAsia="Noto Sans"/>
                <w:color w:val="222B35"/>
                <w:sz w:val="16"/>
              </w:rPr>
              <w:t xml:space="preserve">Representation</w:t>
            </w:r>
          </w:p>
        </w:tc>
        <w:tc>
          <w:tcPr>
            <w:vAlign w:val="top"/>
            <w:tcMar>
              <w:top w:w="70" w:type="dxa"/>
              <w:start w:w="85" w:type="dxa"/>
              <w:bottom w:w="70" w:type="dxa"/>
              <w:end w:w="85" w:type="dxa"/>
            </w:tcMar>
            <w:tcW w:w="7272" w:type="dxa"/>
          </w:tcPr>
          <w:p>
            <w:pPr>
              <w:spacing w:after="40" w:line="240" w:lineRule="auto"/>
              <w:jc w:val="left"/>
            </w:pPr>
            <w:r>
              <w:rPr>
                <w:rFonts w:ascii="Noto Sans" w:hAnsi="Noto Sans" w:eastAsia="Noto Sans"/>
                <w:color w:val="222B35"/>
                <w:sz w:val="16"/>
              </w:rPr>
              <w:t xml:space="preserve">Original PDF / optimized single-column PDF / semantic responsive rendition</w:t>
            </w:r>
          </w:p>
        </w:tc>
      </w:tr>
      <w:tr>
        <w:trPr>
          <w:cantSplit/>
        </w:trPr>
        <w:tc>
          <w:tcPr>
            <w:vAlign w:val="top"/>
            <w:tcMar>
              <w:top w:w="70" w:type="dxa"/>
              <w:start w:w="85" w:type="dxa"/>
              <w:bottom w:w="70" w:type="dxa"/>
              <w:end w:w="85" w:type="dxa"/>
            </w:tcMar>
            <w:tcW w:w="1944" w:type="dxa"/>
            <w:shd w:fill="F3F5F7" w:val="clear"/>
          </w:tcPr>
          <w:p>
            <w:pPr>
              <w:spacing w:after="40" w:line="240" w:lineRule="auto"/>
              <w:jc w:val="left"/>
            </w:pPr>
            <w:r>
              <w:rPr>
                <w:rFonts w:ascii="Noto Sans" w:hAnsi="Noto Sans" w:eastAsia="Noto Sans"/>
                <w:color w:val="222B35"/>
                <w:sz w:val="16"/>
              </w:rPr>
              <w:t xml:space="preserve">Geometry</w:t>
            </w:r>
          </w:p>
        </w:tc>
        <w:tc>
          <w:tcPr>
            <w:vAlign w:val="top"/>
            <w:tcMar>
              <w:top w:w="70" w:type="dxa"/>
              <w:start w:w="85" w:type="dxa"/>
              <w:bottom w:w="70" w:type="dxa"/>
              <w:end w:w="85" w:type="dxa"/>
            </w:tcMar>
            <w:tcW w:w="7272" w:type="dxa"/>
            <w:shd w:fill="F3F5F7" w:val="clear"/>
          </w:tcPr>
          <w:p>
            <w:pPr>
              <w:spacing w:after="40" w:line="240" w:lineRule="auto"/>
              <w:jc w:val="left"/>
            </w:pPr>
            <w:r>
              <w:rPr>
                <w:rFonts w:ascii="Noto Sans" w:hAnsi="Noto Sans" w:eastAsia="Noto Sans"/>
                <w:color w:val="222B35"/>
                <w:sz w:val="16"/>
              </w:rPr>
              <w:t xml:space="preserve">Large paper-like e-ink / small tall e-ink</w:t>
            </w:r>
          </w:p>
        </w:tc>
      </w:tr>
      <w:tr>
        <w:trPr>
          <w:cantSplit/>
        </w:trPr>
        <w:tc>
          <w:tcPr>
            <w:vAlign w:val="top"/>
            <w:tcMar>
              <w:top w:w="70" w:type="dxa"/>
              <w:start w:w="85" w:type="dxa"/>
              <w:bottom w:w="70" w:type="dxa"/>
              <w:end w:w="85" w:type="dxa"/>
            </w:tcMar>
            <w:tcW w:w="1944" w:type="dxa"/>
          </w:tcPr>
          <w:p>
            <w:pPr>
              <w:spacing w:after="40" w:line="240" w:lineRule="auto"/>
              <w:jc w:val="left"/>
            </w:pPr>
            <w:r>
              <w:rPr>
                <w:rFonts w:ascii="Noto Sans" w:hAnsi="Noto Sans" w:eastAsia="Noto Sans"/>
                <w:color w:val="222B35"/>
                <w:sz w:val="16"/>
              </w:rPr>
              <w:t xml:space="preserve">Task</w:t>
            </w:r>
          </w:p>
        </w:tc>
        <w:tc>
          <w:tcPr>
            <w:vAlign w:val="top"/>
            <w:tcMar>
              <w:top w:w="70" w:type="dxa"/>
              <w:start w:w="85" w:type="dxa"/>
              <w:bottom w:w="70" w:type="dxa"/>
              <w:end w:w="85" w:type="dxa"/>
            </w:tcMar>
            <w:tcW w:w="7272" w:type="dxa"/>
          </w:tcPr>
          <w:p>
            <w:pPr>
              <w:spacing w:after="40" w:line="240" w:lineRule="auto"/>
              <w:jc w:val="left"/>
            </w:pPr>
            <w:r>
              <w:rPr>
                <w:rFonts w:ascii="Noto Sans" w:hAnsi="Noto Sans" w:eastAsia="Noto Sans"/>
                <w:color w:val="222B35"/>
                <w:sz w:val="16"/>
              </w:rPr>
              <w:t xml:space="preserve">Read / locate / compare / figure-text integration / annotate / resume after reflow</w:t>
            </w:r>
          </w:p>
        </w:tc>
      </w:tr>
    </w:tbl>
    <w:p>
      <w:pPr>
        <w:pStyle w:val="BodyText"/>
      </w:pPr>
      <w:r>
        <w:t xml:space="preserve">Measures should include:</w:t>
      </w:r>
    </w:p>
    <w:p>
      <w:pPr>
        <w:pStyle w:val="Compact"/>
        <w:numPr>
          <w:ilvl w:val="0"/>
          <w:numId w:val="1021"/>
        </w:numPr>
      </w:pPr>
      <w:r>
        <w:t xml:space="preserve">comprehension and retrieval accuracy;</w:t>
      </w:r>
    </w:p>
    <w:p>
      <w:pPr>
        <w:pStyle w:val="Compact"/>
        <w:numPr>
          <w:ilvl w:val="0"/>
          <w:numId w:val="1021"/>
        </w:numPr>
      </w:pPr>
      <w:r>
        <w:t xml:space="preserve">task time;</w:t>
      </w:r>
    </w:p>
    <w:p>
      <w:pPr>
        <w:pStyle w:val="Compact"/>
        <w:numPr>
          <w:ilvl w:val="0"/>
          <w:numId w:val="1021"/>
        </w:numPr>
      </w:pPr>
      <w:r>
        <w:t xml:space="preserve">pan, zoom, page-turn, and backtracking events;</w:t>
      </w:r>
    </w:p>
    <w:p>
      <w:pPr>
        <w:pStyle w:val="Compact"/>
        <w:numPr>
          <w:ilvl w:val="0"/>
          <w:numId w:val="1021"/>
        </w:numPr>
      </w:pPr>
      <w:r>
        <w:t xml:space="preserve">figure-to-text navigation time;</w:t>
      </w:r>
    </w:p>
    <w:p>
      <w:pPr>
        <w:pStyle w:val="Compact"/>
        <w:numPr>
          <w:ilvl w:val="0"/>
          <w:numId w:val="1021"/>
        </w:numPr>
      </w:pPr>
      <w:r>
        <w:t xml:space="preserve">annotation creation and relocation time;</w:t>
      </w:r>
    </w:p>
    <w:p>
      <w:pPr>
        <w:pStyle w:val="Compact"/>
        <w:numPr>
          <w:ilvl w:val="0"/>
          <w:numId w:val="1021"/>
        </w:numPr>
      </w:pPr>
      <w:r>
        <w:t xml:space="preserve">anchor error after reflow;</w:t>
      </w:r>
    </w:p>
    <w:p>
      <w:pPr>
        <w:pStyle w:val="Compact"/>
        <w:numPr>
          <w:ilvl w:val="0"/>
          <w:numId w:val="1021"/>
        </w:numPr>
      </w:pPr>
      <w:r>
        <w:t xml:space="preserve">workload and comfort;</w:t>
      </w:r>
    </w:p>
    <w:p>
      <w:pPr>
        <w:pStyle w:val="Compact"/>
        <w:numPr>
          <w:ilvl w:val="0"/>
          <w:numId w:val="1021"/>
        </w:numPr>
      </w:pPr>
      <w:r>
        <w:t xml:space="preserve">trust in rendition fidelity;</w:t>
      </w:r>
    </w:p>
    <w:p>
      <w:pPr>
        <w:pStyle w:val="Compact"/>
        <w:numPr>
          <w:ilvl w:val="0"/>
          <w:numId w:val="1021"/>
        </w:numPr>
      </w:pPr>
      <w:r>
        <w:t xml:space="preserve">preference, with reasons.</w:t>
      </w:r>
    </w:p>
    <w:bookmarkEnd w:id="72"/>
    <w:bookmarkStart w:id="73" w:name="X6be9ed21f37613e1550b43aceacc5208462a278"/>
    <w:p>
      <w:pPr>
        <w:pStyle w:val="Heading2"/>
      </w:pPr>
      <w:r>
        <w:t xml:space="preserve">13.4 Control the device confound</w:t>
      </w:r>
    </w:p>
    <w:p>
      <w:pPr>
        <w:pStyle w:val="FirstParagraph"/>
      </w:pPr>
      <w:r>
        <w:t xml:space="preserve">Commercial devices differ in more than screen size: aspect ratio, resolution, weight, refresh behaviour, input latency, and software. Use two stages if resources permit:</w:t>
      </w:r>
    </w:p>
    <w:p>
      <w:pPr>
        <w:pStyle w:val="Compact"/>
        <w:numPr>
          <w:ilvl w:val="0"/>
          <w:numId w:val="1022"/>
        </w:numPr>
      </w:pPr>
      <w:r>
        <w:t xml:space="preserve">controlled geometry simulation using the same renderer and interaction environment;</w:t>
      </w:r>
    </w:p>
    <w:p>
      <w:pPr>
        <w:pStyle w:val="Compact"/>
        <w:numPr>
          <w:ilvl w:val="0"/>
          <w:numId w:val="1022"/>
        </w:numPr>
      </w:pPr>
      <w:r>
        <w:t xml:space="preserve">ecological validation on the physical e-ink devices.</w:t>
      </w:r>
    </w:p>
    <w:p>
      <w:pPr>
        <w:pStyle w:val="FirstParagraph"/>
      </w:pPr>
      <w:r>
        <w:t xml:space="preserve">This separates the effect of viewport geometry from the effect of the entire product.</w:t>
      </w:r>
    </w:p>
    <w:bookmarkEnd w:id="73"/>
    <w:bookmarkEnd w:id="74"/>
    <w:bookmarkStart w:id="80" w:name="Xc7e1d0cbb30ccbc13a522d336ecdcd2633c5dc8"/>
    <w:p>
      <w:pPr>
        <w:pStyle w:val="Heading1"/>
      </w:pPr>
      <w:r>
        <w:t xml:space="preserve">14. Fresh-agent handoff</w:t>
      </w:r>
    </w:p>
    <w:bookmarkStart w:id="75" w:name="Xa3376a085cde0e36de47129f1c8e2cc9687088a"/>
    <w:p>
      <w:pPr>
        <w:pStyle w:val="Heading2"/>
      </w:pPr>
      <w:r>
        <w:t xml:space="preserve">14.1 Read these first</w:t>
      </w:r>
    </w:p>
    <w:p>
      <w:pPr>
        <w:pStyle w:val="Compact"/>
        <w:numPr>
          <w:ilvl w:val="0"/>
          <w:numId w:val="1023"/>
        </w:numPr>
      </w:pPr>
      <w:r>
        <w:rPr>
          <w:b/>
          <w:bCs/>
        </w:rPr>
        <w:t xml:space="preserve">Marinai (2013), Reflowing and Annotating Scientific Papers on eBook Readers</w:t>
      </w:r>
      <w:r>
        <w:t xml:space="preserve"> </w:t>
      </w:r>
      <w:r>
        <w:t xml:space="preserve">— closest predecessor and mandatory prior-art discussion.</w:t>
      </w:r>
    </w:p>
    <w:p>
      <w:pPr>
        <w:pStyle w:val="Compact"/>
        <w:numPr>
          <w:ilvl w:val="0"/>
          <w:numId w:val="1023"/>
        </w:numPr>
      </w:pPr>
      <w:r>
        <w:rPr>
          <w:b/>
          <w:bCs/>
        </w:rPr>
        <w:t xml:space="preserve">Jacobs et al. (2004), Adaptive Document Layout</w:t>
      </w:r>
      <w:r>
        <w:t xml:space="preserve"> </w:t>
      </w:r>
      <w:r>
        <w:t xml:space="preserve">— establishes the broad adaptive-layout lineage.</w:t>
      </w:r>
    </w:p>
    <w:p>
      <w:pPr>
        <w:pStyle w:val="Compact"/>
        <w:numPr>
          <w:ilvl w:val="0"/>
          <w:numId w:val="1023"/>
        </w:numPr>
      </w:pPr>
      <w:r>
        <w:rPr>
          <w:b/>
          <w:bCs/>
        </w:rPr>
        <w:t xml:space="preserve">Hurst, Li, and Marriott (2009), Review of Automatic Document Formatting</w:t>
      </w:r>
      <w:r>
        <w:t xml:space="preserve"> </w:t>
      </w:r>
      <w:r>
        <w:t xml:space="preserve">— maps the older field.</w:t>
      </w:r>
    </w:p>
    <w:p>
      <w:pPr>
        <w:pStyle w:val="Compact"/>
        <w:numPr>
          <w:ilvl w:val="0"/>
          <w:numId w:val="1023"/>
        </w:numPr>
      </w:pPr>
      <w:r>
        <w:rPr>
          <w:b/>
          <w:bCs/>
        </w:rPr>
        <w:t xml:space="preserve">Wang et al. (2021), SciA11y</w:t>
      </w:r>
      <w:r>
        <w:t xml:space="preserve"> </w:t>
      </w:r>
      <w:r>
        <w:t xml:space="preserve">— modern PDF-to-structured-HTML precedent and evaluation model.</w:t>
      </w:r>
    </w:p>
    <w:p>
      <w:pPr>
        <w:pStyle w:val="Compact"/>
        <w:numPr>
          <w:ilvl w:val="0"/>
          <w:numId w:val="1023"/>
        </w:numPr>
      </w:pPr>
      <w:r>
        <w:rPr>
          <w:b/>
          <w:bCs/>
        </w:rPr>
        <w:t xml:space="preserve">Chen et al. (2023), DocDancer</w:t>
      </w:r>
      <w:r>
        <w:t xml:space="preserve"> </w:t>
      </w:r>
      <w:r>
        <w:t xml:space="preserve">and</w:t>
      </w:r>
      <w:r>
        <w:t xml:space="preserve"> </w:t>
      </w:r>
      <w:r>
        <w:rPr>
          <w:b/>
          <w:bCs/>
        </w:rPr>
        <w:t xml:space="preserve">Jiang et al. (2024), FlexDoc</w:t>
      </w:r>
      <w:r>
        <w:t xml:space="preserve"> </w:t>
      </w:r>
      <w:r>
        <w:t xml:space="preserve">— current responsive authoring/optimization precedents.</w:t>
      </w:r>
    </w:p>
    <w:p>
      <w:pPr>
        <w:pStyle w:val="Compact"/>
        <w:numPr>
          <w:ilvl w:val="0"/>
          <w:numId w:val="1023"/>
        </w:numPr>
      </w:pPr>
      <w:r>
        <w:rPr>
          <w:b/>
          <w:bCs/>
        </w:rPr>
        <w:t xml:space="preserve">Brush et al. (2001), Moving Markup (2002), and Reflowing Digital Ink Annotations (2003)</w:t>
      </w:r>
      <w:r>
        <w:t xml:space="preserve"> </w:t>
      </w:r>
      <w:r>
        <w:t xml:space="preserve">— anchor and ink continuity foundations.</w:t>
      </w:r>
    </w:p>
    <w:p>
      <w:pPr>
        <w:pStyle w:val="Compact"/>
        <w:numPr>
          <w:ilvl w:val="0"/>
          <w:numId w:val="1023"/>
        </w:numPr>
      </w:pPr>
      <w:r>
        <w:rPr>
          <w:b/>
          <w:bCs/>
        </w:rPr>
        <w:t xml:space="preserve">Haverkamp et al. (2023)</w:t>
      </w:r>
      <w:r>
        <w:t xml:space="preserve"> </w:t>
      </w:r>
      <w:r>
        <w:t xml:space="preserve">and</w:t>
      </w:r>
      <w:r>
        <w:t xml:space="preserve"> </w:t>
      </w:r>
      <w:r>
        <w:rPr>
          <w:b/>
          <w:bCs/>
        </w:rPr>
        <w:t xml:space="preserve">Thayer et al. (2011)</w:t>
      </w:r>
      <w:r>
        <w:t xml:space="preserve"> </w:t>
      </w:r>
      <w:r>
        <w:t xml:space="preserve">— reading/task design.</w:t>
      </w:r>
    </w:p>
    <w:p>
      <w:pPr>
        <w:pStyle w:val="Compact"/>
        <w:numPr>
          <w:ilvl w:val="0"/>
          <w:numId w:val="1023"/>
        </w:numPr>
      </w:pPr>
      <w:r>
        <w:rPr>
          <w:b/>
          <w:bCs/>
        </w:rPr>
        <w:t xml:space="preserve">JATS, EPUB, CSS Fragmentation, and Web Annotation</w:t>
      </w:r>
      <w:r>
        <w:t xml:space="preserve"> </w:t>
      </w:r>
      <w:r>
        <w:t xml:space="preserve">— implementation substrate.</w:t>
      </w:r>
    </w:p>
    <w:bookmarkEnd w:id="75"/>
    <w:bookmarkStart w:id="76" w:name="X29855ce503d9fd7261dfaf786af63e03a627535"/>
    <w:p>
      <w:pPr>
        <w:pStyle w:val="Heading2"/>
      </w:pPr>
      <w:r>
        <w:t xml:space="preserve">14.2 First-week research tasks</w:t>
      </w:r>
    </w:p>
    <w:p>
      <w:pPr>
        <w:pStyle w:val="Compact"/>
        <w:numPr>
          <w:ilvl w:val="0"/>
          <w:numId w:val="1024"/>
        </w:numPr>
      </w:pPr>
      <w:r>
        <w:t xml:space="preserve">Create a one-page comparison of Marinai 2013 versus the proposed architecture.</w:t>
      </w:r>
    </w:p>
    <w:p>
      <w:pPr>
        <w:pStyle w:val="Compact"/>
        <w:numPr>
          <w:ilvl w:val="0"/>
          <w:numId w:val="1024"/>
        </w:numPr>
      </w:pPr>
      <w:r>
        <w:t xml:space="preserve">Confirm that no newer peer-reviewed system combines semantic multipage recomposition, e-ink form-factor comparison, and annotation persistence.</w:t>
      </w:r>
    </w:p>
    <w:p>
      <w:pPr>
        <w:pStyle w:val="Compact"/>
        <w:numPr>
          <w:ilvl w:val="0"/>
          <w:numId w:val="1024"/>
        </w:numPr>
      </w:pPr>
      <w:r>
        <w:t xml:space="preserve">Select one openly licensed paper with trusted JATS or LaTeX source and a matching PDF.</w:t>
      </w:r>
    </w:p>
    <w:p>
      <w:pPr>
        <w:pStyle w:val="Compact"/>
        <w:numPr>
          <w:ilvl w:val="0"/>
          <w:numId w:val="1024"/>
        </w:numPr>
      </w:pPr>
      <w:r>
        <w:t xml:space="preserve">Define the canonical graph and provenance mapping before selecting a PDF parser.</w:t>
      </w:r>
    </w:p>
    <w:p>
      <w:pPr>
        <w:pStyle w:val="Compact"/>
        <w:numPr>
          <w:ilvl w:val="0"/>
          <w:numId w:val="1024"/>
        </w:numPr>
      </w:pPr>
      <w:r>
        <w:t xml:space="preserve">Reproduce at least one baseline: original PDF and simple single-column geometric reflow.</w:t>
      </w:r>
    </w:p>
    <w:p>
      <w:pPr>
        <w:pStyle w:val="Compact"/>
        <w:numPr>
          <w:ilvl w:val="0"/>
          <w:numId w:val="1024"/>
        </w:numPr>
      </w:pPr>
      <w:r>
        <w:t xml:space="preserve">Define “faithfulness” as testable invariants, not a visual impression.</w:t>
      </w:r>
    </w:p>
    <w:p>
      <w:pPr>
        <w:pStyle w:val="Compact"/>
        <w:numPr>
          <w:ilvl w:val="0"/>
          <w:numId w:val="1024"/>
        </w:numPr>
      </w:pPr>
      <w:r>
        <w:t xml:space="preserve">Decide which complex objects remain atomic in P0.</w:t>
      </w:r>
    </w:p>
    <w:p>
      <w:pPr>
        <w:pStyle w:val="Compact"/>
        <w:numPr>
          <w:ilvl w:val="0"/>
          <w:numId w:val="1024"/>
        </w:numPr>
      </w:pPr>
      <w:r>
        <w:t xml:space="preserve">Add citation keys from the accompanying BibTeX file to the repository.</w:t>
      </w:r>
    </w:p>
    <w:bookmarkEnd w:id="76"/>
    <w:bookmarkStart w:id="77" w:name="Xae38cfdc7d64054355805c89df33a7303e2dbef"/>
    <w:p>
      <w:pPr>
        <w:pStyle w:val="Heading2"/>
      </w:pPr>
      <w:r>
        <w:t xml:space="preserve">14.3 Questions the agent must resolve</w:t>
      </w:r>
    </w:p>
    <w:p>
      <w:pPr>
        <w:pStyle w:val="Compact"/>
        <w:numPr>
          <w:ilvl w:val="0"/>
          <w:numId w:val="1025"/>
        </w:numPr>
      </w:pPr>
      <w:r>
        <w:t xml:space="preserve">Is pagination performed by a browser/CSS engine, a dedicated paged-media renderer, or a custom fragmentation layer?</w:t>
      </w:r>
    </w:p>
    <w:p>
      <w:pPr>
        <w:pStyle w:val="Compact"/>
        <w:numPr>
          <w:ilvl w:val="0"/>
          <w:numId w:val="1025"/>
        </w:numPr>
      </w:pPr>
      <w:r>
        <w:t xml:space="preserve">Which decisions are declarative policy versus engine behaviour?</w:t>
      </w:r>
    </w:p>
    <w:p>
      <w:pPr>
        <w:pStyle w:val="Compact"/>
        <w:numPr>
          <w:ilvl w:val="0"/>
          <w:numId w:val="1025"/>
        </w:numPr>
      </w:pPr>
      <w:r>
        <w:t xml:space="preserve">How is a stable reading anchor represented across line and page changes?</w:t>
      </w:r>
    </w:p>
    <w:p>
      <w:pPr>
        <w:pStyle w:val="Compact"/>
        <w:numPr>
          <w:ilvl w:val="0"/>
          <w:numId w:val="1025"/>
        </w:numPr>
      </w:pPr>
      <w:r>
        <w:t xml:space="preserve">What is the fallback when a parser cannot confidently associate a caption or reference?</w:t>
      </w:r>
    </w:p>
    <w:p>
      <w:pPr>
        <w:pStyle w:val="Compact"/>
        <w:numPr>
          <w:ilvl w:val="0"/>
          <w:numId w:val="1025"/>
        </w:numPr>
      </w:pPr>
      <w:r>
        <w:t xml:space="preserve">How is designer intent recorded: new coordinates, a target-specific rule, or an override with scope?</w:t>
      </w:r>
    </w:p>
    <w:p>
      <w:pPr>
        <w:pStyle w:val="Compact"/>
        <w:numPr>
          <w:ilvl w:val="0"/>
          <w:numId w:val="1025"/>
        </w:numPr>
      </w:pPr>
      <w:r>
        <w:t xml:space="preserve">Does progressive pagination expose provisional page numbers, percentages, semantic locations, or chapter positions?</w:t>
      </w:r>
    </w:p>
    <w:p>
      <w:pPr>
        <w:pStyle w:val="Compact"/>
        <w:numPr>
          <w:ilvl w:val="0"/>
          <w:numId w:val="1025"/>
        </w:numPr>
      </w:pPr>
      <w:r>
        <w:t xml:space="preserve">What constitutes a “stable” layout region for latency evaluation?</w:t>
      </w:r>
    </w:p>
    <w:bookmarkEnd w:id="77"/>
    <w:bookmarkStart w:id="78" w:name="Xe4fdce783c9bb5193c136b1ba91849b9a7438bd"/>
    <w:p>
      <w:pPr>
        <w:pStyle w:val="Heading2"/>
      </w:pPr>
      <w:r>
        <w:t xml:space="preserve">14.4 Recommended repository evidence folder</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/research</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/papers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README.md              # citation key, status, relevance, notes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/prior-art</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marinai-2013-comparison.md</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capability-matrix.md</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/protocols</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search-protocol.md</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engineering-evaluation.md</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user-study-outline.md</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  references.bib</w:t>
      </w:r>
    </w:p>
    <w:bookmarkEnd w:id="78"/>
    <w:bookmarkStart w:id="79" w:name="X72fb97102a47c896abdeec744bb6936046eac5c"/>
    <w:p>
      <w:pPr>
        <w:pStyle w:val="Heading2"/>
      </w:pPr>
      <w:r>
        <w:t xml:space="preserve">14.5 Formal-review search strings</w:t>
      </w:r>
    </w:p>
    <w:p>
      <w:pPr>
        <w:pStyle w:val="FirstParagraph"/>
      </w:pPr>
      <w:r>
        <w:t xml:space="preserve">Use variations of:</w:t>
      </w:r>
    </w:p>
    <w:p>
      <w:pPr>
        <w:pStyle w:val="SourceCode"/>
        <w:spacing w:before="80" w:after="140" w:line="240" w:lineRule="auto"/>
        <w:ind w:left="259" w:right="173"/>
        <w:shd w:fill="F3F5F7" w:val="clear"/>
        <w:pBdr>
          <w:left w:val="single" w:sz="10" w:space="5" w:color="4F81BD"/>
        </w:pBdr>
      </w:pPr>
      <w:r>
        <w:rPr>
          <w:rStyle w:val="VerbatimChar"/>
          <w:rFonts w:ascii="Noto Sans Mono" w:hAnsi="Noto Sans Mono" w:eastAsia="Noto Sans Mono"/>
          <w:color w:val="222B35"/>
          <w:sz w:val="16"/>
        </w:rPr>
        <w:t xml:space="preserve">("adaptive document layout" OR "responsive document" OR "automatic document formatting")</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AND (pagination OR typesetting OR composition)</w:t>
      </w:r>
      <w:r>
        <w:rPr>
          <w:rFonts w:ascii="Noto Sans Mono" w:hAnsi="Noto Sans Mono" w:eastAsia="Noto Sans Mono"/>
          <w:color w:val="222B35"/>
          <w:sz w:val="16"/>
        </w:rPr>
        <w:br/>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(PDF OR "scientific paper")</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AND (reflow OR "EPUB conversion" OR "responsive reading")</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AND (ebook OR "e-ink" OR tablet)</w:t>
      </w:r>
      <w:r>
        <w:rPr>
          <w:rFonts w:ascii="Noto Sans Mono" w:hAnsi="Noto Sans Mono" w:eastAsia="Noto Sans Mono"/>
          <w:color w:val="222B35"/>
          <w:sz w:val="16"/>
        </w:rPr>
        <w:br/>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(annotation OR "digital ink" OR highlight)</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AND (reflow OR responsive OR "document change")</w:t>
      </w:r>
      <w:r>
        <w:rPr>
          <w:rFonts w:ascii="Noto Sans Mono" w:hAnsi="Noto Sans Mono" w:eastAsia="Noto Sans Mono"/>
          <w:color w:val="222B35"/>
          <w:sz w:val="16"/>
        </w:rPr>
        <w:br/>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("scholarly PDF" OR "scientific document")</w:t>
      </w:r>
      <w:r>
        <w:rPr>
          <w:rFonts w:ascii="Noto Sans Mono" w:hAnsi="Noto Sans Mono" w:eastAsia="Noto Sans Mono"/>
          <w:color w:val="222B35"/>
          <w:sz w:val="16"/>
        </w:rPr>
        <w:br/>
      </w:r>
      <w:r>
        <w:rPr>
          <w:rStyle w:val="VerbatimChar"/>
          <w:rFonts w:ascii="Noto Sans Mono" w:hAnsi="Noto Sans Mono" w:eastAsia="Noto Sans Mono"/>
          <w:color w:val="222B35"/>
          <w:sz w:val="16"/>
        </w:rPr>
        <w:t xml:space="preserve">AND (semantic extraction OR structured HTML OR JATS)</w:t>
      </w:r>
    </w:p>
    <w:p>
      <w:pPr>
        <w:pStyle w:val="FirstParagraph"/>
      </w:pPr>
      <w:r>
        <w:t xml:space="preserve">Record exact database syntax, dates, result counts, screening decisions, and backward/forward citations.</w:t>
      </w:r>
    </w:p>
    <w:bookmarkEnd w:id="79"/>
    <w:bookmarkEnd w:id="80"/>
    <w:bookmarkStart w:id="86" w:name="X4acc3d7e38ac77f5e71d6e979903dd3410a65d7"/>
    <w:p>
      <w:pPr>
        <w:pStyle w:val="Heading1"/>
      </w:pPr>
      <w:r>
        <w:t xml:space="preserve">15. Annotated core bibliography</w:t>
      </w:r>
    </w:p>
    <w:bookmarkStart w:id="81" w:name="Xd8d33a94eddfa4088627431012913af2354e8fa"/>
    <w:p>
      <w:pPr>
        <w:pStyle w:val="Heading2"/>
      </w:pPr>
      <w:r>
        <w:t xml:space="preserve">15.1 Adaptive layout and composition</w:t>
      </w:r>
    </w:p>
    <w:p>
      <w:pPr>
        <w:pStyle w:val="FirstParagraph"/>
        <w:keepNext w:val="0"/>
        <w:spacing w:before="140" w:after="40"/>
      </w:pPr>
      <w:r>
        <w:rPr>
          <w:b/>
          <w:bCs/>
        </w:rPr>
        <w:t xml:space="preserve">Jacobs, Li, Schrier, Bargeron, and Salesin (2003), “Adaptive Grid-Based Document Layout.”</w:t>
      </w:r>
      <w:r>
        <w:br/>
      </w:r>
      <w:r>
        <w:t xml:space="preserve">A foundational template/grid approach for adapting document style to different display conditions. Use it to position SRT within automatic composition rather than ordinary responsive CSS.</w:t>
      </w:r>
    </w:p>
    <w:p>
      <w:pPr>
        <w:pStyle w:val="BodyText"/>
        <w:keepNext w:val="0"/>
        <w:spacing w:before="140" w:after="40"/>
      </w:pPr>
      <w:r>
        <w:rPr>
          <w:b/>
          <w:bCs/>
        </w:rPr>
        <w:t xml:space="preserve">Jacobs et al. (2004), “Adaptive Document Layout.”</w:t>
      </w:r>
      <w:r>
        <w:br/>
      </w:r>
      <w:r>
        <w:t xml:space="preserve">The clearest early articulation of dynamically reformatting, resizing, and paginating text and graphics across displays. It prevents overclaiming the general concept.</w:t>
      </w:r>
    </w:p>
    <w:p>
      <w:pPr>
        <w:pStyle w:val="BodyText"/>
        <w:keepNext w:val="0"/>
        <w:spacing w:before="140" w:after="40"/>
      </w:pPr>
      <w:r>
        <w:rPr>
          <w:b/>
          <w:bCs/>
        </w:rPr>
        <w:t xml:space="preserve">Schrier et al. (2008), “Adaptive Layout for Dynamically Aggregated Documents.”</w:t>
      </w:r>
      <w:r>
        <w:br/>
      </w:r>
      <w:r>
        <w:t xml:space="preserve">Demonstrates adaptive composition for content assembled dynamically. Relevant to data-driven publishing and the user’s current workflow.</w:t>
      </w:r>
    </w:p>
    <w:p>
      <w:pPr>
        <w:pStyle w:val="BodyText"/>
        <w:keepNext w:val="0"/>
        <w:spacing w:before="140" w:after="40"/>
      </w:pPr>
      <w:r>
        <w:rPr>
          <w:b/>
          <w:bCs/>
        </w:rPr>
        <w:t xml:space="preserve">Hurst, Li, and Marriott (2009), “Review of Automatic Document Formatting.”</w:t>
      </w:r>
      <w:r>
        <w:br/>
      </w:r>
      <w:r>
        <w:t xml:space="preserve">A useful map of line breaking, page composition, tables, diagrams, templates, and optimization. Read before defining the engine as a wholly new category.</w:t>
      </w:r>
    </w:p>
    <w:p>
      <w:pPr>
        <w:pStyle w:val="BodyText"/>
        <w:keepNext w:val="0"/>
        <w:spacing w:before="140" w:after="40"/>
      </w:pPr>
      <w:r>
        <w:rPr>
          <w:b/>
          <w:bCs/>
        </w:rPr>
        <w:t xml:space="preserve">Chen et al. (2023), “DocDancer: Authoring Ultra-Responsive Documents with Layout Generation.”</w:t>
      </w:r>
      <w:r>
        <w:br/>
      </w:r>
      <w:r>
        <w:t xml:space="preserve">A contemporary authoring system where layout and content respond to multiple factors. Important for the unified-model and designer-workflow aspects of the POC.</w:t>
      </w:r>
    </w:p>
    <w:p>
      <w:pPr>
        <w:pStyle w:val="BodyText"/>
        <w:keepNext w:val="0"/>
        <w:spacing w:before="140" w:after="40"/>
      </w:pPr>
      <w:r>
        <w:rPr>
          <w:b/>
          <w:bCs/>
        </w:rPr>
        <w:t xml:space="preserve">Jiang et al. (2024), “FlexDoc.”</w:t>
      </w:r>
      <w:r>
        <w:br/>
      </w:r>
      <w:r>
        <w:t xml:space="preserve">Shows joint discrete/continuous optimization of content and layout. Its summarization and image-carving strategies are useful contrasts for SRT’s fidelity-constrained scholarly mode.</w:t>
      </w:r>
    </w:p>
    <w:bookmarkEnd w:id="81"/>
    <w:bookmarkStart w:id="82" w:name="X9cfaab6c8673e8c61dddf3967b559f688c5022b"/>
    <w:p>
      <w:pPr>
        <w:pStyle w:val="Heading2"/>
      </w:pPr>
      <w:r>
        <w:t xml:space="preserve">15.2 PDF reconstruction and reflow</w:t>
      </w:r>
    </w:p>
    <w:p>
      <w:pPr>
        <w:pStyle w:val="FirstParagraph"/>
        <w:keepNext w:val="0"/>
        <w:spacing w:before="140" w:after="40"/>
      </w:pPr>
      <w:r>
        <w:rPr>
          <w:b/>
          <w:bCs/>
        </w:rPr>
        <w:t xml:space="preserve">Marinai, Marino, and Soda (2011), “Conversion of PDF Books in ePub Format.”</w:t>
      </w:r>
      <w:r>
        <w:br/>
      </w:r>
      <w:r>
        <w:t xml:space="preserve">Direct PDF-to-EPUB prior art. Frames conversion as reversing pagination and recovering structure.</w:t>
      </w:r>
    </w:p>
    <w:p>
      <w:pPr>
        <w:pStyle w:val="BodyText"/>
        <w:keepNext w:val="0"/>
        <w:spacing w:before="140" w:after="40"/>
      </w:pPr>
      <w:r>
        <w:rPr>
          <w:b/>
          <w:bCs/>
        </w:rPr>
        <w:t xml:space="preserve">Marinai (2013), “Reflowing and Annotating Scientific Papers on eBook Readers.”</w:t>
      </w:r>
      <w:r>
        <w:br/>
      </w:r>
      <w:r>
        <w:t xml:space="preserve">The closest direct predecessor: single-column scientific-paper reflow for e-book readers plus annotation mapping. The new work must differentiate itself explicitly.</w:t>
      </w:r>
    </w:p>
    <w:p>
      <w:pPr>
        <w:pStyle w:val="BodyText"/>
        <w:keepNext w:val="0"/>
        <w:spacing w:before="140" w:after="40"/>
      </w:pPr>
      <w:r>
        <w:rPr>
          <w:b/>
          <w:bCs/>
        </w:rPr>
        <w:t xml:space="preserve">Wang et al. (2021), “SciA11y: Converting Scientific Papers to Accessible HTML.”</w:t>
      </w:r>
      <w:r>
        <w:br/>
      </w:r>
      <w:r>
        <w:t xml:space="preserve">A modern system-level precedent for reconstructing scholarly PDFs into a semantic reading representation, with accessibility-centered evaluation.</w:t>
      </w:r>
    </w:p>
    <w:bookmarkEnd w:id="82"/>
    <w:bookmarkStart w:id="83" w:name="X7ed303b3189057e98743d15280de3efc6b00df1"/>
    <w:p>
      <w:pPr>
        <w:pStyle w:val="Heading2"/>
      </w:pPr>
      <w:r>
        <w:t xml:space="preserve">15.3 Document intelligence</w:t>
      </w:r>
    </w:p>
    <w:p>
      <w:pPr>
        <w:pStyle w:val="FirstParagraph"/>
        <w:keepNext w:val="0"/>
        <w:spacing w:before="140" w:after="40"/>
      </w:pPr>
      <w:r>
        <w:rPr>
          <w:b/>
          <w:bCs/>
        </w:rPr>
        <w:t xml:space="preserve">Zhong, Tang, and Jimeno Yepes (2019), “PubLayNet.”</w:t>
      </w:r>
      <w:r>
        <w:br/>
      </w:r>
      <w:r>
        <w:t xml:space="preserve">Large-scale PDF/XML alignment for document-layout analysis. Supports the idea of using structured publisher data as ground truth.</w:t>
      </w:r>
    </w:p>
    <w:p>
      <w:pPr>
        <w:pStyle w:val="BodyText"/>
        <w:keepNext w:val="0"/>
        <w:spacing w:before="140" w:after="40"/>
      </w:pPr>
      <w:r>
        <w:rPr>
          <w:b/>
          <w:bCs/>
        </w:rPr>
        <w:t xml:space="preserve">Lo et al. (2020), “S2ORC.”</w:t>
      </w:r>
      <w:r>
        <w:br/>
      </w:r>
      <w:r>
        <w:t xml:space="preserve">Demonstrates large-scale scholarly records with linked citations, figures, and tables. Useful as a model for canonical relationships.</w:t>
      </w:r>
    </w:p>
    <w:p>
      <w:pPr>
        <w:pStyle w:val="BodyText"/>
        <w:keepNext w:val="0"/>
        <w:spacing w:before="140" w:after="40"/>
      </w:pPr>
      <w:r>
        <w:rPr>
          <w:b/>
          <w:bCs/>
        </w:rPr>
        <w:t xml:space="preserve">Pfitzmann et al. (2022), “DocLayNet.”</w:t>
      </w:r>
      <w:r>
        <w:br/>
      </w:r>
      <w:r>
        <w:t xml:space="preserve">A diverse human-annotated layout dataset. Its remaining gap to human agreement is a reminder to expose confidence and fallback behaviour.</w:t>
      </w:r>
    </w:p>
    <w:p>
      <w:pPr>
        <w:pStyle w:val="BodyText"/>
        <w:keepNext w:val="0"/>
        <w:spacing w:before="140" w:after="40"/>
      </w:pPr>
      <w:r>
        <w:rPr>
          <w:b/>
          <w:bCs/>
        </w:rPr>
        <w:t xml:space="preserve">Shen et al. (2022), “VILA.”</w:t>
      </w:r>
      <w:r>
        <w:br/>
      </w:r>
      <w:r>
        <w:t xml:space="preserve">Treats lines and blocks as visual-layout groups for structured extraction. Relevant to reconstructing paragraph and section structure from PDFs.</w:t>
      </w:r>
    </w:p>
    <w:p>
      <w:pPr>
        <w:pStyle w:val="BodyText"/>
        <w:keepNext w:val="0"/>
        <w:spacing w:before="140" w:after="40"/>
      </w:pPr>
      <w:r>
        <w:rPr>
          <w:b/>
          <w:bCs/>
        </w:rPr>
        <w:t xml:space="preserve">Blecher et al. (2023), “Nougat.”</w:t>
      </w:r>
      <w:r>
        <w:br/>
      </w:r>
      <w:r>
        <w:t xml:space="preserve">A visual-to-markup model designed for academic documents and mathematics. Useful for equation-rich inputs, but not a complete composition architecture.</w:t>
      </w:r>
    </w:p>
    <w:p>
      <w:pPr>
        <w:pStyle w:val="BodyText"/>
        <w:keepNext w:val="0"/>
        <w:spacing w:before="140" w:after="40"/>
      </w:pPr>
      <w:r>
        <w:rPr>
          <w:b/>
          <w:bCs/>
        </w:rPr>
        <w:t xml:space="preserve">Auer et al. (2024), “Docling Technical Report.”</w:t>
      </w:r>
      <w:r>
        <w:br/>
      </w:r>
      <w:r>
        <w:t xml:space="preserve">An open-source conversion toolkit producing a unified rich representation. A practical candidate for the later PDF adapter.</w:t>
      </w:r>
    </w:p>
    <w:p>
      <w:pPr>
        <w:pStyle w:val="BodyText"/>
        <w:keepNext w:val="0"/>
        <w:spacing w:before="140" w:after="40"/>
      </w:pPr>
      <w:r>
        <w:rPr>
          <w:b/>
          <w:bCs/>
        </w:rPr>
        <w:t xml:space="preserve">Wang et al. (2024), “MinerU.”</w:t>
      </w:r>
      <w:r>
        <w:br/>
      </w:r>
      <w:r>
        <w:t xml:space="preserve">An open-source extraction pipeline combining models and rules across diverse documents. Another practical ingestion candidate.</w:t>
      </w:r>
    </w:p>
    <w:bookmarkEnd w:id="83"/>
    <w:bookmarkStart w:id="84" w:name="X9574703c2dde5bf4bfa259a380db5dd2501da3b"/>
    <w:p>
      <w:pPr>
        <w:pStyle w:val="Heading2"/>
      </w:pPr>
      <w:r>
        <w:t xml:space="preserve">15.4 Reading and annotation</w:t>
      </w:r>
    </w:p>
    <w:p>
      <w:pPr>
        <w:pStyle w:val="FirstParagraph"/>
        <w:keepNext w:val="0"/>
        <w:spacing w:before="140" w:after="40"/>
      </w:pPr>
      <w:r>
        <w:rPr>
          <w:b/>
          <w:bCs/>
        </w:rPr>
        <w:t xml:space="preserve">Thayer et al. (2011), “The Imposition and Superimposition of Digital Reading Technology.”</w:t>
      </w:r>
      <w:r>
        <w:br/>
      </w:r>
      <w:r>
        <w:t xml:space="preserve">A long-term qualitative study of graduate students using a Kindle DX. Useful for defining active-reading tasks and compensatory behaviours.</w:t>
      </w:r>
    </w:p>
    <w:p>
      <w:pPr>
        <w:pStyle w:val="BodyText"/>
        <w:keepNext w:val="0"/>
        <w:spacing w:before="140" w:after="40"/>
      </w:pPr>
      <w:r>
        <w:rPr>
          <w:b/>
          <w:bCs/>
        </w:rPr>
        <w:t xml:space="preserve">Siegenthaler et al. (2011), “Comparing Reading Processes on E-Ink Displays and Print.”</w:t>
      </w:r>
      <w:r>
        <w:br/>
      </w:r>
      <w:r>
        <w:t xml:space="preserve">Shows that e-ink can support broadly print-like eye-movement patterns, helping isolate layout mismatch from display-medium effects.</w:t>
      </w:r>
    </w:p>
    <w:p>
      <w:pPr>
        <w:pStyle w:val="BodyText"/>
        <w:keepNext w:val="0"/>
        <w:spacing w:before="140" w:after="40"/>
      </w:pPr>
      <w:r>
        <w:rPr>
          <w:b/>
          <w:bCs/>
        </w:rPr>
        <w:t xml:space="preserve">Benedetto et al. (2013), “E-Readers and Visual Fatigue.”</w:t>
      </w:r>
      <w:r>
        <w:br/>
      </w:r>
      <w:r>
        <w:t xml:space="preserve">Compares paper, e-ink, and LCD in prolonged reading. Useful background, but not evidence about responsive scholarly layout.</w:t>
      </w:r>
    </w:p>
    <w:p>
      <w:pPr>
        <w:pStyle w:val="BodyText"/>
        <w:keepNext w:val="0"/>
        <w:spacing w:before="140" w:after="40"/>
      </w:pPr>
      <w:r>
        <w:rPr>
          <w:b/>
          <w:bCs/>
        </w:rPr>
        <w:t xml:space="preserve">Haverkamp et al. (2023), “Is It the Size, the Movement, or Both?”</w:t>
      </w:r>
      <w:r>
        <w:br/>
      </w:r>
      <w:r>
        <w:t xml:space="preserve">Directly motivates crossing viewport size with paging/scrolling or representation rather than treating screen size as a single independent cause.</w:t>
      </w:r>
    </w:p>
    <w:p>
      <w:pPr>
        <w:pStyle w:val="BodyText"/>
        <w:keepNext w:val="0"/>
        <w:spacing w:before="140" w:after="40"/>
      </w:pPr>
      <w:r>
        <w:rPr>
          <w:b/>
          <w:bCs/>
        </w:rPr>
        <w:t xml:space="preserve">Lo et al. (2024), “The Semantic Reader Project.”</w:t>
      </w:r>
      <w:r>
        <w:br/>
      </w:r>
      <w:r>
        <w:t xml:space="preserve">A major modern program augmenting scholarly PDFs with interactive reading interfaces. Adjacent evidence for semantic navigation and active-reading design.</w:t>
      </w:r>
    </w:p>
    <w:p>
      <w:pPr>
        <w:pStyle w:val="BodyText"/>
        <w:keepNext w:val="0"/>
        <w:spacing w:before="140" w:after="40"/>
      </w:pPr>
      <w:r>
        <w:rPr>
          <w:b/>
          <w:bCs/>
        </w:rPr>
        <w:t xml:space="preserve">Brush et al. (2001), “Robust Annotation Positioning in Digital Documents.”</w:t>
      </w:r>
      <w:r>
        <w:br/>
      </w:r>
      <w:r>
        <w:t xml:space="preserve">A foundation for anchoring annotations to content that may change.</w:t>
      </w:r>
    </w:p>
    <w:p>
      <w:pPr>
        <w:pStyle w:val="BodyText"/>
        <w:keepNext w:val="0"/>
        <w:spacing w:before="140" w:after="40"/>
      </w:pPr>
      <w:r>
        <w:rPr>
          <w:b/>
          <w:bCs/>
        </w:rPr>
        <w:t xml:space="preserve">Golovchinsky and Denoue (2002), “Moving Markup.”</w:t>
      </w:r>
      <w:r>
        <w:br/>
      </w:r>
      <w:r>
        <w:t xml:space="preserve">Demonstrates free-form annotation repositioning across font, size, aspect-ratio, and device changes.</w:t>
      </w:r>
    </w:p>
    <w:p>
      <w:pPr>
        <w:pStyle w:val="BodyText"/>
        <w:keepNext w:val="0"/>
        <w:spacing w:before="140" w:after="40"/>
      </w:pPr>
      <w:r>
        <w:rPr>
          <w:b/>
          <w:bCs/>
        </w:rPr>
        <w:t xml:space="preserve">Bargeron and Moscovich (2003), “Reflowing Digital Ink Annotations.”</w:t>
      </w:r>
      <w:r>
        <w:br/>
      </w:r>
      <w:r>
        <w:t xml:space="preserve">Studies the difficult case where the underlying text reflows and handwriting must be transformed or reassigned.</w:t>
      </w:r>
    </w:p>
    <w:p>
      <w:pPr>
        <w:pStyle w:val="BodyText"/>
        <w:keepNext w:val="0"/>
        <w:spacing w:before="140" w:after="40"/>
      </w:pPr>
      <w:r>
        <w:rPr>
          <w:b/>
          <w:bCs/>
        </w:rPr>
        <w:t xml:space="preserve">Sutherland, Luxton-Reilly, and Plimmer (2016), systematic mapping study.</w:t>
      </w:r>
      <w:r>
        <w:br/>
      </w:r>
      <w:r>
        <w:t xml:space="preserve">Shows that changing documents remain less well covered than static annotation scenarios.</w:t>
      </w:r>
    </w:p>
    <w:bookmarkEnd w:id="84"/>
    <w:bookmarkStart w:id="85" w:name="X86a4f4427f64b86dfbd440d83c64f0141adb394"/>
    <w:p>
      <w:pPr>
        <w:pStyle w:val="Heading2"/>
      </w:pPr>
      <w:r>
        <w:t xml:space="preserve">15.5 Standards</w:t>
      </w:r>
    </w:p>
    <w:p>
      <w:pPr>
        <w:pStyle w:val="FirstParagraph"/>
        <w:keepNext w:val="0"/>
        <w:spacing w:before="140" w:after="40"/>
      </w:pPr>
      <w:r>
        <w:rPr>
          <w:b/>
          <w:bCs/>
        </w:rPr>
        <w:t xml:space="preserve">JATS 1.4 (ANSI/NISO Z39.96-2024).</w:t>
      </w:r>
      <w:r>
        <w:br/>
      </w:r>
      <w:r>
        <w:t xml:space="preserve">The strongest off-the-shelf semantic vocabulary for journal articles. Use as the conceptual base for the canonical graph.</w:t>
      </w:r>
    </w:p>
    <w:p>
      <w:pPr>
        <w:pStyle w:val="BodyText"/>
        <w:keepNext w:val="0"/>
        <w:spacing w:before="140" w:after="40"/>
      </w:pPr>
      <w:r>
        <w:rPr>
          <w:b/>
          <w:bCs/>
        </w:rPr>
        <w:t xml:space="preserve">EPUB 3.3.</w:t>
      </w:r>
      <w:r>
        <w:br/>
      </w:r>
      <w:r>
        <w:t xml:space="preserve">A reflowable delivery standard built on web technologies. Treat EPUB as a rendition, not the source of truth.</w:t>
      </w:r>
    </w:p>
    <w:p>
      <w:pPr>
        <w:pStyle w:val="BodyText"/>
        <w:keepNext w:val="0"/>
        <w:spacing w:before="140" w:after="40"/>
      </w:pPr>
      <w:r>
        <w:rPr>
          <w:b/>
          <w:bCs/>
        </w:rPr>
        <w:t xml:space="preserve">CSS Fragmentation Module Level 3.</w:t>
      </w:r>
      <w:r>
        <w:br/>
      </w:r>
      <w:r>
        <w:t xml:space="preserve">Defines the model for partitioning content flow across pages and columns. Central to finite-height responsive composition.</w:t>
      </w:r>
    </w:p>
    <w:p>
      <w:pPr>
        <w:pStyle w:val="BodyText"/>
        <w:keepNext w:val="0"/>
        <w:spacing w:before="140" w:after="40"/>
      </w:pPr>
      <w:r>
        <w:rPr>
          <w:b/>
          <w:bCs/>
        </w:rPr>
        <w:t xml:space="preserve">W3C Web Annotation Data Model.</w:t>
      </w:r>
      <w:r>
        <w:br/>
      </w:r>
      <w:r>
        <w:t xml:space="preserve">Provides the target/selector architecture for portable semantic annotations.</w:t>
      </w:r>
    </w:p>
    <w:p>
      <w:pPr>
        <w:pStyle w:val="BodyText"/>
        <w:keepNext w:val="0"/>
        <w:spacing w:before="140" w:after="40"/>
      </w:pPr>
      <w:r>
        <w:rPr>
          <w:b/>
          <w:bCs/>
        </w:rPr>
        <w:t xml:space="preserve">EPUB Annotations 1.0 Working Draft.</w:t>
      </w:r>
      <w:r>
        <w:br/>
      </w:r>
      <w:r>
        <w:t xml:space="preserve">A current, draft bridge between Web Annotation and EPUB. Useful for design alignment, but its status should be tracked.</w:t>
      </w:r>
    </w:p>
    <w:bookmarkEnd w:id="85"/>
    <w:bookmarkEnd w:id="86"/>
    <w:bookmarkStart w:id="117" w:name="Xb6139350f39de02fa48d7c76cf52049007015ef"/>
    <w:p>
      <w:pPr>
        <w:pStyle w:val="Heading1"/>
        <w:pageBreakBefore/>
      </w:pPr>
      <w:r>
        <w:t xml:space="preserve">16. Full references</w:t>
      </w:r>
    </w:p>
    <w:p>
      <w:pPr>
        <w:pStyle w:val="FirstParagraph"/>
        <w:spacing w:after="80" w:line="240" w:lineRule="auto"/>
        <w:ind w:left="331" w:hanging="331"/>
      </w:pPr>
      <w:r>
        <w:rPr>
          <w:sz w:val="16"/>
        </w:rPr>
        <w:t xml:space="preserve">Auer, C., Lysak, M., Nassar, A., Dolfi, M., Livathinos, N., Vagenas, P., et al. (2024).</w:t>
      </w:r>
      <w:r>
        <w:rPr>
          <w:sz w:val="16"/>
        </w:rPr>
        <w:t xml:space="preserve"> </w:t>
      </w:r>
      <w:r>
        <w:rPr>
          <w:i/>
          <w:iCs/>
          <w:sz w:val="16"/>
        </w:rPr>
        <w:t xml:space="preserve">Docling Technical Report</w:t>
      </w:r>
      <w:r>
        <w:rPr>
          <w:sz w:val="16"/>
        </w:rPr>
        <w:t xml:space="preserve">. arXiv:2408.09869.</w:t>
      </w:r>
      <w:r>
        <w:rPr>
          <w:sz w:val="16"/>
        </w:rPr>
        <w:t xml:space="preserve"> </w:t>
      </w:r>
      <w:hyperlink r:id="rId87">
        <w:r>
          <w:rPr>
            <w:rStyle w:val="Hyperlink"/>
          </w:rPr>
          <w:t xml:space="preserve">https://doi.org/10.48550/arXiv.2408.09869</w:t>
        </w:r>
      </w:hyperlink>
    </w:p>
    <w:p>
      <w:pPr>
        <w:pStyle w:val="BodyText"/>
        <w:spacing w:after="80" w:line="240" w:lineRule="auto"/>
        <w:ind w:left="331" w:hanging="331"/>
      </w:pPr>
      <w:r>
        <w:rPr>
          <w:sz w:val="16"/>
        </w:rPr>
        <w:t xml:space="preserve">Bargeron, D., &amp; Moscovich, T. (2003). Reflowing digital ink annotations. In</w:t>
      </w:r>
      <w:r>
        <w:rPr>
          <w:sz w:val="16"/>
        </w:rPr>
        <w:t xml:space="preserve"> </w:t>
      </w:r>
      <w:r>
        <w:rPr>
          <w:i/>
          <w:iCs/>
          <w:sz w:val="16"/>
        </w:rPr>
        <w:t xml:space="preserve">Proceedings of CHI ’03</w:t>
      </w:r>
      <w:r>
        <w:rPr>
          <w:sz w:val="16"/>
        </w:rPr>
        <w:t xml:space="preserve"> </w:t>
      </w:r>
      <w:r>
        <w:rPr>
          <w:sz w:val="16"/>
        </w:rPr>
        <w:t xml:space="preserve">(pp. 385–393).</w:t>
      </w:r>
      <w:r>
        <w:rPr>
          <w:sz w:val="16"/>
        </w:rPr>
        <w:t xml:space="preserve"> </w:t>
      </w:r>
      <w:hyperlink r:id="rId88">
        <w:r>
          <w:rPr>
            <w:rStyle w:val="Hyperlink"/>
          </w:rPr>
          <w:t xml:space="preserve">https://doi.org/10.1145/642611.642678</w:t>
        </w:r>
      </w:hyperlink>
    </w:p>
    <w:p>
      <w:pPr>
        <w:pStyle w:val="BodyText"/>
        <w:spacing w:after="80" w:line="240" w:lineRule="auto"/>
        <w:ind w:left="331" w:hanging="331"/>
      </w:pPr>
      <w:r>
        <w:rPr>
          <w:sz w:val="16"/>
        </w:rPr>
        <w:t xml:space="preserve">Benedetto, S., Drai-Zerbib, V., Pedrotti, M., Tissier, G., &amp; Baccino, T. (2013). E-readers and visual fatigue.</w:t>
      </w:r>
      <w:r>
        <w:rPr>
          <w:sz w:val="16"/>
        </w:rPr>
        <w:t xml:space="preserve"> </w:t>
      </w:r>
      <w:r>
        <w:rPr>
          <w:i/>
          <w:iCs/>
          <w:sz w:val="16"/>
        </w:rPr>
        <w:t xml:space="preserve">PLOS ONE, 8</w:t>
      </w:r>
      <w:r>
        <w:rPr>
          <w:sz w:val="16"/>
        </w:rPr>
        <w:t xml:space="preserve">(12), e83676.</w:t>
      </w:r>
      <w:r>
        <w:rPr>
          <w:sz w:val="16"/>
        </w:rPr>
        <w:t xml:space="preserve"> </w:t>
      </w:r>
      <w:hyperlink r:id="rId89">
        <w:r>
          <w:rPr>
            <w:rStyle w:val="Hyperlink"/>
          </w:rPr>
          <w:t xml:space="preserve">https://doi.org/10.1371/journal.pone.0083676</w:t>
        </w:r>
      </w:hyperlink>
    </w:p>
    <w:p>
      <w:pPr>
        <w:pStyle w:val="BodyText"/>
        <w:spacing w:after="80" w:line="240" w:lineRule="auto"/>
        <w:ind w:left="331" w:hanging="331"/>
      </w:pPr>
      <w:r>
        <w:rPr>
          <w:sz w:val="16"/>
        </w:rPr>
        <w:t xml:space="preserve">Blecher, L., Cucurull, G., Scialom, T., &amp; Stojnic, R. (2023).</w:t>
      </w:r>
      <w:r>
        <w:rPr>
          <w:sz w:val="16"/>
        </w:rPr>
        <w:t xml:space="preserve"> </w:t>
      </w:r>
      <w:r>
        <w:rPr>
          <w:i/>
          <w:iCs/>
          <w:sz w:val="16"/>
        </w:rPr>
        <w:t xml:space="preserve">Nougat: Neural Optical Understanding for Academic Documents</w:t>
      </w:r>
      <w:r>
        <w:rPr>
          <w:sz w:val="16"/>
        </w:rPr>
        <w:t xml:space="preserve">. arXiv:2308.13418.</w:t>
      </w:r>
      <w:r>
        <w:rPr>
          <w:sz w:val="16"/>
        </w:rPr>
        <w:t xml:space="preserve"> </w:t>
      </w:r>
      <w:hyperlink r:id="rId90">
        <w:r>
          <w:rPr>
            <w:rStyle w:val="Hyperlink"/>
          </w:rPr>
          <w:t xml:space="preserve">https://doi.org/10.48550/arXiv.2308.13418</w:t>
        </w:r>
      </w:hyperlink>
    </w:p>
    <w:p>
      <w:pPr>
        <w:pStyle w:val="BodyText"/>
        <w:spacing w:after="80" w:line="240" w:lineRule="auto"/>
        <w:ind w:left="331" w:hanging="331"/>
      </w:pPr>
      <w:r>
        <w:rPr>
          <w:sz w:val="16"/>
        </w:rPr>
        <w:t xml:space="preserve">Brush, A. J. B., Bargeron, D., Gupta, A., &amp; Cadiz, J. J. (2001). Robust annotation positioning in digital documents. In</w:t>
      </w:r>
      <w:r>
        <w:rPr>
          <w:sz w:val="16"/>
        </w:rPr>
        <w:t xml:space="preserve"> </w:t>
      </w:r>
      <w:r>
        <w:rPr>
          <w:i/>
          <w:iCs/>
          <w:sz w:val="16"/>
        </w:rPr>
        <w:t xml:space="preserve">Proceedings of CHI ’01</w:t>
      </w:r>
      <w:r>
        <w:rPr>
          <w:sz w:val="16"/>
        </w:rPr>
        <w:t xml:space="preserve"> </w:t>
      </w:r>
      <w:r>
        <w:rPr>
          <w:sz w:val="16"/>
        </w:rPr>
        <w:t xml:space="preserve">(pp. 285–292).</w:t>
      </w:r>
      <w:r>
        <w:rPr>
          <w:sz w:val="16"/>
        </w:rPr>
        <w:t xml:space="preserve"> </w:t>
      </w:r>
      <w:hyperlink r:id="rId91">
        <w:r>
          <w:rPr>
            <w:rStyle w:val="Hyperlink"/>
          </w:rPr>
          <w:t xml:space="preserve">https://doi.org/10.1145/365024.365117</w:t>
        </w:r>
      </w:hyperlink>
    </w:p>
    <w:p>
      <w:pPr>
        <w:pStyle w:val="BodyText"/>
        <w:spacing w:after="80" w:line="240" w:lineRule="auto"/>
        <w:ind w:left="331" w:hanging="331"/>
      </w:pPr>
      <w:r>
        <w:rPr>
          <w:sz w:val="16"/>
        </w:rPr>
        <w:t xml:space="preserve">Chen, Y., Liu, Z., Tensmeyer, C., Elmqvist, N., &amp; Morariu, V. I. (2023). DocDancer: Authoring ultra-responsive documents with layout generation. In</w:t>
      </w:r>
      <w:r>
        <w:rPr>
          <w:sz w:val="16"/>
        </w:rPr>
        <w:t xml:space="preserve"> </w:t>
      </w:r>
      <w:r>
        <w:rPr>
          <w:i/>
          <w:iCs/>
          <w:sz w:val="16"/>
        </w:rPr>
        <w:t xml:space="preserve">2023 IEEE Symposium on Visual Languages and Human-Centric Computing</w:t>
      </w:r>
      <w:r>
        <w:rPr>
          <w:sz w:val="16"/>
        </w:rPr>
        <w:t xml:space="preserve"> </w:t>
      </w:r>
      <w:r>
        <w:rPr>
          <w:sz w:val="16"/>
        </w:rPr>
        <w:t xml:space="preserve">(pp. 133–138).</w:t>
      </w:r>
      <w:r>
        <w:rPr>
          <w:sz w:val="16"/>
        </w:rPr>
        <w:t xml:space="preserve"> </w:t>
      </w:r>
      <w:hyperlink r:id="rId92">
        <w:r>
          <w:rPr>
            <w:rStyle w:val="Hyperlink"/>
          </w:rPr>
          <w:t xml:space="preserve">https://doi.org/10.1109/VL-HCC57772.2023.00023</w:t>
        </w:r>
      </w:hyperlink>
    </w:p>
    <w:p>
      <w:pPr>
        <w:pStyle w:val="BodyText"/>
        <w:spacing w:after="80" w:line="240" w:lineRule="auto"/>
        <w:ind w:left="331" w:hanging="331"/>
      </w:pPr>
      <w:r>
        <w:rPr>
          <w:sz w:val="16"/>
        </w:rPr>
        <w:t xml:space="preserve">Golovchinsky, G., &amp; Denoue, L. (2002). Moving markup: Repositioning freeform annotations. In</w:t>
      </w:r>
      <w:r>
        <w:rPr>
          <w:sz w:val="16"/>
        </w:rPr>
        <w:t xml:space="preserve"> </w:t>
      </w:r>
      <w:r>
        <w:rPr>
          <w:i/>
          <w:iCs/>
          <w:sz w:val="16"/>
        </w:rPr>
        <w:t xml:space="preserve">Proceedings of UIST ’02</w:t>
      </w:r>
      <w:r>
        <w:rPr>
          <w:sz w:val="16"/>
        </w:rPr>
        <w:t xml:space="preserve"> </w:t>
      </w:r>
      <w:r>
        <w:rPr>
          <w:sz w:val="16"/>
        </w:rPr>
        <w:t xml:space="preserve">(pp. 21–30).</w:t>
      </w:r>
      <w:r>
        <w:rPr>
          <w:sz w:val="16"/>
        </w:rPr>
        <w:t xml:space="preserve"> </w:t>
      </w:r>
      <w:hyperlink r:id="rId93">
        <w:r>
          <w:rPr>
            <w:rStyle w:val="Hyperlink"/>
          </w:rPr>
          <w:t xml:space="preserve">https://doi.org/10.1145/571985.571989</w:t>
        </w:r>
      </w:hyperlink>
    </w:p>
    <w:p>
      <w:pPr>
        <w:pStyle w:val="BodyText"/>
        <w:spacing w:after="80" w:line="240" w:lineRule="auto"/>
        <w:ind w:left="331" w:hanging="331"/>
      </w:pPr>
      <w:r>
        <w:rPr>
          <w:sz w:val="16"/>
        </w:rPr>
        <w:t xml:space="preserve">Haverkamp, Y. E., Bråten, I., Latini, N., &amp; Salmerón, L. (2023). Is it the size, the movement, or both? Investigating effects of screen size and text movement on processing, understanding, and motivation when students read informational text.</w:t>
      </w:r>
      <w:r>
        <w:rPr>
          <w:sz w:val="16"/>
        </w:rPr>
        <w:t xml:space="preserve"> </w:t>
      </w:r>
      <w:r>
        <w:rPr>
          <w:i/>
          <w:iCs/>
          <w:sz w:val="16"/>
        </w:rPr>
        <w:t xml:space="preserve">Reading and Writing, 36</w:t>
      </w:r>
      <w:r>
        <w:rPr>
          <w:sz w:val="16"/>
        </w:rPr>
        <w:t xml:space="preserve">, 1589–1608.</w:t>
      </w:r>
      <w:r>
        <w:rPr>
          <w:sz w:val="16"/>
        </w:rPr>
        <w:t xml:space="preserve"> </w:t>
      </w:r>
      <w:hyperlink r:id="rId94">
        <w:r>
          <w:rPr>
            <w:rStyle w:val="Hyperlink"/>
          </w:rPr>
          <w:t xml:space="preserve">https://doi.org/10.1007/s11145-022-10328-9</w:t>
        </w:r>
      </w:hyperlink>
    </w:p>
    <w:p>
      <w:pPr>
        <w:pStyle w:val="BodyText"/>
        <w:spacing w:after="80" w:line="240" w:lineRule="auto"/>
        <w:ind w:left="331" w:hanging="331"/>
      </w:pPr>
      <w:r>
        <w:rPr>
          <w:sz w:val="16"/>
        </w:rPr>
        <w:t xml:space="preserve">Hurst, N., Li, W., &amp; Marriott, K. (2009). Review of automatic document formatting. In</w:t>
      </w:r>
      <w:r>
        <w:rPr>
          <w:sz w:val="16"/>
        </w:rPr>
        <w:t xml:space="preserve"> </w:t>
      </w:r>
      <w:r>
        <w:rPr>
          <w:i/>
          <w:iCs/>
          <w:sz w:val="16"/>
        </w:rPr>
        <w:t xml:space="preserve">Proceedings of the 2009 ACM Symposium on Document Engineering</w:t>
      </w:r>
      <w:r>
        <w:rPr>
          <w:sz w:val="16"/>
        </w:rPr>
        <w:t xml:space="preserve"> </w:t>
      </w:r>
      <w:r>
        <w:rPr>
          <w:sz w:val="16"/>
        </w:rPr>
        <w:t xml:space="preserve">(pp. 99–108).</w:t>
      </w:r>
      <w:r>
        <w:rPr>
          <w:sz w:val="16"/>
        </w:rPr>
        <w:t xml:space="preserve"> </w:t>
      </w:r>
      <w:hyperlink r:id="rId95">
        <w:r>
          <w:rPr>
            <w:rStyle w:val="Hyperlink"/>
          </w:rPr>
          <w:t xml:space="preserve">https://doi.org/10.1145/1600193.1600217</w:t>
        </w:r>
      </w:hyperlink>
    </w:p>
    <w:p>
      <w:pPr>
        <w:pStyle w:val="BodyText"/>
        <w:spacing w:after="80" w:line="240" w:lineRule="auto"/>
        <w:ind w:left="331" w:hanging="331"/>
      </w:pPr>
      <w:r>
        <w:rPr>
          <w:sz w:val="16"/>
        </w:rPr>
        <w:t xml:space="preserve">Jacobs, C., Li, W., Schrier, E., Bargeron, D., &amp; Salesin, D. (2003). Adaptive grid-based document layout.</w:t>
      </w:r>
      <w:r>
        <w:rPr>
          <w:sz w:val="16"/>
        </w:rPr>
        <w:t xml:space="preserve"> </w:t>
      </w:r>
      <w:r>
        <w:rPr>
          <w:i/>
          <w:iCs/>
          <w:sz w:val="16"/>
        </w:rPr>
        <w:t xml:space="preserve">ACM Transactions on Graphics, 22</w:t>
      </w:r>
      <w:r>
        <w:rPr>
          <w:sz w:val="16"/>
        </w:rPr>
        <w:t xml:space="preserve">(3), 838–847.</w:t>
      </w:r>
      <w:r>
        <w:rPr>
          <w:sz w:val="16"/>
        </w:rPr>
        <w:t xml:space="preserve"> </w:t>
      </w:r>
      <w:hyperlink r:id="rId96">
        <w:r>
          <w:rPr>
            <w:rStyle w:val="Hyperlink"/>
          </w:rPr>
          <w:t xml:space="preserve">https://doi.org/10.1145/882262.882353</w:t>
        </w:r>
      </w:hyperlink>
    </w:p>
    <w:p>
      <w:pPr>
        <w:pStyle w:val="BodyText"/>
        <w:spacing w:after="80" w:line="240" w:lineRule="auto"/>
        <w:ind w:left="331" w:hanging="331"/>
      </w:pPr>
      <w:r>
        <w:rPr>
          <w:sz w:val="16"/>
        </w:rPr>
        <w:t xml:space="preserve">Jacobs, C., Li, W., Schrier, E., Bargeron, D., &amp; Salesin, D. (2004). Adaptive document layout.</w:t>
      </w:r>
      <w:r>
        <w:rPr>
          <w:sz w:val="16"/>
        </w:rPr>
        <w:t xml:space="preserve"> </w:t>
      </w:r>
      <w:r>
        <w:rPr>
          <w:i/>
          <w:iCs/>
          <w:sz w:val="16"/>
        </w:rPr>
        <w:t xml:space="preserve">Communications of the ACM, 47</w:t>
      </w:r>
      <w:r>
        <w:rPr>
          <w:sz w:val="16"/>
        </w:rPr>
        <w:t xml:space="preserve">(8), 60–66.</w:t>
      </w:r>
      <w:r>
        <w:rPr>
          <w:sz w:val="16"/>
        </w:rPr>
        <w:t xml:space="preserve"> </w:t>
      </w:r>
      <w:hyperlink r:id="rId97">
        <w:r>
          <w:rPr>
            <w:rStyle w:val="Hyperlink"/>
          </w:rPr>
          <w:t xml:space="preserve">https://doi.org/10.1145/1012037.1012063</w:t>
        </w:r>
      </w:hyperlink>
    </w:p>
    <w:p>
      <w:pPr>
        <w:pStyle w:val="BodyText"/>
        <w:spacing w:after="80" w:line="240" w:lineRule="auto"/>
        <w:ind w:left="331" w:hanging="331"/>
      </w:pPr>
      <w:r>
        <w:rPr>
          <w:sz w:val="16"/>
        </w:rPr>
        <w:t xml:space="preserve">Jiang, Y., Lutteroth, C., Jain, R., Tensmeyer, C., Manjunatha, V., Stuerzlinger, W., &amp; Morariu, V. I. (2024).</w:t>
      </w:r>
      <w:r>
        <w:rPr>
          <w:sz w:val="16"/>
        </w:rPr>
        <w:t xml:space="preserve"> </w:t>
      </w:r>
      <w:r>
        <w:rPr>
          <w:i/>
          <w:iCs/>
          <w:sz w:val="16"/>
        </w:rPr>
        <w:t xml:space="preserve">FlexDoc: Flexible Document Adaptation through Optimizing both Content and Layout</w:t>
      </w:r>
      <w:r>
        <w:rPr>
          <w:sz w:val="16"/>
        </w:rPr>
        <w:t xml:space="preserve">. arXiv:2410.15504.</w:t>
      </w:r>
      <w:r>
        <w:rPr>
          <w:sz w:val="16"/>
        </w:rPr>
        <w:t xml:space="preserve"> </w:t>
      </w:r>
      <w:hyperlink r:id="rId98">
        <w:r>
          <w:rPr>
            <w:rStyle w:val="Hyperlink"/>
          </w:rPr>
          <w:t xml:space="preserve">https://doi.org/10.48550/arXiv.2410.15504</w:t>
        </w:r>
      </w:hyperlink>
    </w:p>
    <w:p>
      <w:pPr>
        <w:pStyle w:val="BodyText"/>
        <w:spacing w:after="80" w:line="240" w:lineRule="auto"/>
        <w:ind w:left="331" w:hanging="331"/>
      </w:pPr>
      <w:r>
        <w:rPr>
          <w:sz w:val="16"/>
        </w:rPr>
        <w:t xml:space="preserve">Lo, K., Wang, L. L., Neumann, M., Kinney, R., &amp; Weld, D. S. (2020). S2ORC: The Semantic Scholar Open Research Corpus. In</w:t>
      </w:r>
      <w:r>
        <w:rPr>
          <w:sz w:val="16"/>
        </w:rPr>
        <w:t xml:space="preserve"> </w:t>
      </w:r>
      <w:r>
        <w:rPr>
          <w:i/>
          <w:iCs/>
          <w:sz w:val="16"/>
        </w:rPr>
        <w:t xml:space="preserve">Proceedings of ACL 2020</w:t>
      </w:r>
      <w:r>
        <w:rPr>
          <w:sz w:val="16"/>
        </w:rPr>
        <w:t xml:space="preserve"> </w:t>
      </w:r>
      <w:r>
        <w:rPr>
          <w:sz w:val="16"/>
        </w:rPr>
        <w:t xml:space="preserve">(pp. 4969–4983).</w:t>
      </w:r>
      <w:r>
        <w:rPr>
          <w:sz w:val="16"/>
        </w:rPr>
        <w:t xml:space="preserve"> </w:t>
      </w:r>
      <w:hyperlink r:id="rId99">
        <w:r>
          <w:rPr>
            <w:rStyle w:val="Hyperlink"/>
          </w:rPr>
          <w:t xml:space="preserve">https://doi.org/10.18653/v1/2020.acl-main.447</w:t>
        </w:r>
      </w:hyperlink>
    </w:p>
    <w:p>
      <w:pPr>
        <w:pStyle w:val="BodyText"/>
        <w:spacing w:after="80" w:line="240" w:lineRule="auto"/>
        <w:ind w:left="331" w:hanging="331"/>
      </w:pPr>
      <w:r>
        <w:rPr>
          <w:sz w:val="16"/>
        </w:rPr>
        <w:t xml:space="preserve">Lo, K., Chang, J. C., Head, A., Bragg, J., Zhang, A. X., Trier, C., et al. (2024). The Semantic Reader Project: Augmenting scholarly documents through AI-powered interactive reading interfaces.</w:t>
      </w:r>
      <w:r>
        <w:rPr>
          <w:sz w:val="16"/>
        </w:rPr>
        <w:t xml:space="preserve"> </w:t>
      </w:r>
      <w:r>
        <w:rPr>
          <w:i/>
          <w:iCs/>
          <w:sz w:val="16"/>
        </w:rPr>
        <w:t xml:space="preserve">Communications of the ACM, 67</w:t>
      </w:r>
      <w:r>
        <w:rPr>
          <w:sz w:val="16"/>
        </w:rPr>
        <w:t xml:space="preserve">(10), 50–61.</w:t>
      </w:r>
      <w:r>
        <w:rPr>
          <w:sz w:val="16"/>
        </w:rPr>
        <w:t xml:space="preserve"> </w:t>
      </w:r>
      <w:hyperlink r:id="rId100">
        <w:r>
          <w:rPr>
            <w:rStyle w:val="Hyperlink"/>
          </w:rPr>
          <w:t xml:space="preserve">https://doi.org/10.1145/3659096</w:t>
        </w:r>
      </w:hyperlink>
    </w:p>
    <w:p>
      <w:pPr>
        <w:pStyle w:val="BodyText"/>
        <w:spacing w:after="80" w:line="240" w:lineRule="auto"/>
        <w:ind w:left="331" w:hanging="331"/>
      </w:pPr>
      <w:r>
        <w:rPr>
          <w:sz w:val="16"/>
        </w:rPr>
        <w:t xml:space="preserve">Marinai, S. (2013). Reflowing and annotating scientific papers on eBook readers. In</w:t>
      </w:r>
      <w:r>
        <w:rPr>
          <w:sz w:val="16"/>
        </w:rPr>
        <w:t xml:space="preserve"> </w:t>
      </w:r>
      <w:r>
        <w:rPr>
          <w:i/>
          <w:iCs/>
          <w:sz w:val="16"/>
        </w:rPr>
        <w:t xml:space="preserve">Proceedings of the 2013 ACM Symposium on Document Engineering</w:t>
      </w:r>
      <w:r>
        <w:rPr>
          <w:sz w:val="16"/>
        </w:rPr>
        <w:t xml:space="preserve"> </w:t>
      </w:r>
      <w:r>
        <w:rPr>
          <w:sz w:val="16"/>
        </w:rPr>
        <w:t xml:space="preserve">(pp. 241–244).</w:t>
      </w:r>
      <w:r>
        <w:rPr>
          <w:sz w:val="16"/>
        </w:rPr>
        <w:t xml:space="preserve"> </w:t>
      </w:r>
      <w:hyperlink r:id="rId101">
        <w:r>
          <w:rPr>
            <w:rStyle w:val="Hyperlink"/>
          </w:rPr>
          <w:t xml:space="preserve">https://doi.org/10.1145/2494266.2494311</w:t>
        </w:r>
      </w:hyperlink>
    </w:p>
    <w:p>
      <w:pPr>
        <w:pStyle w:val="BodyText"/>
        <w:spacing w:after="80" w:line="240" w:lineRule="auto"/>
        <w:ind w:left="331" w:hanging="331"/>
      </w:pPr>
      <w:r>
        <w:rPr>
          <w:sz w:val="16"/>
        </w:rPr>
        <w:t xml:space="preserve">Marinai, S., Marino, E., &amp; Soda, G. (2011). Conversion of PDF books in ePub format. In</w:t>
      </w:r>
      <w:r>
        <w:rPr>
          <w:sz w:val="16"/>
        </w:rPr>
        <w:t xml:space="preserve"> </w:t>
      </w:r>
      <w:r>
        <w:rPr>
          <w:i/>
          <w:iCs/>
          <w:sz w:val="16"/>
        </w:rPr>
        <w:t xml:space="preserve">2011 International Conference on Document Analysis and Recognition</w:t>
      </w:r>
      <w:r>
        <w:rPr>
          <w:sz w:val="16"/>
        </w:rPr>
        <w:t xml:space="preserve"> </w:t>
      </w:r>
      <w:r>
        <w:rPr>
          <w:sz w:val="16"/>
        </w:rPr>
        <w:t xml:space="preserve">(pp. 478–482).</w:t>
      </w:r>
      <w:r>
        <w:rPr>
          <w:sz w:val="16"/>
        </w:rPr>
        <w:t xml:space="preserve"> </w:t>
      </w:r>
      <w:hyperlink r:id="rId102">
        <w:r>
          <w:rPr>
            <w:rStyle w:val="Hyperlink"/>
          </w:rPr>
          <w:t xml:space="preserve">https://doi.org/10.1109/ICDAR.2011.102</w:t>
        </w:r>
      </w:hyperlink>
    </w:p>
    <w:p>
      <w:pPr>
        <w:pStyle w:val="BodyText"/>
        <w:spacing w:after="80" w:line="240" w:lineRule="auto"/>
        <w:ind w:left="331" w:hanging="331"/>
      </w:pPr>
      <w:r>
        <w:rPr>
          <w:sz w:val="16"/>
        </w:rPr>
        <w:t xml:space="preserve">National Information Standards Organization. (2024).</w:t>
      </w:r>
      <w:r>
        <w:rPr>
          <w:sz w:val="16"/>
        </w:rPr>
        <w:t xml:space="preserve"> </w:t>
      </w:r>
      <w:r>
        <w:rPr>
          <w:i/>
          <w:iCs/>
          <w:sz w:val="16"/>
        </w:rPr>
        <w:t xml:space="preserve">ANSI/NISO Z39.96-2024: Journal Article Tag Suite (JATS), Version 1.4</w:t>
      </w:r>
      <w:r>
        <w:rPr>
          <w:sz w:val="16"/>
        </w:rPr>
        <w:t xml:space="preserve">.</w:t>
      </w:r>
      <w:r>
        <w:rPr>
          <w:sz w:val="16"/>
        </w:rPr>
        <w:t xml:space="preserve"> </w:t>
      </w:r>
      <w:hyperlink r:id="rId103">
        <w:r>
          <w:rPr>
            <w:rStyle w:val="Hyperlink"/>
          </w:rPr>
          <w:t xml:space="preserve">https://doi.org/10.3789/ansi.niso.z39.96-2024</w:t>
        </w:r>
      </w:hyperlink>
    </w:p>
    <w:p>
      <w:pPr>
        <w:pStyle w:val="BodyText"/>
        <w:spacing w:after="80" w:line="240" w:lineRule="auto"/>
        <w:ind w:left="331" w:hanging="331"/>
      </w:pPr>
      <w:r>
        <w:rPr>
          <w:sz w:val="16"/>
        </w:rPr>
        <w:t xml:space="preserve">Pfitzmann, B., Auer, C., Dolfi, M., Nassar, A. S., &amp; Staar, P. W. J. (2022). DocLayNet: A large human-annotated dataset for document-layout segmentation. In</w:t>
      </w:r>
      <w:r>
        <w:rPr>
          <w:sz w:val="16"/>
        </w:rPr>
        <w:t xml:space="preserve"> </w:t>
      </w:r>
      <w:r>
        <w:rPr>
          <w:i/>
          <w:iCs/>
          <w:sz w:val="16"/>
        </w:rPr>
        <w:t xml:space="preserve">Proceedings of KDD ’22</w:t>
      </w:r>
      <w:r>
        <w:rPr>
          <w:sz w:val="16"/>
        </w:rPr>
        <w:t xml:space="preserve"> </w:t>
      </w:r>
      <w:r>
        <w:rPr>
          <w:sz w:val="16"/>
        </w:rPr>
        <w:t xml:space="preserve">(pp. 3743–3751).</w:t>
      </w:r>
      <w:r>
        <w:rPr>
          <w:sz w:val="16"/>
        </w:rPr>
        <w:t xml:space="preserve"> </w:t>
      </w:r>
      <w:hyperlink r:id="rId104">
        <w:r>
          <w:rPr>
            <w:rStyle w:val="Hyperlink"/>
          </w:rPr>
          <w:t xml:space="preserve">https://doi.org/10.1145/3534678.3539043</w:t>
        </w:r>
      </w:hyperlink>
    </w:p>
    <w:p>
      <w:pPr>
        <w:pStyle w:val="BodyText"/>
        <w:spacing w:after="80" w:line="240" w:lineRule="auto"/>
        <w:ind w:left="331" w:hanging="331"/>
      </w:pPr>
      <w:r>
        <w:rPr>
          <w:sz w:val="16"/>
        </w:rPr>
        <w:t xml:space="preserve">Schilit, B. N., Golovchinsky, G., &amp; Price, M. N. (1998). Beyond paper: Supporting active reading with free form digital ink annotations. In</w:t>
      </w:r>
      <w:r>
        <w:rPr>
          <w:sz w:val="16"/>
        </w:rPr>
        <w:t xml:space="preserve"> </w:t>
      </w:r>
      <w:r>
        <w:rPr>
          <w:i/>
          <w:iCs/>
          <w:sz w:val="16"/>
        </w:rPr>
        <w:t xml:space="preserve">Proceedings of CHI ’98</w:t>
      </w:r>
      <w:r>
        <w:rPr>
          <w:sz w:val="16"/>
        </w:rPr>
        <w:t xml:space="preserve">.</w:t>
      </w:r>
    </w:p>
    <w:p>
      <w:pPr>
        <w:pStyle w:val="BodyText"/>
        <w:spacing w:after="80" w:line="240" w:lineRule="auto"/>
        <w:ind w:left="331" w:hanging="331"/>
      </w:pPr>
      <w:r>
        <w:rPr>
          <w:sz w:val="16"/>
        </w:rPr>
        <w:t xml:space="preserve">Schrier, E., Dontcheva, M., Jacobs, C. E., Wade, G., &amp; Salesin, D. (2008). Adaptive layout for dynamically aggregated documents. In</w:t>
      </w:r>
      <w:r>
        <w:rPr>
          <w:sz w:val="16"/>
        </w:rPr>
        <w:t xml:space="preserve"> </w:t>
      </w:r>
      <w:r>
        <w:rPr>
          <w:i/>
          <w:iCs/>
          <w:sz w:val="16"/>
        </w:rPr>
        <w:t xml:space="preserve">Proceedings of IUI ’08</w:t>
      </w:r>
      <w:r>
        <w:rPr>
          <w:sz w:val="16"/>
        </w:rPr>
        <w:t xml:space="preserve"> </w:t>
      </w:r>
      <w:r>
        <w:rPr>
          <w:sz w:val="16"/>
        </w:rPr>
        <w:t xml:space="preserve">(pp. 99–108).</w:t>
      </w:r>
      <w:r>
        <w:rPr>
          <w:sz w:val="16"/>
        </w:rPr>
        <w:t xml:space="preserve"> </w:t>
      </w:r>
      <w:hyperlink r:id="rId105">
        <w:r>
          <w:rPr>
            <w:rStyle w:val="Hyperlink"/>
          </w:rPr>
          <w:t xml:space="preserve">https://doi.org/10.1145/1378773.1378787</w:t>
        </w:r>
      </w:hyperlink>
    </w:p>
    <w:p>
      <w:pPr>
        <w:pStyle w:val="BodyText"/>
        <w:spacing w:after="80" w:line="240" w:lineRule="auto"/>
        <w:ind w:left="331" w:hanging="331"/>
      </w:pPr>
      <w:r>
        <w:rPr>
          <w:sz w:val="16"/>
        </w:rPr>
        <w:t xml:space="preserve">Shen, Z., Lo, K., Wang, L. L., Kuehl, B., Weld, D. S., &amp; Downey, D. (2022). VILA: Improving structured content extraction from scientific PDFs using visual layout groups.</w:t>
      </w:r>
      <w:r>
        <w:rPr>
          <w:sz w:val="16"/>
        </w:rPr>
        <w:t xml:space="preserve"> </w:t>
      </w:r>
      <w:r>
        <w:rPr>
          <w:i/>
          <w:iCs/>
          <w:sz w:val="16"/>
        </w:rPr>
        <w:t xml:space="preserve">Transactions of the Association for Computational Linguistics, 10</w:t>
      </w:r>
      <w:r>
        <w:rPr>
          <w:sz w:val="16"/>
        </w:rPr>
        <w:t xml:space="preserve">, 376–392.</w:t>
      </w:r>
      <w:r>
        <w:rPr>
          <w:sz w:val="16"/>
        </w:rPr>
        <w:t xml:space="preserve"> </w:t>
      </w:r>
      <w:hyperlink r:id="rId106">
        <w:r>
          <w:rPr>
            <w:rStyle w:val="Hyperlink"/>
          </w:rPr>
          <w:t xml:space="preserve">https://doi.org/10.1162/tacl_a_00466</w:t>
        </w:r>
      </w:hyperlink>
    </w:p>
    <w:p>
      <w:pPr>
        <w:pStyle w:val="BodyText"/>
        <w:spacing w:after="80" w:line="240" w:lineRule="auto"/>
        <w:ind w:left="331" w:hanging="331"/>
      </w:pPr>
      <w:r>
        <w:rPr>
          <w:sz w:val="16"/>
        </w:rPr>
        <w:t xml:space="preserve">Siegenthaler, E., Wurtz, P., Bergamin, P., &amp; Groner, R. (2011). Comparing reading processes on e-ink displays and print.</w:t>
      </w:r>
      <w:r>
        <w:rPr>
          <w:sz w:val="16"/>
        </w:rPr>
        <w:t xml:space="preserve"> </w:t>
      </w:r>
      <w:r>
        <w:rPr>
          <w:i/>
          <w:iCs/>
          <w:sz w:val="16"/>
        </w:rPr>
        <w:t xml:space="preserve">Displays, 32</w:t>
      </w:r>
      <w:r>
        <w:rPr>
          <w:sz w:val="16"/>
        </w:rPr>
        <w:t xml:space="preserve">(5), 268–273.</w:t>
      </w:r>
      <w:r>
        <w:rPr>
          <w:sz w:val="16"/>
        </w:rPr>
        <w:t xml:space="preserve"> </w:t>
      </w:r>
      <w:hyperlink r:id="rId107">
        <w:r>
          <w:rPr>
            <w:rStyle w:val="Hyperlink"/>
          </w:rPr>
          <w:t xml:space="preserve">https://doi.org/10.1016/j.displa.2011.05.005</w:t>
        </w:r>
      </w:hyperlink>
    </w:p>
    <w:p>
      <w:pPr>
        <w:pStyle w:val="BodyText"/>
        <w:spacing w:after="80" w:line="240" w:lineRule="auto"/>
        <w:ind w:left="331" w:hanging="331"/>
      </w:pPr>
      <w:r>
        <w:rPr>
          <w:sz w:val="16"/>
        </w:rPr>
        <w:t xml:space="preserve">Sutherland, C. J., Luxton-Reilly, A., &amp; Plimmer, B. (2016). Freeform digital ink annotations in electronic documents: A systematic mapping study.</w:t>
      </w:r>
      <w:r>
        <w:rPr>
          <w:sz w:val="16"/>
        </w:rPr>
        <w:t xml:space="preserve"> </w:t>
      </w:r>
      <w:r>
        <w:rPr>
          <w:i/>
          <w:iCs/>
          <w:sz w:val="16"/>
        </w:rPr>
        <w:t xml:space="preserve">Computers &amp; Graphics, 54</w:t>
      </w:r>
      <w:r>
        <w:rPr>
          <w:sz w:val="16"/>
        </w:rPr>
        <w:t xml:space="preserve">, 1–14.</w:t>
      </w:r>
      <w:r>
        <w:rPr>
          <w:sz w:val="16"/>
        </w:rPr>
        <w:t xml:space="preserve"> </w:t>
      </w:r>
      <w:hyperlink r:id="rId108">
        <w:r>
          <w:rPr>
            <w:rStyle w:val="Hyperlink"/>
          </w:rPr>
          <w:t xml:space="preserve">https://doi.org/10.1016/j.cag.2015.10.014</w:t>
        </w:r>
      </w:hyperlink>
    </w:p>
    <w:p>
      <w:pPr>
        <w:pStyle w:val="BodyText"/>
        <w:spacing w:after="80" w:line="240" w:lineRule="auto"/>
        <w:ind w:left="331" w:hanging="331"/>
      </w:pPr>
      <w:r>
        <w:rPr>
          <w:sz w:val="16"/>
        </w:rPr>
        <w:t xml:space="preserve">Thayer, A., Lee, C. P., Hwang, L. H., Sales, H., Sen, P., &amp; Dalal, N. (2011). The imposition and superimposition of digital reading technology: The academic potential of e-readers. In</w:t>
      </w:r>
      <w:r>
        <w:rPr>
          <w:sz w:val="16"/>
        </w:rPr>
        <w:t xml:space="preserve"> </w:t>
      </w:r>
      <w:r>
        <w:rPr>
          <w:i/>
          <w:iCs/>
          <w:sz w:val="16"/>
        </w:rPr>
        <w:t xml:space="preserve">Proceedings of CHI ’11</w:t>
      </w:r>
      <w:r>
        <w:rPr>
          <w:sz w:val="16"/>
        </w:rPr>
        <w:t xml:space="preserve"> </w:t>
      </w:r>
      <w:r>
        <w:rPr>
          <w:sz w:val="16"/>
        </w:rPr>
        <w:t xml:space="preserve">(pp. 2917–2926).</w:t>
      </w:r>
      <w:r>
        <w:rPr>
          <w:sz w:val="16"/>
        </w:rPr>
        <w:t xml:space="preserve"> </w:t>
      </w:r>
      <w:hyperlink r:id="rId109">
        <w:r>
          <w:rPr>
            <w:rStyle w:val="Hyperlink"/>
          </w:rPr>
          <w:t xml:space="preserve">https://doi.org/10.1145/1978942.1979375</w:t>
        </w:r>
      </w:hyperlink>
    </w:p>
    <w:p>
      <w:pPr>
        <w:pStyle w:val="BodyText"/>
        <w:spacing w:after="80" w:line="240" w:lineRule="auto"/>
        <w:ind w:left="331" w:hanging="331"/>
      </w:pPr>
      <w:r>
        <w:rPr>
          <w:sz w:val="16"/>
        </w:rPr>
        <w:t xml:space="preserve">Wang, B., Xu, C., Zhao, X., Ouyang, L., Wu, F., Zhao, Z., et al. (2024).</w:t>
      </w:r>
      <w:r>
        <w:rPr>
          <w:sz w:val="16"/>
        </w:rPr>
        <w:t xml:space="preserve"> </w:t>
      </w:r>
      <w:r>
        <w:rPr>
          <w:i/>
          <w:iCs/>
          <w:sz w:val="16"/>
        </w:rPr>
        <w:t xml:space="preserve">MinerU: An Open-Source Solution for Precise Document Content Extraction</w:t>
      </w:r>
      <w:r>
        <w:rPr>
          <w:sz w:val="16"/>
        </w:rPr>
        <w:t xml:space="preserve">. arXiv:2409.18839.</w:t>
      </w:r>
      <w:r>
        <w:rPr>
          <w:sz w:val="16"/>
        </w:rPr>
        <w:t xml:space="preserve"> </w:t>
      </w:r>
      <w:hyperlink r:id="rId110">
        <w:r>
          <w:rPr>
            <w:rStyle w:val="Hyperlink"/>
          </w:rPr>
          <w:t xml:space="preserve">https://doi.org/10.48550/arXiv.2409.18839</w:t>
        </w:r>
      </w:hyperlink>
    </w:p>
    <w:p>
      <w:pPr>
        <w:pStyle w:val="BodyText"/>
        <w:spacing w:after="80" w:line="240" w:lineRule="auto"/>
        <w:ind w:left="331" w:hanging="331"/>
      </w:pPr>
      <w:r>
        <w:rPr>
          <w:sz w:val="16"/>
        </w:rPr>
        <w:t xml:space="preserve">Wang, L. L., Cachola, I., Bragg, J., Latzke, M., Wagner, L., Head, A., &amp; Weld, D. S. (2021). SciA11y: Converting scientific papers to accessible HTML. In</w:t>
      </w:r>
      <w:r>
        <w:rPr>
          <w:sz w:val="16"/>
        </w:rPr>
        <w:t xml:space="preserve"> </w:t>
      </w:r>
      <w:r>
        <w:rPr>
          <w:i/>
          <w:iCs/>
          <w:sz w:val="16"/>
        </w:rPr>
        <w:t xml:space="preserve">Proceedings of ASSETS ’21</w:t>
      </w:r>
      <w:r>
        <w:rPr>
          <w:sz w:val="16"/>
        </w:rPr>
        <w:t xml:space="preserve">.</w:t>
      </w:r>
      <w:r>
        <w:rPr>
          <w:sz w:val="16"/>
        </w:rPr>
        <w:t xml:space="preserve"> </w:t>
      </w:r>
      <w:hyperlink r:id="rId111">
        <w:r>
          <w:rPr>
            <w:rStyle w:val="Hyperlink"/>
          </w:rPr>
          <w:t xml:space="preserve">https://doi.org/10.1145/3441852.3476545</w:t>
        </w:r>
      </w:hyperlink>
    </w:p>
    <w:p>
      <w:pPr>
        <w:pStyle w:val="BodyText"/>
        <w:spacing w:after="80" w:line="240" w:lineRule="auto"/>
        <w:ind w:left="331" w:hanging="331"/>
      </w:pPr>
      <w:r>
        <w:rPr>
          <w:sz w:val="16"/>
        </w:rPr>
        <w:t xml:space="preserve">World Wide Web Consortium. (2017).</w:t>
      </w:r>
      <w:r>
        <w:rPr>
          <w:sz w:val="16"/>
        </w:rPr>
        <w:t xml:space="preserve"> </w:t>
      </w:r>
      <w:r>
        <w:rPr>
          <w:i/>
          <w:iCs/>
          <w:sz w:val="16"/>
        </w:rPr>
        <w:t xml:space="preserve">Web Annotation Data Model</w:t>
      </w:r>
      <w:r>
        <w:rPr>
          <w:sz w:val="16"/>
        </w:rPr>
        <w:t xml:space="preserve">.</w:t>
      </w:r>
      <w:r>
        <w:rPr>
          <w:sz w:val="16"/>
        </w:rPr>
        <w:t xml:space="preserve"> </w:t>
      </w:r>
      <w:hyperlink r:id="rId112">
        <w:r>
          <w:rPr>
            <w:rStyle w:val="Hyperlink"/>
          </w:rPr>
          <w:t xml:space="preserve">https://www.w3.org/TR/annotation-model/</w:t>
        </w:r>
      </w:hyperlink>
    </w:p>
    <w:p>
      <w:pPr>
        <w:pStyle w:val="BodyText"/>
        <w:spacing w:after="80" w:line="240" w:lineRule="auto"/>
        <w:ind w:left="331" w:hanging="331"/>
      </w:pPr>
      <w:r>
        <w:rPr>
          <w:sz w:val="16"/>
        </w:rPr>
        <w:t xml:space="preserve">World Wide Web Consortium. (2023).</w:t>
      </w:r>
      <w:r>
        <w:rPr>
          <w:sz w:val="16"/>
        </w:rPr>
        <w:t xml:space="preserve"> </w:t>
      </w:r>
      <w:r>
        <w:rPr>
          <w:i/>
          <w:iCs/>
          <w:sz w:val="16"/>
        </w:rPr>
        <w:t xml:space="preserve">EPUB 3.3</w:t>
      </w:r>
      <w:r>
        <w:rPr>
          <w:sz w:val="16"/>
        </w:rPr>
        <w:t xml:space="preserve">.</w:t>
      </w:r>
      <w:r>
        <w:rPr>
          <w:sz w:val="16"/>
        </w:rPr>
        <w:t xml:space="preserve"> </w:t>
      </w:r>
      <w:hyperlink r:id="rId113">
        <w:r>
          <w:rPr>
            <w:rStyle w:val="Hyperlink"/>
          </w:rPr>
          <w:t xml:space="preserve">https://www.w3.org/TR/epub-33/</w:t>
        </w:r>
      </w:hyperlink>
    </w:p>
    <w:p>
      <w:pPr>
        <w:pStyle w:val="BodyText"/>
        <w:spacing w:after="80" w:line="240" w:lineRule="auto"/>
        <w:ind w:left="331" w:hanging="331"/>
      </w:pPr>
      <w:r>
        <w:rPr>
          <w:sz w:val="16"/>
        </w:rPr>
        <w:t xml:space="preserve">World Wide Web Consortium. (2026).</w:t>
      </w:r>
      <w:r>
        <w:rPr>
          <w:sz w:val="16"/>
        </w:rPr>
        <w:t xml:space="preserve"> </w:t>
      </w:r>
      <w:r>
        <w:rPr>
          <w:i/>
          <w:iCs/>
          <w:sz w:val="16"/>
        </w:rPr>
        <w:t xml:space="preserve">EPUB Annotations 1.0: Working Draft</w:t>
      </w:r>
      <w:r>
        <w:rPr>
          <w:sz w:val="16"/>
        </w:rPr>
        <w:t xml:space="preserve">.</w:t>
      </w:r>
      <w:r>
        <w:rPr>
          <w:sz w:val="16"/>
        </w:rPr>
        <w:t xml:space="preserve"> </w:t>
      </w:r>
      <w:hyperlink r:id="rId114">
        <w:r>
          <w:rPr>
            <w:rStyle w:val="Hyperlink"/>
          </w:rPr>
          <w:t xml:space="preserve">https://www.w3.org/TR/epub-annotations-1.0/</w:t>
        </w:r>
      </w:hyperlink>
    </w:p>
    <w:p>
      <w:pPr>
        <w:pStyle w:val="BodyText"/>
        <w:spacing w:after="80" w:line="240" w:lineRule="auto"/>
        <w:ind w:left="331" w:hanging="331"/>
      </w:pPr>
      <w:r>
        <w:rPr>
          <w:sz w:val="16"/>
        </w:rPr>
        <w:t>World Wide Web Consortium. (2018). CSS Fragmentation Module Level 3 (W3C Candidate Recommendation, 4 December 2018). https://www.w3.org/TR/css-break-3/</w:t>
      </w:r>
    </w:p>
    <w:p>
      <w:pPr>
        <w:pStyle w:val="BodyText"/>
        <w:spacing w:after="80" w:line="240" w:lineRule="auto"/>
        <w:ind w:left="331" w:hanging="331"/>
      </w:pPr>
      <w:r>
        <w:rPr>
          <w:sz w:val="16"/>
        </w:rPr>
        <w:t xml:space="preserve">Zhong, X., Tang, J., &amp; Jimeno Yepes, A. (2019). PubLayNet: Largest dataset ever for document layout analysis. In</w:t>
      </w:r>
      <w:r>
        <w:rPr>
          <w:sz w:val="16"/>
        </w:rPr>
        <w:t xml:space="preserve"> </w:t>
      </w:r>
      <w:r>
        <w:rPr>
          <w:i/>
          <w:iCs/>
          <w:sz w:val="16"/>
        </w:rPr>
        <w:t xml:space="preserve">2019 International Conference on Document Analysis and Recognition</w:t>
      </w:r>
      <w:r>
        <w:rPr>
          <w:sz w:val="16"/>
        </w:rPr>
        <w:t xml:space="preserve"> </w:t>
      </w:r>
      <w:r>
        <w:rPr>
          <w:sz w:val="16"/>
        </w:rPr>
        <w:t xml:space="preserve">(pp. 1015–1022).</w:t>
      </w:r>
      <w:r>
        <w:rPr>
          <w:sz w:val="16"/>
        </w:rPr>
        <w:t xml:space="preserve"> </w:t>
      </w:r>
      <w:hyperlink r:id="rId116">
        <w:r>
          <w:rPr>
            <w:rStyle w:val="Hyperlink"/>
          </w:rPr>
          <w:t xml:space="preserve">https://doi.org/10.1109/ICDAR.2019.00166</w:t>
        </w:r>
      </w:hyperlink>
    </w:p>
    <w:p>
      <w:pPr>
        <w:spacing w:after="0"/>
      </w:pPr>
      <w:r>
        <w:pict>
          <v:rect style="width:0;height:1.5pt" o:hralign="center" o:hrstd="t" o:hr="t"/>
        </w:pict>
      </w:r>
    </w:p>
    <w:bookmarkEnd w:id="117"/>
    <w:bookmarkStart w:id="118" w:name="appendix-a-one-paragraph-handoff"/>
    <w:p>
      <w:pPr>
        <w:pStyle w:val="Heading1"/>
      </w:pPr>
      <w:r>
        <w:t xml:space="preserve">Appendix A. One-paragraph handoff</w:t>
      </w:r>
    </w:p>
    <w:p>
      <w:pPr>
        <w:pStyle w:val="FirstParagraph"/>
      </w:pPr>
      <w:r>
        <w:t xml:space="preserve">The literature establishes that adaptive document layout, PDF-to-EPUB conversion, scientific-paper reflow, semantic reconstruction, e-reader studies, and annotation repositioning are all prior art. Build the POC around their</w:t>
      </w:r>
      <w:r>
        <w:t xml:space="preserve"> </w:t>
      </w:r>
      <w:r>
        <w:rPr>
          <w:b/>
          <w:bCs/>
        </w:rPr>
        <w:t xml:space="preserve">integration</w:t>
      </w:r>
      <w:r>
        <w:t xml:space="preserve">, not their rediscovery. Start from a trusted JATS-like article graph; generate A4, large e-ink, small e-ink, and continuous renditions; preserve IDs, provenance, reading anchors, and text annotations; use hybrid fallbacks for complex objects; expose layout decisions; then compare fixed PDF, geometric reflow, and semantic recomposition across contrasting geometries. Treat PDF ingestion and arbitrary freehand ink as later adapters/extensions. The publication claim should remain “to our knowledge” until a formal systematic search is completed.</w:t>
      </w:r>
    </w:p>
    <w:bookmarkEnd w:id="118"/>
    <w:bookmarkEnd w:id="119"/>
    <w:sectPr w:rsidR="00FC693F" w:rsidRPr="0006063C" w:rsidSect="00034616">
      <w:headerReference r:id="rId9" w:type="default"/>
      <w:footerReference r:id="rId10" w:type="default"/>
      <w:headerReference w:type="first" r:id="rId11"/>
      <w:footerReference w:type="first" r:id="rId12"/>
      <w:pgSz w:h="16838" w:w="11906"/>
      <w:pgMar w:bottom="979" w:footer="432" w:gutter="0" w:header="432" w:left="1123" w:right="1037" w:top="103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oto Sans" w:hAnsi="Noto Sans"/>
        <w:color w:val="5F6B78"/>
        <w:sz w:val="15"/>
      </w:rPr>
      <w:t xml:space="preserve">Targeted scoping review  ·  12 July 2026  ·  </w:t>
    </w:r>
    <w:r>
      <w:rPr>
        <w:rFonts w:ascii="Noto Sans" w:hAnsi="Noto Sans"/>
        <w:color w:val="5F6B78"/>
        <w:sz w:val="15"/>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D8DEE5"/>
      </w:pBdr>
    </w:pPr>
    <w:r>
      <w:rPr>
        <w:rFonts w:ascii="Noto Sans" w:hAnsi="Noto Sans"/>
        <w:b/>
        <w:color w:val="5F6B78"/>
        <w:sz w:val="15"/>
      </w:rPr>
      <w:t>SEMANTIC RESPONSIVE TYPESETTING  /  LITERATURE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9" w:lineRule="auto"/>
    </w:pPr>
    <w:rPr>
      <w:rFonts w:ascii="Noto Sans" w:hAnsi="Noto Sans" w:eastAsia="Noto Sans"/>
      <w:color w:val="222B35"/>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Noto Serif" w:asciiTheme="majorHAnsi" w:cstheme="majorBidi" w:eastAsiaTheme="majorEastAsia" w:hAnsi="Noto Serif" w:hAnsiTheme="majorHAnsi" w:eastAsia="Noto Serif"/>
      <w:b/>
      <w:bCs/>
      <w:color w:val="1F2A44"/>
      <w:sz w:val="36"/>
      <w:szCs w:val="28"/>
    </w:rPr>
  </w:style>
  <w:style w:styleId="Heading2" w:type="paragraph">
    <w:name w:val="heading 2"/>
    <w:basedOn w:val="Normal"/>
    <w:next w:val="Normal"/>
    <w:link w:val="Heading2Char"/>
    <w:uiPriority w:val="9"/>
    <w:unhideWhenUsed/>
    <w:qFormat/>
    <w:rsid w:val="00FC693F"/>
    <w:pPr>
      <w:keepNext/>
      <w:keepLines/>
      <w:spacing w:after="80" w:before="220"/>
      <w:outlineLvl w:val="1"/>
    </w:pPr>
    <w:rPr>
      <w:rFonts w:ascii="Noto Serif" w:asciiTheme="majorHAnsi" w:cstheme="majorBidi" w:eastAsiaTheme="majorEastAsia" w:hAnsi="Noto Serif" w:hAnsiTheme="majorHAnsi" w:eastAsia="Noto Serif"/>
      <w:b/>
      <w:bCs/>
      <w:color w:val="10534F"/>
      <w:sz w:val="27"/>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Noto Serif" w:asciiTheme="majorHAnsi" w:cstheme="majorBidi" w:eastAsiaTheme="majorEastAsia" w:hAnsi="Noto Serif" w:hAnsiTheme="majorHAnsi" w:eastAsia="Noto Serif"/>
      <w:b/>
      <w:bCs/>
      <w:color w:val="1F2A44"/>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line="240" w:lineRule="auto"/>
      <w:contextualSpacing/>
    </w:pPr>
    <w:rPr>
      <w:rFonts w:asciiTheme="majorHAnsi" w:cstheme="majorBidi" w:eastAsiaTheme="majorEastAsia" w:hAnsiTheme="majorHAnsi" w:ascii="Noto Serif" w:hAnsi="Noto Serif" w:eastAsia="Noto Serif"/>
      <w:b/>
      <w:color w:val="1F2A44"/>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20"/>
    </w:pPr>
    <w:rPr>
      <w:rFonts w:asciiTheme="majorHAnsi" w:cstheme="majorBidi" w:eastAsiaTheme="majorEastAsia" w:hAnsiTheme="majorHAnsi" w:ascii="Noto Sans" w:hAnsi="Noto Sans" w:eastAsia="Noto Sans"/>
      <w:i/>
      <w:iCs/>
      <w:color w:val="10534F"/>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Noto Sans" w:hAnsi="Noto Sans"/>
      <w:color w:val="222B35"/>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259" w:lineRule="auto"/>
      <w:contextualSpacing/>
    </w:pPr>
    <w:rPr>
      <w:rFonts w:ascii="Noto Sans" w:hAnsi="Noto San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259" w:lineRule="auto"/>
      <w:contextualSpacing/>
    </w:pPr>
    <w:rPr>
      <w:rFonts w:ascii="Noto Sans" w:hAnsi="Noto San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verKicker">
    <w:name w:val="Cover Kicker"/>
    <w:pPr>
      <w:spacing w:after="200"/>
    </w:pPr>
    <w:rPr>
      <w:rFonts w:ascii="Noto Sans" w:hAnsi="Noto Sans" w:eastAsia="Noto Sans"/>
      <w:b/>
      <w:color w:val="4F81B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94" Type="http://schemas.openxmlformats.org/officeDocument/2006/relationships/hyperlink" Target="https://doi.org/10.1007/s11145-022-10328-9" TargetMode="External"/><Relationship Id="rId108" Type="http://schemas.openxmlformats.org/officeDocument/2006/relationships/hyperlink" Target="https://doi.org/10.1016/j.cag.2015.10.014" TargetMode="External"/><Relationship Id="rId107" Type="http://schemas.openxmlformats.org/officeDocument/2006/relationships/hyperlink" Target="https://doi.org/10.1016/j.displa.2011.05.005" TargetMode="External"/><Relationship Id="rId102" Type="http://schemas.openxmlformats.org/officeDocument/2006/relationships/hyperlink" Target="https://doi.org/10.1109/ICDAR.2011.102" TargetMode="External"/><Relationship Id="rId116" Type="http://schemas.openxmlformats.org/officeDocument/2006/relationships/hyperlink" Target="https://doi.org/10.1109/ICDAR.2019.00166" TargetMode="External"/><Relationship Id="rId92" Type="http://schemas.openxmlformats.org/officeDocument/2006/relationships/hyperlink" Target="https://doi.org/10.1109/VL-HCC57772.2023.00023" TargetMode="External"/><Relationship Id="rId97" Type="http://schemas.openxmlformats.org/officeDocument/2006/relationships/hyperlink" Target="https://doi.org/10.1145/1012037.1012063" TargetMode="External"/><Relationship Id="rId105" Type="http://schemas.openxmlformats.org/officeDocument/2006/relationships/hyperlink" Target="https://doi.org/10.1145/1378773.1378787" TargetMode="External"/><Relationship Id="rId95" Type="http://schemas.openxmlformats.org/officeDocument/2006/relationships/hyperlink" Target="https://doi.org/10.1145/1600193.1600217" TargetMode="External"/><Relationship Id="rId109" Type="http://schemas.openxmlformats.org/officeDocument/2006/relationships/hyperlink" Target="https://doi.org/10.1145/1978942.1979375" TargetMode="External"/><Relationship Id="rId101" Type="http://schemas.openxmlformats.org/officeDocument/2006/relationships/hyperlink" Target="https://doi.org/10.1145/2494266.2494311" TargetMode="External"/><Relationship Id="rId111" Type="http://schemas.openxmlformats.org/officeDocument/2006/relationships/hyperlink" Target="https://doi.org/10.1145/3441852.3476545" TargetMode="External"/><Relationship Id="rId104" Type="http://schemas.openxmlformats.org/officeDocument/2006/relationships/hyperlink" Target="https://doi.org/10.1145/3534678.3539043" TargetMode="External"/><Relationship Id="rId91" Type="http://schemas.openxmlformats.org/officeDocument/2006/relationships/hyperlink" Target="https://doi.org/10.1145/365024.365117" TargetMode="External"/><Relationship Id="rId100" Type="http://schemas.openxmlformats.org/officeDocument/2006/relationships/hyperlink" Target="https://doi.org/10.1145/3659096" TargetMode="External"/><Relationship Id="rId93" Type="http://schemas.openxmlformats.org/officeDocument/2006/relationships/hyperlink" Target="https://doi.org/10.1145/571985.571989" TargetMode="External"/><Relationship Id="rId88" Type="http://schemas.openxmlformats.org/officeDocument/2006/relationships/hyperlink" Target="https://doi.org/10.1145/642611.642678" TargetMode="External"/><Relationship Id="rId96" Type="http://schemas.openxmlformats.org/officeDocument/2006/relationships/hyperlink" Target="https://doi.org/10.1145/882262.882353" TargetMode="External"/><Relationship Id="rId106" Type="http://schemas.openxmlformats.org/officeDocument/2006/relationships/hyperlink" Target="https://doi.org/10.1162/tacl_a_00466" TargetMode="External"/><Relationship Id="rId89" Type="http://schemas.openxmlformats.org/officeDocument/2006/relationships/hyperlink" Target="https://doi.org/10.1371/journal.pone.0083676" TargetMode="External"/><Relationship Id="rId99" Type="http://schemas.openxmlformats.org/officeDocument/2006/relationships/hyperlink" Target="https://doi.org/10.18653/v1/2020.acl-main.447" TargetMode="External"/><Relationship Id="rId103" Type="http://schemas.openxmlformats.org/officeDocument/2006/relationships/hyperlink" Target="https://doi.org/10.3789/ansi.niso.z39.96-2024" TargetMode="External"/><Relationship Id="rId90" Type="http://schemas.openxmlformats.org/officeDocument/2006/relationships/hyperlink" Target="https://doi.org/10.48550/arXiv.2308.13418" TargetMode="External"/><Relationship Id="rId87" Type="http://schemas.openxmlformats.org/officeDocument/2006/relationships/hyperlink" Target="https://doi.org/10.48550/arXiv.2408.09869" TargetMode="External"/><Relationship Id="rId110" Type="http://schemas.openxmlformats.org/officeDocument/2006/relationships/hyperlink" Target="https://doi.org/10.48550/arXiv.2409.18839" TargetMode="External"/><Relationship Id="rId98" Type="http://schemas.openxmlformats.org/officeDocument/2006/relationships/hyperlink" Target="https://doi.org/10.48550/arXiv.2410.15504" TargetMode="External"/><Relationship Id="rId112" Type="http://schemas.openxmlformats.org/officeDocument/2006/relationships/hyperlink" Target="https://www.w3.org/TR/annotation-model/" TargetMode="External"/><Relationship Id="rId115" Type="http://schemas.openxmlformats.org/officeDocument/2006/relationships/hyperlink" Target="https://www.w3.org/TR/css-break-3/" TargetMode="External"/><Relationship Id="rId113" Type="http://schemas.openxmlformats.org/officeDocument/2006/relationships/hyperlink" Target="https://www.w3.org/TR/epub-33/" TargetMode="External"/><Relationship Id="rId114" Type="http://schemas.openxmlformats.org/officeDocument/2006/relationships/hyperlink" Target="https://www.w3.org/TR/epub-annotations-1.0/" TargetMode="Externa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94" Type="http://schemas.openxmlformats.org/officeDocument/2006/relationships/hyperlink" Target="https://doi.org/10.1007/s11145-022-10328-9" TargetMode="External"/><Relationship Id="rId108" Type="http://schemas.openxmlformats.org/officeDocument/2006/relationships/hyperlink" Target="https://doi.org/10.1016/j.cag.2015.10.014" TargetMode="External"/><Relationship Id="rId107" Type="http://schemas.openxmlformats.org/officeDocument/2006/relationships/hyperlink" Target="https://doi.org/10.1016/j.displa.2011.05.005" TargetMode="External"/><Relationship Id="rId102" Type="http://schemas.openxmlformats.org/officeDocument/2006/relationships/hyperlink" Target="https://doi.org/10.1109/ICDAR.2011.102" TargetMode="External"/><Relationship Id="rId116" Type="http://schemas.openxmlformats.org/officeDocument/2006/relationships/hyperlink" Target="https://doi.org/10.1109/ICDAR.2019.00166" TargetMode="External"/><Relationship Id="rId92" Type="http://schemas.openxmlformats.org/officeDocument/2006/relationships/hyperlink" Target="https://doi.org/10.1109/VL-HCC57772.2023.00023" TargetMode="External"/><Relationship Id="rId97" Type="http://schemas.openxmlformats.org/officeDocument/2006/relationships/hyperlink" Target="https://doi.org/10.1145/1012037.1012063" TargetMode="External"/><Relationship Id="rId105" Type="http://schemas.openxmlformats.org/officeDocument/2006/relationships/hyperlink" Target="https://doi.org/10.1145/1378773.1378787" TargetMode="External"/><Relationship Id="rId95" Type="http://schemas.openxmlformats.org/officeDocument/2006/relationships/hyperlink" Target="https://doi.org/10.1145/1600193.1600217" TargetMode="External"/><Relationship Id="rId109" Type="http://schemas.openxmlformats.org/officeDocument/2006/relationships/hyperlink" Target="https://doi.org/10.1145/1978942.1979375" TargetMode="External"/><Relationship Id="rId101" Type="http://schemas.openxmlformats.org/officeDocument/2006/relationships/hyperlink" Target="https://doi.org/10.1145/2494266.2494311" TargetMode="External"/><Relationship Id="rId111" Type="http://schemas.openxmlformats.org/officeDocument/2006/relationships/hyperlink" Target="https://doi.org/10.1145/3441852.3476545" TargetMode="External"/><Relationship Id="rId104" Type="http://schemas.openxmlformats.org/officeDocument/2006/relationships/hyperlink" Target="https://doi.org/10.1145/3534678.3539043" TargetMode="External"/><Relationship Id="rId91" Type="http://schemas.openxmlformats.org/officeDocument/2006/relationships/hyperlink" Target="https://doi.org/10.1145/365024.365117" TargetMode="External"/><Relationship Id="rId100" Type="http://schemas.openxmlformats.org/officeDocument/2006/relationships/hyperlink" Target="https://doi.org/10.1145/3659096" TargetMode="External"/><Relationship Id="rId93" Type="http://schemas.openxmlformats.org/officeDocument/2006/relationships/hyperlink" Target="https://doi.org/10.1145/571985.571989" TargetMode="External"/><Relationship Id="rId88" Type="http://schemas.openxmlformats.org/officeDocument/2006/relationships/hyperlink" Target="https://doi.org/10.1145/642611.642678" TargetMode="External"/><Relationship Id="rId96" Type="http://schemas.openxmlformats.org/officeDocument/2006/relationships/hyperlink" Target="https://doi.org/10.1145/882262.882353" TargetMode="External"/><Relationship Id="rId106" Type="http://schemas.openxmlformats.org/officeDocument/2006/relationships/hyperlink" Target="https://doi.org/10.1162/tacl_a_00466" TargetMode="External"/><Relationship Id="rId89" Type="http://schemas.openxmlformats.org/officeDocument/2006/relationships/hyperlink" Target="https://doi.org/10.1371/journal.pone.0083676" TargetMode="External"/><Relationship Id="rId99" Type="http://schemas.openxmlformats.org/officeDocument/2006/relationships/hyperlink" Target="https://doi.org/10.18653/v1/2020.acl-main.447" TargetMode="External"/><Relationship Id="rId103" Type="http://schemas.openxmlformats.org/officeDocument/2006/relationships/hyperlink" Target="https://doi.org/10.3789/ansi.niso.z39.96-2024" TargetMode="External"/><Relationship Id="rId90" Type="http://schemas.openxmlformats.org/officeDocument/2006/relationships/hyperlink" Target="https://doi.org/10.48550/arXiv.2308.13418" TargetMode="External"/><Relationship Id="rId87" Type="http://schemas.openxmlformats.org/officeDocument/2006/relationships/hyperlink" Target="https://doi.org/10.48550/arXiv.2408.09869" TargetMode="External"/><Relationship Id="rId110" Type="http://schemas.openxmlformats.org/officeDocument/2006/relationships/hyperlink" Target="https://doi.org/10.48550/arXiv.2409.18839" TargetMode="External"/><Relationship Id="rId98" Type="http://schemas.openxmlformats.org/officeDocument/2006/relationships/hyperlink" Target="https://doi.org/10.48550/arXiv.2410.15504" TargetMode="External"/><Relationship Id="rId112" Type="http://schemas.openxmlformats.org/officeDocument/2006/relationships/hyperlink" Target="https://www.w3.org/TR/annotation-model/" TargetMode="External"/><Relationship Id="rId115" Type="http://schemas.openxmlformats.org/officeDocument/2006/relationships/hyperlink" Target="https://www.w3.org/TR/css-break-3/" TargetMode="External"/><Relationship Id="rId113" Type="http://schemas.openxmlformats.org/officeDocument/2006/relationships/hyperlink" Target="https://www.w3.org/TR/epub-33/" TargetMode="External"/><Relationship Id="rId114" Type="http://schemas.openxmlformats.org/officeDocument/2006/relationships/hyperlink" Target="https://www.w3.org/TR/epub-annotations-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Responsive Typesetting: Literature Review + Research-Gap Handoff</dc:title>
  <dc:creator>OpenAI</dc:creator>
  <cp:keywords>semantic responsive typesetting, document composition, PDF reflow, EPUB, e-ink, annotations, literature review</cp:keywords>
  <dcterms:created xsi:type="dcterms:W3CDTF">2026-07-12T15:32:25Z</dcterms:created>
  <dcterms:modified xsi:type="dcterms:W3CDTF">2026-07-12T15:32:25Z</dcterms:modified>
  <dc:subject>Adaptive document layout, scholarly PDF reconstruction, e-ink reading, and annotation persistence</dc:subject>
  <dc:description>Targeted scoping review prepared 12 July 2026.</dc:description>
</cp:coreProperties>
</file>

<file path=docProps/custom.xml><?xml version="1.0" encoding="utf-8"?>
<Properties xmlns="http://schemas.openxmlformats.org/officeDocument/2006/custom-properties" xmlns:vt="http://schemas.openxmlformats.org/officeDocument/2006/docPropsVTypes"/>
</file>