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svgz" ContentType="image/svg+xml"/>
  <Override PartName="/word/media/rId72.svgz" ContentType="image/svg+xml"/>
  <Override PartName="/word/media/rId3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thousands of studies reporting transmission parameters, weather–demand associations and surge magnitudes. It is rarely tested as formal prior information, because of the two steps that matter most:</w:t>
      </w:r>
      <w:r>
        <w:t xml:space="preserve"> </w:t>
      </w:r>
      <w:r>
        <w:rPr>
          <w:bCs/>
          <w:b/>
        </w:rPr>
        <w:t xml:space="preserve">reliable extraction of quantitative estimates, and their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shows the pipeline, from query across the open literature through screening and provenance-tracked extraction to pooled parameter distributions. The project turns the prototype into a validated instrument and tests it: I will (1) establish the error structure of automated extraction and propagate it into evidence-derived priors; (2) develop an uncertainty-aware latent-regime framework for health-system escalation, with those priors and a short-window resilience signal; (3) test, by strict rolling-origin reconstruction of each historical moment's information, whether the priors improve probabilistic forecast skill during the cold-start phase, how fast that value decays, and when they cause harm; and (4) determine whether any gain is large enough to change operational decisions. The decisive experiment is a pre-specified ladder of models, from local baselines to literature-derived priors and adaptive borrowing that discounts them under prior–data conflict; one rung-to-rung contrast is confirmatory, repeated once, sequentially, as the heat generalisation test.</w:t>
      </w:r>
    </w:p>
    <w:p>
      <w:pPr>
        <w:pStyle w:val="BodyText"/>
      </w:pPr>
      <w:r>
        <w:t xml:space="preserve">Validation uses contrasting crisis archetypes: respiratory epidemics carry the confirmatory test, heatwaves the sequential generalisation test, Geneva legionellosis a scoped year-4 extension.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rests on an unusual combination: fifteen years in quantitative finance on rare-event risk, regime models and stress testing; LiteRev-Evidence; Swiss hospital and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1"/>
    <w:bookmarkStart w:id="79" w:name="X8b36afa75a2de508da9560c6460302ca5c61af2"/>
    <w:p>
      <w:pPr>
        <w:pStyle w:val="Heading1"/>
      </w:pPr>
      <w:r>
        <w:t xml:space="preserve">2. Proposed research</w:t>
      </w:r>
    </w:p>
    <w:bookmarkStart w:id="27"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across three European regions [Rosenkötter 2013], long call series track influenza-like illness [EMS-ILI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What to do in the first weeks of a novel or displaced crisis, when the local outcome series is short and unstable, remains open.</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activity by more than a factor of two [Lazer 2014]. Early signals do not close the gap: wastewater needs a shedding-to-incidence relationship that itself comes from external evidence; transfer learning needs contemporaneous comparable observations; mechanistic models need hand-set parameters from a few studies. The common issue is</w:t>
      </w:r>
      <w:r>
        <w:t xml:space="preserve"> </w:t>
      </w:r>
      <w:r>
        <w:rPr>
          <w:bCs/>
          <w:b/>
        </w:rPr>
        <w:t xml:space="preserve">how to use external quantitative information without pretending it is perfectly transferable</w:t>
      </w:r>
      <w:r>
        <w:t xml:space="preserve">.</w:t>
      </w:r>
    </w:p>
    <w:bookmarkEnd w:id="22"/>
    <w:bookmarkStart w:id="23" w:name="X4a35fff6309fd190c131b464b796a0b18fda76d"/>
    <w:p>
      <w:pPr>
        <w:pStyle w:val="Heading3"/>
      </w:pPr>
      <w:r>
        <w:t xml:space="preserve">2.1.2 The unused resource: published evidence as quantitative prior information</w:t>
      </w:r>
    </w:p>
    <w:p>
      <w:pPr>
        <w:pStyle w:val="FirstParagraph"/>
      </w:pPr>
      <w:r>
        <w:t xml:space="preserve">Thousands of studies report weather–demand associations, surge multipliers, transmission parameters and length-of-stay distributions, and 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2019; Degtiar 2023] but are not integrated into any operational cold-start framework.</w:t>
      </w:r>
    </w:p>
    <w:bookmarkEnd w:id="23"/>
    <w:bookmarkStart w:id="24"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Critical-slowing-down theory (rising variance and lag-1 autocorrelation before some transitions [Scheffer 2009]; epidemic applications [O'Regan 2013; Brett 2018; Southall 2021]) uses the shape of a short recent series: a</w:t>
      </w:r>
      <w:r>
        <w:t xml:space="preserve"> </w:t>
      </w:r>
      <w:r>
        <w:rPr>
          <w:bCs/>
          <w:b/>
        </w:rPr>
        <w:t xml:space="preserve">secondary information channel</w:t>
      </w:r>
      <w:r>
        <w:t xml:space="preserve"> </w:t>
      </w:r>
      <w:r>
        <w:t xml:space="preserve">tested empirically, not a universal early-warning mechanism.</w:t>
      </w:r>
    </w:p>
    <w:bookmarkEnd w:id="24"/>
    <w:bookmarkStart w:id="25"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[Lee 2021]; pollution–asthma emergency associations lack recent Swiss acute-episode studies [Zheng 2015]. Methods are therefore evaluated first statistically, then under an elicited operational loss structure.</w:t>
      </w:r>
    </w:p>
    <w:bookmarkEnd w:id="25"/>
    <w:bookmarkStart w:id="26"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The four pieces exist separately. What has not been established is whether they connect around the</w:t>
      </w:r>
      <w:r>
        <w:t xml:space="preserve"> </w:t>
      </w:r>
      <w:r>
        <w:rPr>
          <w:bCs/>
          <w:b/>
        </w:rPr>
        <w:t xml:space="preserve">cold-start question</w:t>
      </w:r>
      <w:r>
        <w:t xml:space="preserve">: whether systematically extracted evidence improves probabilistic forecasting before local outcome data become informative, and whether harmful borrowing is detectable early enough to discount.</w:t>
      </w:r>
    </w:p>
    <w:p>
      <w:r>
        <w:pict>
          <v:rect style="width:0;height:1.5pt" o:hralign="center" o:hrstd="t" o:hr="t"/>
        </w:pict>
      </w:r>
    </w:p>
    <w:bookmarkEnd w:id="26"/>
    <w:bookmarkEnd w:id="27"/>
    <w:bookmarkStart w:id="33"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modelling, extreme-value estimation for non-Gaussian tails, regime and factor</w:t>
      </w:r>
      <w:r>
        <w:t xml:space="preserve"> </w:t>
      </w:r>
      <w:r>
        <w:t xml:space="preserve">models, stress testing), then a doctorate in biomedical sciences at Geneva (defended</w:t>
      </w:r>
      <w:r>
        <w:t xml:space="preserve"> </w:t>
      </w:r>
      <w:r>
        <w:t xml:space="preserve">18 December 2023).</w:t>
      </w:r>
    </w:p>
    <w:bookmarkStart w:id="28" w:name="X79f512daa76dde01429b5fcb893d8ff3c91b25a"/>
    <w:p>
      <w:pPr>
        <w:pStyle w:val="Heading3"/>
      </w:pPr>
      <w:r>
        <w:t xml:space="preserve">2.2.1 Prediction under sparse and imperfect information</w:t>
      </w:r>
    </w:p>
    <w:p>
      <w:pPr>
        <w:pStyle w:val="FirstParagraph"/>
      </w:pPr>
      <w:r>
        <w:t xml:space="preserve">In</w:t>
      </w:r>
      <w:r>
        <w:t xml:space="preserve"> </w:t>
      </w:r>
      <w:r>
        <w:rPr>
          <w:bCs/>
          <w:b/>
        </w:rPr>
        <w:t xml:space="preserve">Orel et al.,</w:t>
      </w:r>
      <w:r>
        <w:rPr>
          <w:bCs/>
          <w:b/>
        </w:rPr>
        <w:t xml:space="preserve"> </w:t>
      </w:r>
      <w:r>
        <w:rPr>
          <w:iCs/>
          <w:i/>
          <w:bCs/>
          <w:b/>
        </w:rPr>
        <w:t xml:space="preserve">PLoS ONE</w:t>
      </w:r>
      <w:r>
        <w:rPr>
          <w:bCs/>
          <w:b/>
        </w:rPr>
        <w:t xml:space="preserve"> </w:t>
      </w:r>
      <w:r>
        <w:rPr>
          <w:bCs/>
          <w:b/>
        </w:rPr>
        <w:t xml:space="preserve">2022</w:t>
      </w:r>
      <w:r>
        <w:t xml:space="preserve"> </w:t>
      </w:r>
      <w:r>
        <w:t xml:space="preserve">I predicted individual HIV status from socio-behavioural</w:t>
      </w:r>
      <w:r>
        <w:t xml:space="preserve"> </w:t>
      </w:r>
      <w:r>
        <w:t xml:space="preserve">characteristics across East and Southern Africa, establishing where models transported between</w:t>
      </w:r>
      <w:r>
        <w:t xml:space="preserve"> </w:t>
      </w:r>
      <w:r>
        <w:t xml:space="preserve">countries.</w:t>
      </w:r>
      <w:r>
        <w:t xml:space="preserve"> </w:t>
      </w:r>
      <w:r>
        <w:rPr>
          <w:bCs/>
          <w:b/>
        </w:rPr>
        <w:t xml:space="preserve">Merzouki et al.,</w:t>
      </w:r>
      <w:r>
        <w:rPr>
          <w:bCs/>
          <w:b/>
        </w:rPr>
        <w:t xml:space="preserve"> </w:t>
      </w:r>
      <w:r>
        <w:rPr>
          <w:iCs/>
          <w:i/>
          <w:bCs/>
          <w:b/>
        </w:rPr>
        <w:t xml:space="preserve">PeerJ</w:t>
      </w:r>
      <w:r>
        <w:rPr>
          <w:bCs/>
          <w:b/>
        </w:rPr>
        <w:t xml:space="preserve"> </w:t>
      </w:r>
      <w:r>
        <w:rPr>
          <w:bCs/>
          <w:b/>
        </w:rPr>
        <w:t xml:space="preserve">2021</w:t>
      </w:r>
      <w:r>
        <w:t xml:space="preserve"> </w:t>
      </w:r>
      <w:r>
        <w:t xml:space="preserve">and</w:t>
      </w:r>
      <w:r>
        <w:t xml:space="preserve"> </w:t>
      </w:r>
      <w:r>
        <w:rPr>
          <w:bCs/>
          <w:b/>
        </w:rPr>
        <w:t xml:space="preserve">Esra et al.,</w:t>
      </w:r>
      <w:r>
        <w:rPr>
          <w:bCs/>
          <w:b/>
        </w:rPr>
        <w:t xml:space="preserve"> </w:t>
      </w:r>
      <w:r>
        <w:rPr>
          <w:iCs/>
          <w:i/>
          <w:bCs/>
          <w:b/>
        </w:rPr>
        <w:t xml:space="preserve">JAIDS</w:t>
      </w:r>
      <w:r>
        <w:rPr>
          <w:bCs/>
          <w:b/>
        </w:rPr>
        <w:t xml:space="preserve"> </w:t>
      </w:r>
      <w:r>
        <w:rPr>
          <w:bCs/>
          <w:b/>
        </w:rPr>
        <w:t xml:space="preserve">2023</w:t>
      </w:r>
      <w:r>
        <w:t xml:space="preserve"> </w:t>
      </w:r>
      <w:r>
        <w:t xml:space="preserve">developed the same theme. I now</w:t>
      </w:r>
      <w:r>
        <w:t xml:space="preserve"> </w:t>
      </w:r>
      <w:r>
        <w:rPr>
          <w:bCs/>
          <w:b/>
        </w:rPr>
        <w:t xml:space="preserve">senior-author</w:t>
      </w:r>
      <w:r>
        <w:t xml:space="preserve"> </w:t>
      </w:r>
      <w:r>
        <w:t xml:space="preserve">that line (last author,</w:t>
      </w:r>
      <w:r>
        <w:t xml:space="preserve"> </w:t>
      </w:r>
      <w:r>
        <w:rPr>
          <w:bCs/>
          <w:b/>
        </w:rPr>
        <w:t xml:space="preserve">Ng'ambi et al., accepted</w:t>
      </w:r>
      <w:r>
        <w:t xml:space="preserve">: machine-learning classification of cardiovascular disease history</w:t>
      </w:r>
      <w:r>
        <w:t xml:space="preserve"> </w:t>
      </w:r>
      <w:r>
        <w:t xml:space="preserve">across harmonised WHO STEPS surveys). That is this proposal's transportability problem, met first</w:t>
      </w:r>
      <w:r>
        <w:t xml:space="preserve"> </w:t>
      </w:r>
      <w:r>
        <w:t xml:space="preserve">elsewhere and moved from conducting to directing.</w:t>
      </w:r>
    </w:p>
    <w:bookmarkEnd w:id="28"/>
    <w:bookmarkStart w:id="29" w:name="Xba523bf0c9ce96e07c41e7deb8806875f5dbd29"/>
    <w:p>
      <w:pPr>
        <w:pStyle w:val="Heading3"/>
      </w:pPr>
      <w:r>
        <w:t xml:space="preserve">2.2.2 Automated evidence synthesis</w:t>
      </w:r>
    </w:p>
    <w:p>
      <w:pPr>
        <w:pStyle w:val="FirstParagraph"/>
      </w:pPr>
      <w:r>
        <w:rPr>
          <w:bCs/>
          <w:b/>
        </w:rPr>
        <w:t xml:space="preserve">Orel et al.,</w:t>
      </w:r>
      <w:r>
        <w:rPr>
          <w:bCs/>
          <w:b/>
        </w:rPr>
        <w:t xml:space="preserve"> </w:t>
      </w:r>
      <w:r>
        <w:rPr>
          <w:iCs/>
          <w:i/>
          <w:bCs/>
          <w:b/>
        </w:rPr>
        <w:t xml:space="preserve">J Med Internet Res</w:t>
      </w:r>
      <w:r>
        <w:rPr>
          <w:bCs/>
          <w:b/>
        </w:rPr>
        <w:t xml:space="preserve"> </w:t>
      </w:r>
      <w:r>
        <w:rPr>
          <w:bCs/>
          <w:b/>
        </w:rPr>
        <w:t xml:space="preserve">2023</w:t>
      </w:r>
      <w:r>
        <w:t xml:space="preserve"> </w:t>
      </w:r>
      <w:r>
        <w:t xml:space="preserve">introduced</w:t>
      </w:r>
      <w:r>
        <w:t xml:space="preserve"> </w:t>
      </w:r>
      <w:r>
        <w:rPr>
          <w:bCs/>
          <w:b/>
        </w:rPr>
        <w:t xml:space="preserve">LiteRev</w:t>
      </w:r>
      <w:r>
        <w:t xml:space="preserve">, an automated</w:t>
      </w:r>
      <w:r>
        <w:t xml:space="preserve"> </w:t>
      </w:r>
      <w:r>
        <w:t xml:space="preserve">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w:t>
      </w:r>
      <w:r>
        <w:rPr>
          <w:bCs/>
          <w:b/>
        </w:rPr>
        <w:t xml:space="preserve">Edjinedja, Larribau, Orel et al.</w:t>
      </w:r>
      <w:r>
        <w:t xml:space="preserve">, submitted 2026), within GESICA, used it to structure</w:t>
      </w:r>
      <w:r>
        <w:t xml:space="preserve"> </w:t>
      </w:r>
      <w:r>
        <w:t xml:space="preserve">138 retained publications.</w:t>
      </w:r>
    </w:p>
    <w:bookmarkEnd w:id="29"/>
    <w:bookmarkStart w:id="30" w:name="X5f9a3db217f7eebde7303f7024eb5a825e7cbc9"/>
    <w:p>
      <w:pPr>
        <w:pStyle w:val="Heading3"/>
      </w:pPr>
      <w:r>
        <w:t xml:space="preserve">2.2.3 Outbreak and health-system modelling in Switzerland</w:t>
      </w:r>
    </w:p>
    <w:p>
      <w:pPr>
        <w:pStyle w:val="FirstParagraph"/>
      </w:pPr>
      <w:r>
        <w:rPr>
          <w:bCs/>
          <w:b/>
        </w:rPr>
        <w:t xml:space="preserve">Orel et al.,</w:t>
      </w:r>
      <w:r>
        <w:rPr>
          <w:bCs/>
          <w:b/>
        </w:rPr>
        <w:t xml:space="preserve"> </w:t>
      </w:r>
      <w:r>
        <w:rPr>
          <w:iCs/>
          <w:i/>
          <w:bCs/>
          <w:b/>
        </w:rPr>
        <w:t xml:space="preserve">CMI Communications</w:t>
      </w:r>
      <w:r>
        <w:rPr>
          <w:bCs/>
          <w:b/>
        </w:rPr>
        <w:t xml:space="preserve"> </w:t>
      </w:r>
      <w:r>
        <w:rPr>
          <w:bCs/>
          <w:b/>
        </w:rPr>
        <w:t xml:space="preserve">2024</w:t>
      </w:r>
      <w:r>
        <w:t xml:space="preserve"> </w:t>
      </w:r>
      <w:r>
        <w:t xml:space="preserve">compared clinical severity between Delta and Omicron</w:t>
      </w:r>
      <w:r>
        <w:t xml:space="preserve"> </w:t>
      </w:r>
      <w:r>
        <w:t xml:space="preserve">sub-lineages in a Swiss tertiary centre.</w:t>
      </w:r>
      <w:r>
        <w:t xml:space="preserve"> </w:t>
      </w:r>
      <w:r>
        <w:rPr>
          <w:bCs/>
          <w:b/>
        </w:rPr>
        <w:t xml:space="preserve">Estill et al.,</w:t>
      </w:r>
      <w:r>
        <w:rPr>
          <w:bCs/>
          <w:b/>
        </w:rPr>
        <w:t xml:space="preserve"> </w:t>
      </w:r>
      <w:r>
        <w:rPr>
          <w:iCs/>
          <w:i/>
          <w:bCs/>
          <w:b/>
        </w:rPr>
        <w:t xml:space="preserve">F1000Research</w:t>
      </w:r>
      <w:r>
        <w:rPr>
          <w:bCs/>
          <w:b/>
        </w:rPr>
        <w:t xml:space="preserve"> </w:t>
      </w:r>
      <w:r>
        <w:rPr>
          <w:bCs/>
          <w:b/>
        </w:rPr>
        <w:t xml:space="preserve">2020</w:t>
      </w:r>
      <w:r>
        <w:t xml:space="preserve"> </w:t>
      </w:r>
      <w:r>
        <w:t xml:space="preserve">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w:t>
      </w:r>
      <w:r>
        <w:rPr>
          <w:bCs/>
          <w:b/>
          <w:iCs/>
          <w:i/>
        </w:rPr>
        <w:t xml:space="preserve">Nat Commun</w:t>
      </w:r>
      <w:r>
        <w:t xml:space="preserve">, Nwosu et al., 2021).</w:t>
      </w:r>
    </w:p>
    <w:bookmarkEnd w:id="30"/>
    <w:bookmarkStart w:id="31"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from retrieval and</w:t>
      </w:r>
      <w:r>
        <w:t xml:space="preserve"> </w:t>
      </w:r>
      <w:r>
        <w:t xml:space="preserve">screening into structured 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quality-scored</w:t>
      </w:r>
      <w:r>
        <w:rPr>
          <w:bCs/>
          <w:b/>
        </w:rPr>
        <w:t xml:space="preserve"> </w:t>
      </w:r>
      <w:r>
        <w:rPr>
          <w:bCs/>
          <w:b/>
        </w:rPr>
        <w:t xml:space="preserve">extraction pooled into parameter distributions</w:t>
      </w:r>
      <w:r>
        <w:t xml:space="preserve"> </w:t>
      </w:r>
      <w:r>
        <w:t xml:space="preserve">and propagated through ensemble simulation,</w:t>
      </w:r>
      <w:r>
        <w:t xml:space="preserve"> </w:t>
      </w:r>
      <w:r>
        <w:t xml:space="preserve">with per-scenario</w:t>
      </w:r>
      <w:r>
        <w:t xml:space="preserve"> </w:t>
      </w:r>
      <w:r>
        <w:rPr>
          <w:bCs/>
          <w:b/>
        </w:rPr>
        <w:t xml:space="preserve">living reviews re-run daily</w:t>
      </w:r>
      <w:r>
        <w:t xml:space="preserve">: the literature-to-prior mechanism this</w:t>
      </w:r>
      <w:r>
        <w:t xml:space="preserve"> </w:t>
      </w:r>
      <w:r>
        <w:t xml:space="preserve">proposal interrogates, in prototype form. Operational scenarios are elaborated with</w:t>
      </w:r>
      <w:r>
        <w:t xml:space="preserve"> </w:t>
      </w:r>
      <w:r>
        <w:t xml:space="preserve">emergency-medicine partners.</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w:t>
      </w:r>
      <w:r>
        <w:t xml:space="preserve">by transmission mode,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It is why the</w:t>
      </w:r>
      <w:r>
        <w:t xml:space="preserve"> </w:t>
      </w:r>
      <w:r>
        <w:t xml:space="preserve">validation domains are chosen by</w:t>
      </w:r>
      <w:r>
        <w:t xml:space="preserve"> </w:t>
      </w:r>
      <w:r>
        <w:rPr>
          <w:bCs/>
          <w:b/>
        </w:rPr>
        <w:t xml:space="preserve">model class</w:t>
      </w:r>
      <w:r>
        <w:t xml:space="preserve">, and why this proposal rests on a mapped data</w:t>
      </w:r>
      <w:r>
        <w:t xml:space="preserve"> </w:t>
      </w:r>
      <w:r>
        <w:t xml:space="preserve">landscape rather than an assumed one.</w:t>
      </w:r>
    </w:p>
    <w:p>
      <w:pPr>
        <w:pStyle w:val="BodyText"/>
      </w:pPr>
      <w:r>
        <w:rPr>
          <w:bCs/>
          <w:b/>
        </w:rPr>
        <w:t xml:space="preserve">The prototype makes the research feasible rather than aspirational</w:t>
      </w:r>
      <w:r>
        <w:t xml:space="preserve">; the validated</w:t>
      </w:r>
      <w:r>
        <w:t xml:space="preserve"> </w:t>
      </w:r>
      <w:r>
        <w:t xml:space="preserve">instrument it becomes is itself a deliverable.</w:t>
      </w:r>
    </w:p>
    <w:bookmarkEnd w:id="31"/>
    <w:bookmarkStart w:id="32"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waterborne archetype whose</w:t>
      </w:r>
      <w:r>
        <w:t xml:space="preserve"> </w:t>
      </w:r>
      <w:r>
        <w:t xml:space="preserve">dynamics differ fundamentally from a respiratory epidemic's.</w:t>
      </w:r>
    </w:p>
    <w:p>
      <w:pPr>
        <w:pStyle w:val="BodyText"/>
      </w:pPr>
      <w:r>
        <w:rPr>
          <w:bCs/>
          <w:b/>
        </w:rPr>
        <w:t xml:space="preserve">Competences.</w:t>
      </w:r>
      <w:r>
        <w:t xml:space="preserve"> </w:t>
      </w:r>
      <w:r>
        <w:t xml:space="preserve">Bayesian hierarchical and regime-switching estimation, extreme-value modelling, stress testing</w:t>
      </w:r>
      <w:r>
        <w:t xml:space="preserve"> </w:t>
      </w:r>
      <w:r>
        <w:t xml:space="preserve">under misspecification, forecast evaluation and decision analysis come from fifteen years of</w:t>
      </w:r>
      <w:r>
        <w:t xml:space="preserve"> </w:t>
      </w:r>
      <w:r>
        <w:t xml:space="preserve">quantitative risk work and form the core of WP2–WP3; extraction, retrieval and</w:t>
      </w:r>
      <w:r>
        <w:t xml:space="preserve"> </w:t>
      </w:r>
      <w:r>
        <w:t xml:space="preserve">quality-weighted pooling from LiteRev-Evidence, which I built; domain knowledge from the</w:t>
      </w:r>
      <w:r>
        <w:t xml:space="preserve"> </w:t>
      </w:r>
      <w:r>
        <w:t xml:space="preserve">doctorate, the Swiss COVID-19 work and GESICA.</w:t>
      </w:r>
    </w:p>
    <w:p>
      <w:pPr>
        <w:pStyle w:val="BodyText"/>
      </w:pPr>
      <w:r>
        <w:t xml:space="preserve">My other commitments and their delimitation are in §2.6; what I have not yet had is a</w:t>
      </w:r>
      <w:r>
        <w:t xml:space="preserve"> </w:t>
      </w:r>
      <w:r>
        <w:t xml:space="preserve">programme of my own with time to run it.</w:t>
      </w:r>
    </w:p>
    <w:p>
      <w:r>
        <w:pict>
          <v:rect style="width:0;height:1.5pt" o:hralign="center" o:hrstd="t" o:hr="t"/>
        </w:pict>
      </w:r>
    </w:p>
    <w:bookmarkEnd w:id="32"/>
    <w:bookmarkEnd w:id="33"/>
    <w:bookmarkStart w:id="71" w:name="X648e0f2197cacfb2ee21a81ffaf34acd4f314d4"/>
    <w:p>
      <w:pPr>
        <w:pStyle w:val="Heading2"/>
      </w:pPr>
      <w:r>
        <w:t xml:space="preserve">2.3 Detailed research plan</w:t>
      </w:r>
    </w:p>
    <w:bookmarkStart w:id="44" w:name="Xc5b6cd9b30a4be694f7ca250dc7e64474c91e76"/>
    <w:p>
      <w:pPr>
        <w:pStyle w:val="Heading3"/>
      </w:pPr>
      <w:r>
        <w:t xml:space="preserve">2.3.1 Objectives and hypotheses</w:t>
      </w:r>
    </w:p>
    <w:p>
      <w:pPr>
        <w:pStyle w:val="FirstParagraph"/>
      </w:pPr>
      <w:r>
        <w:drawing>
          <wp:inline>
            <wp:extent cx="5334000" cy="2506980"/>
            <wp:effectExtent b="0" l="0" r="0" t="0"/>
            <wp:docPr descr="Framework" title="" id="35" name="Picture"/>
            <a:graphic>
              <a:graphicData uri="http://schemas.openxmlformats.org/drawingml/2006/picture">
                <pic:pic>
                  <pic:nvPicPr>
                    <pic:cNvPr descr="figures/fig1-framework.svg" id="36" name="Picture"/>
                    <pic:cNvPicPr>
                      <a:picLocks noChangeArrowheads="1" noChangeAspect="1"/>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334000" cy="2506980"/>
                    </a:xfrm>
                    <a:prstGeom prst="rect">
                      <a:avLst/>
                    </a:prstGeom>
                    <a:noFill/>
                    <a:ln w="9525">
                      <a:noFill/>
                      <a:headEnd/>
                      <a:tailEnd/>
                    </a:ln>
                  </pic:spPr>
                </pic:pic>
              </a:graphicData>
            </a:graphic>
          </wp:inline>
        </w:drawing>
      </w:r>
      <w:r>
        <w:t xml:space="preserve"> </w:t>
      </w:r>
      <w:r>
        <w:rPr>
          <w:iCs/>
          <w:i/>
        </w:rPr>
        <w:t xml:space="preserve">Figure 1: cold-start problem, evidence-borrowing hypothesis, evaluation ladder.</w:t>
      </w:r>
    </w:p>
    <w:p>
      <w:pPr>
        <w:pStyle w:val="BodyText"/>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318" w:type="dxa"/>
        <w:tblLook w:firstRow="1" w:lastRow="0" w:firstColumn="0" w:lastColumn="0" w:noHBand="0" w:noVBand="0" w:val="0020"/>
        <w:jc w:val="start"/>
        <w:tblLayout w:type="fixed"/>
      </w:tblPr>
      <w:tblGrid>
        <w:gridCol w:w="900"/>
        <w:gridCol w:w="2745"/>
        <w:gridCol w:w="6673"/>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bookmarkStart w:id="38"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The direction is mechanistic: omissions dominate extraction errors [Shankar 2026] and shrink estimated dispersion systematically; if the overconfidence cannot be corrected, the project establishes a boundary condition.</w:t>
      </w:r>
    </w:p>
    <w:bookmarkEnd w:id="38"/>
    <w:bookmarkStart w:id="39"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C2 is verified rather than discovered: T2.1's identifiability study and T3.3's calibration checks either establish adequacy or trigger the pre-specified ordinal fallback; either outcome leaves H3a intact. Extreme-value modelling represents the critical tail; critical-slowing-down indicators are</w:t>
      </w:r>
      <w:r>
        <w:t xml:space="preserve"> </w:t>
      </w:r>
      <w:r>
        <w:rPr>
          <w:bCs/>
          <w:b/>
        </w:rPr>
        <w:t xml:space="preserve">supporting covariates</w:t>
      </w:r>
      <w:r>
        <w:t xml:space="preserve"> </w:t>
      </w:r>
      <w:r>
        <w:t xml:space="preserve">tested against level and trend.</w:t>
      </w:r>
    </w:p>
    <w:bookmarkEnd w:id="39"/>
    <w:bookmarkStart w:id="40"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H3b is two-sided: non-inferiority where the evidence is sound, superiority where it is not; Δ is fixed at the second registration point, justified against the rung 3 → rung 4 effect the study is powered to detect.</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rung 4 (fixed evidence-derived priors) against rung 3 (weakly informative priors),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w:t>
      </w:r>
      <w:r>
        <w:t xml:space="preserve">(procedure and registration: T3.3). Heat repeats the identical contrast as a</w:t>
      </w:r>
      <w:r>
        <w:t xml:space="preserve"> </w:t>
      </w:r>
      <w:r>
        <w:rPr>
          <w:bCs/>
          <w:b/>
        </w:rPr>
        <w:t xml:space="preserve">sequential generalisation test</w:t>
      </w:r>
      <w:r>
        <w:t xml:space="preserve">, run only if the respiratory test is met; the fixed order controls the family-wise error rate and follows the science: respiratory evidence is richest, heat transport hardest. A respiratory-positive, heat-negative result is a boundary condition on transportability. The</w:t>
      </w:r>
      <w:r>
        <w:t xml:space="preserve"> </w:t>
      </w:r>
      <w:r>
        <w:rPr>
          <w:bCs/>
          <w:b/>
        </w:rPr>
        <w:t xml:space="preserve">shape of the advantage over elapsed local data</w:t>
      </w:r>
      <w:r>
        <w:t xml:space="preserve"> </w:t>
      </w:r>
      <w:r>
        <w:t xml:space="preserve">is reported: it should decay to nothing.</w:t>
      </w:r>
    </w:p>
    <w:bookmarkEnd w:id="40"/>
    <w:bookmarkStart w:id="41"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These are downstream tests of value; shadow mode is an extension, not a prerequisite.</w:t>
      </w:r>
    </w:p>
    <w:bookmarkEnd w:id="41"/>
    <w:bookmarkStart w:id="42"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cause classes the archetype's evidence base concerns (T3.0):</w:t>
      </w:r>
      <w:r>
        <w:t xml:space="preserve"> </w:t>
      </w:r>
      <w:r>
        <w:t xml:space="preserve">respiratory-related demand for epidemics;</w:t>
      </w:r>
      <w:r>
        <w:t xml:space="preserve"> </w:t>
      </w:r>
      <w:r>
        <w:rPr>
          <w:bCs/>
          <w:b/>
        </w:rPr>
        <w:t xml:space="preserve">heat-sensitive demand</w:t>
      </w:r>
      <w:r>
        <w:t xml:space="preserve"> </w:t>
      </w:r>
      <w:r>
        <w:t xml:space="preserve">for heat, since Swiss</w:t>
      </w:r>
      <w:r>
        <w:t xml:space="preserve"> </w:t>
      </w:r>
      <w:r>
        <w:t xml:space="preserve">evidence places heat effects in dehydration, renal and psychiatric admissions, with a weak</w:t>
      </w:r>
      <w:r>
        <w:t xml:space="preserve"> </w:t>
      </w:r>
      <w:r>
        <w:t xml:space="preserve">respiratory effect at older ages [Schulte 2024; Ragettli 2019]. Matching each arm's outcome to</w:t>
      </w:r>
      <w:r>
        <w:t xml:space="preserve"> </w:t>
      </w:r>
      <w:r>
        <w:t xml:space="preserve">its evidence base makes the generalisation test a test of borrowing, not of the outcome</w:t>
      </w:r>
      <w:r>
        <w:t xml:space="preserve"> </w:t>
      </w:r>
      <w:r>
        <w:t xml:space="preserve">definition.</w:t>
      </w:r>
    </w:p>
    <w:tbl>
      <w:tblPr>
        <w:tblStyle w:val="Table"/>
        <w:tblW w:w="10318" w:type="dxa"/>
        <w:tblLook w:firstRow="1" w:lastRow="0" w:firstColumn="0" w:lastColumn="0" w:noHBand="0" w:noVBand="0" w:val="0020"/>
        <w:jc w:val="start"/>
        <w:tblLayout w:type="fixed"/>
      </w:tblPr>
      <w:tblGrid>
        <w:gridCol w:w="1699"/>
        <w:gridCol w:w="2008"/>
        <w:gridCol w:w="2640"/>
        <w:gridCol w:w="3971"/>
      </w:tblGrid>
      <w:tr>
        <w:trPr>
          <w:tblHeader w:val="true"/>
        </w:trPr>
        <w:tc>
          <w:tcPr/>
          <w:p>
            <w:pPr>
              <w:pStyle w:val="Compact"/>
              <w:jc w:val="left"/>
            </w:pPr>
            <w:r>
              <w:t xml:space="preserve">Archetype</w:t>
            </w:r>
          </w:p>
        </w:tc>
        <w:tc>
          <w:tcPr/>
          <w:p>
            <w:pPr>
              <w:pStyle w:val="Compact"/>
              <w:jc w:val="left"/>
            </w:pPr>
            <w:r>
              <w:t xml:space="preserve">Role</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w:t>
            </w:r>
          </w:p>
        </w:tc>
        <w:tc>
          <w:tcPr/>
          <w:p>
            <w:pPr>
              <w:pStyle w:val="Compact"/>
              <w:jc w:val="left"/>
            </w:pPr>
            <w:r>
              <w:t xml:space="preserve">Transmissible, multi-wave, seasonal</w:t>
            </w:r>
          </w:p>
        </w:tc>
        <w:tc>
          <w:tcPr/>
          <w:p>
            <w:pPr>
              <w:pStyle w:val="Compact"/>
              <w:jc w:val="left"/>
            </w:pPr>
            <w:r>
              <w:t xml:space="preserve">Respiratory-related demand; COVID-19, influenza, RSV</w:t>
            </w:r>
          </w:p>
        </w:tc>
      </w:tr>
      <w:tr>
        <w:tc>
          <w:tcPr/>
          <w:p>
            <w:pPr>
              <w:pStyle w:val="Compact"/>
              <w:jc w:val="left"/>
            </w:pPr>
            <w:r>
              <w:rPr>
                <w:bCs/>
                <w:b/>
              </w:rPr>
              <w:t xml:space="preserve">Heatwave</w:t>
            </w:r>
          </w:p>
        </w:tc>
        <w:tc>
          <w:tcPr/>
          <w:p>
            <w:pPr>
              <w:pStyle w:val="Compact"/>
              <w:jc w:val="left"/>
            </w:pPr>
            <w:r>
              <w:t xml:space="preserve">Sequential generalisation</w:t>
            </w:r>
          </w:p>
        </w:tc>
        <w:tc>
          <w:tcPr/>
          <w:p>
            <w:pPr>
              <w:pStyle w:val="Compact"/>
              <w:jc w:val="left"/>
            </w:pPr>
            <w:r>
              <w:t xml:space="preserve">Environmental, short, sharply peaked</w:t>
            </w:r>
          </w:p>
        </w:tc>
        <w:tc>
          <w:tcPr/>
          <w:p>
            <w:pPr>
              <w:pStyle w:val="Compact"/>
              <w:jc w:val="left"/>
            </w:pPr>
            <w:r>
              <w:t xml:space="preserve">Heat-sensitive demand, same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environmental</w:t>
            </w:r>
          </w:p>
        </w:tc>
        <w:tc>
          <w:tcPr/>
          <w:p>
            <w:pPr>
              <w:pStyle w:val="Compact"/>
              <w:jc w:val="left"/>
            </w:pPr>
            <w:r>
              <w:t xml:space="preserve">Geneva legionellosis linked to installations</w:t>
            </w:r>
          </w:p>
        </w:tc>
      </w:tr>
    </w:tbl>
    <w:bookmarkEnd w:id="42"/>
    <w:bookmarkStart w:id="43"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3"/>
    <w:bookmarkEnd w:id="44"/>
    <w:bookmarkStart w:id="69" w:name="X7638ec2bcf1f605f5e9c309229fda3948dd7274"/>
    <w:p>
      <w:pPr>
        <w:pStyle w:val="Heading3"/>
      </w:pPr>
      <w:r>
        <w:t xml:space="preserve">2.3.2 Work packages and methods</w:t>
      </w:r>
    </w:p>
    <w:p>
      <w:pPr>
        <w:pStyle w:val="FirstParagraph"/>
      </w:pPr>
      <w:r>
        <w:t xml:space="preserve">WP1 establishes whether the evidence can be trusted; WP2 supplies the common state representation; WP3 is the decisive cold-start evaluation; WP4 translates predictive differences into operational value.</w:t>
      </w:r>
    </w:p>
    <w:bookmarkStart w:id="50" w:name="X002b48ad99ef7a015f0c8b3d513a5be8cd69f24"/>
    <w:p>
      <w:pPr>
        <w:pStyle w:val="Heading4"/>
      </w:pPr>
      <w:r>
        <w:t xml:space="preserve">WP1: From published evidence to usable priors</w:t>
      </w:r>
      <w:r>
        <w:t xml:space="preserve"> </w:t>
      </w:r>
      <w:r>
        <w:rPr>
          <w:iCs/>
          <w:i/>
        </w:rPr>
        <w:t xml:space="preserve">(M1–M20)</w:t>
      </w:r>
    </w:p>
    <w:bookmarkStart w:id="45"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Core (benchmarked in full):</w:t>
      </w:r>
      <w:r>
        <w:t xml:space="preserve"> </w:t>
      </w:r>
      <w:r>
        <w:t xml:space="preserve">the quantities the demand model consumes:</w:t>
      </w:r>
      <w:r>
        <w:t xml:space="preserve"> </w:t>
      </w:r>
      <w:r>
        <w:rPr>
          <w:bCs/>
          <w:b/>
        </w:rPr>
        <w:t xml:space="preserve">weather–demand associations</w:t>
      </w:r>
      <w:r>
        <w:t xml:space="preserve">,</w:t>
      </w:r>
      <w:r>
        <w:t xml:space="preserve"> </w:t>
      </w:r>
      <w:r>
        <w:rPr>
          <w:bCs/>
          <w:b/>
        </w:rPr>
        <w:t xml:space="preserve">surge magnitudes</w:t>
      </w:r>
      <w:r>
        <w:t xml:space="preserve"> </w:t>
      </w:r>
      <w:r>
        <w:t xml:space="preserve">(peak-to-baseline ratios),</w:t>
      </w:r>
      <w:r>
        <w:t xml:space="preserve"> </w:t>
      </w:r>
      <w:r>
        <w:rPr>
          <w:bCs/>
          <w:b/>
        </w:rPr>
        <w:t xml:space="preserve">length-of-stay / occupancy distributions</w:t>
      </w:r>
      <w:r>
        <w:t xml:space="preserve">.</w:t>
      </w:r>
      <w:r>
        <w:t xml:space="preserve"> </w:t>
      </w:r>
      <w:r>
        <w:rPr>
          <w:bCs/>
          <w:b/>
        </w:rPr>
        <w:t xml:space="preserve">Secondary (only if core completes on schedule):</w:t>
      </w:r>
      <w:r>
        <w:t xml:space="preserve"> </w:t>
      </w:r>
      <w:r>
        <w:t xml:space="preserve">transmission parameters and shedding-to-incidence conversions; neither is on the critical path. Inclusion criteria, effect measures, uncertainty representation and transportability variables are fixed first.</w:t>
      </w:r>
    </w:p>
    <w:bookmarkEnd w:id="45"/>
    <w:bookmarkStart w:id="46"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the faster sources of T3.2's secondary prior variant. The benchmark is an open deliverable.</w:t>
      </w:r>
    </w:p>
    <w:bookmarkEnd w:id="46"/>
    <w:bookmarkStart w:id="47"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with sensitivity to the underlying model version.</w:t>
      </w:r>
    </w:p>
    <w:bookmarkEnd w:id="47"/>
    <w:bookmarkStart w:id="48"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8"/>
    <w:bookmarkStart w:id="49"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Manual extraction is expensive; if expert time binds, the benchmark narrows to the core parameter classes.</w:t>
      </w:r>
    </w:p>
    <w:bookmarkEnd w:id="49"/>
    <w:bookmarkEnd w:id="50"/>
    <w:bookmarkStart w:id="56" w:name="X96361259bb603d8d0d63166386752c7f2a90aae"/>
    <w:p>
      <w:pPr>
        <w:pStyle w:val="Heading4"/>
      </w:pPr>
      <w:r>
        <w:t xml:space="preserve">WP2: A parsimonious model of health-system escalation</w:t>
      </w:r>
      <w:r>
        <w:t xml:space="preserve"> </w:t>
      </w:r>
      <w:r>
        <w:rPr>
          <w:iCs/>
          <w:i/>
        </w:rPr>
        <w:t xml:space="preserve">(M1–M28)</w:t>
      </w:r>
    </w:p>
    <w:bookmarkStart w:id="51"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p>
    <w:bookmarkEnd w:id="51"/>
    <w:bookmarkStart w:id="52"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a supporting representation, not a separate objective.</w:t>
      </w:r>
    </w:p>
    <w:bookmarkEnd w:id="52"/>
    <w:bookmarkStart w:id="53"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weakly informative, fixed evidence-derived and adaptive robust borrowing, distinguishing the value of evidence from that of the regime representation. The adaptive specification is a robust mixture of an evidence-derived and a weakly informative component, prior–data conflict recorded explicitly. Power-prior and commensurate-prior approaches are sensitivity comparators.</w:t>
      </w:r>
    </w:p>
    <w:bookmarkEnd w:id="53"/>
    <w:bookmarkStart w:id="54"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4"/>
    <w:bookmarkStart w:id="55"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not a headline claim. Release a documented reference implementation integrated with LiteRev-Evidence.</w:t>
      </w:r>
    </w:p>
    <w:p>
      <w:pPr>
        <w:pStyle w:val="BodyText"/>
      </w:pPr>
      <w:r>
        <w:rPr>
          <w:bCs/>
          <w:b/>
        </w:rPr>
        <w:t xml:space="preserve">Simulation is prior information, not data.</w:t>
      </w:r>
      <w:r>
        <w:t xml:space="preserve"> </w:t>
      </w:r>
      <w:r>
        <w:t xml:space="preserve">Fitting to literature-parameterised trajectories as if independent observations would count the same prior information twice and disable the prior–data discrepancy diagnostic H3b depends on. Mechanistic simulation serves only identifiability studies, structural constraints and prior predictive checking; generated trajectories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5"/>
    <w:bookmarkEnd w:id="56"/>
    <w:bookmarkStart w:id="63" w:name="X3621a3c2966e02ae9abd610739842be4cccf549"/>
    <w:p>
      <w:pPr>
        <w:pStyle w:val="Heading4"/>
      </w:pPr>
      <w:r>
        <w:t xml:space="preserve">WP3: The decisive cold-start experiment</w:t>
      </w:r>
      <w:r>
        <w:t xml:space="preserve"> </w:t>
      </w:r>
      <w:r>
        <w:rPr>
          <w:iCs/>
          <w:i/>
        </w:rPr>
        <w:t xml:space="preserve">(M12–M42)</w:t>
      </w:r>
    </w:p>
    <w:bookmarkStart w:id="57"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 with sensitivity to the construction reported.</w:t>
      </w:r>
      <w:r>
        <w:t xml:space="preserve"> </w:t>
      </w:r>
      <w:r>
        <w:rPr>
          <w:bCs/>
          <w:b/>
        </w:rPr>
        <w:t xml:space="preserve">The heat arm scores heat-sensitive demand</w:t>
      </w:r>
      <w:r>
        <w:t xml:space="preserve">: the same series and construction, restricted to cause classes fixed at registration (dehydration, renal, psychiatric, per the Swiss evidence), with respiratory-restricted and 75+ sensitivities.</w:t>
      </w:r>
      <w:r>
        <w:t xml:space="preserve"> </w:t>
      </w:r>
      <w:r>
        <w:rPr>
          <w:bCs/>
          <w:b/>
        </w:rPr>
        <w:t xml:space="preserve">The primary claim is scoped to what the series measures</w:t>
      </w:r>
      <w:r>
        <w:t xml:space="preserve">: the operational demand signal observed by the dispatch system.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governs only which series H3a is scored on.</w:t>
      </w:r>
    </w:p>
    <w:p>
      <w:pPr>
        <w:pStyle w:val="BodyText"/>
      </w:pPr>
      <w:r>
        <w:rPr>
          <w:bCs/>
          <w:b/>
        </w:rPr>
        <w:t xml:space="preserve">Data-access gate.</w:t>
      </w:r>
      <w:r>
        <w:t xml:space="preserve"> </w:t>
      </w:r>
      <w:r>
        <w:t xml:space="preserve">Criteria fixed in advance for</w:t>
      </w:r>
      <w:r>
        <w:t xml:space="preserve"> </w:t>
      </w:r>
      <w:r>
        <w:rPr>
          <w:bCs/>
          <w:b/>
        </w:rPr>
        <w:t xml:space="preserve">historical depth, temporal resolution, reporting latency and completeness</w:t>
      </w:r>
      <w:r>
        <w:t xml:space="preserv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a winter with concurrent influenza and RSV is one surge, not two.</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but before any evaluation runs, by the pre-declared selection rules of T3.3. Earlier would be guesswork; after any look at performance, indefensible.</w:t>
      </w:r>
    </w:p>
    <w:bookmarkEnd w:id="57"/>
    <w:bookmarkStart w:id="58"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truncation/nowcasting so incomplete recent reporting is not mistaken for falling demand [Höhle 2014; McGough 2020]. Degraded reporting under strain could itself mimic an early-warning signal, so missingness and delay are characterised explicitly.</w:t>
      </w:r>
    </w:p>
    <w:bookmarkEnd w:id="58"/>
    <w:bookmarkStart w:id="59"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passes through the same extraction and measurement-error pipeline but stays out of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enforcing the rolling cut-off. Forecast horizons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origin, never any future information.</w:t>
      </w:r>
    </w:p>
    <w:bookmarkEnd w:id="59"/>
    <w:bookmarkStart w:id="60"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 (1) seasonal/naive local baseline; (2) established short-baseline surveillance method; (3) regime model, weakly informative priors; (4) the same model, fixed evidence-derived priors; (5) adaptive borrowing with conflict monitoring; (6) adaptive borrowing plus resilience indicators.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ladder contrasts are secondary.</w:t>
      </w:r>
      <w:r>
        <w:t xml:space="preserve"> </w:t>
      </w:r>
      <w:r>
        <w:rPr>
          <w:bCs/>
          <w:b/>
        </w:rPr>
        <w:t xml:space="preserve">Rung 3 is pinned in the registration</w:t>
      </w:r>
      <w:r>
        <w:t xml:space="preserve">, with a pre-declared set of vaguer and tighter alternatives reported as a sensitivity band: the comparator cannot be tuned into a straw man after the fact.</w:t>
      </w:r>
    </w:p>
    <w:p>
      <w:pPr>
        <w:pStyle w:val="BodyText"/>
      </w:pPr>
      <w:r>
        <w:rPr>
          <w:bCs/>
          <w:b/>
        </w:rPr>
        <w:t xml:space="preserve">Primary endpoint:</w:t>
      </w:r>
      <w:r>
        <w:t xml:space="preserve"> </w:t>
      </w:r>
      <w:r>
        <w:t xml:space="preserve">the CRPS skill score of rung 4 versus rung 3 over the cold-start window. The unit of inference is the</w:t>
      </w:r>
      <w:r>
        <w:t xml:space="preserve"> </w:t>
      </w:r>
      <w:r>
        <w:rPr>
          <w:bCs/>
          <w:b/>
        </w:rPr>
        <w:t xml:space="preserve">episode</w:t>
      </w:r>
      <w:r>
        <w:t xml:space="preserve"> </w:t>
      </w:r>
      <w:r>
        <w:t xml:space="preserve">(origins are repeated measures within it);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within-episode dependence and heterogeneity),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set by a pre-declared rule on the simulated effect distribution, both chosen by algorithms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60"/>
    <w:bookmarkStart w:id="61"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1"/>
    <w:bookmarkStart w:id="62"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If clinical data are delayed, H3a remains testable on open federal/cantonal and European surveillance series under the same rolling-origin restriction; §2.4 states the cost.</w:t>
      </w:r>
    </w:p>
    <w:bookmarkEnd w:id="62"/>
    <w:bookmarkEnd w:id="63"/>
    <w:bookmarkStart w:id="67" w:name="X817573a182041657fbc376b8819e3f332001f1c"/>
    <w:p>
      <w:pPr>
        <w:pStyle w:val="Heading4"/>
      </w:pPr>
      <w:r>
        <w:t xml:space="preserve">WP4: From predictive skill to operational value</w:t>
      </w:r>
      <w:r>
        <w:t xml:space="preserve"> </w:t>
      </w:r>
      <w:r>
        <w:rPr>
          <w:iCs/>
          <w:i/>
        </w:rPr>
        <w:t xml:space="preserve">(M24–M48)</w:t>
      </w:r>
    </w:p>
    <w:bookmarkStart w:id="64"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w:t>
      </w:r>
    </w:p>
    <w:bookmarkEnd w:id="64"/>
    <w:bookmarkStart w:id="65"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A model counts as useful only if its improvement crosses a decision-relevant threshold.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5"/>
    <w:bookmarkStart w:id="66"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If authorised, the framework also runs in</w:t>
      </w:r>
      <w:r>
        <w:t xml:space="preserve"> </w:t>
      </w:r>
      <w:r>
        <w:rPr>
          <w:bCs/>
          <w:b/>
        </w:rPr>
        <w:t xml:space="preserve">shadow mode</w:t>
      </w:r>
      <w:r>
        <w:t xml:space="preserve"> </w:t>
      </w:r>
      <w:r>
        <w:t xml:space="preserve">(forecasts recorded, never used clinically); if not,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and prospective validation where feasible.</w:t>
      </w:r>
    </w:p>
    <w:p>
      <w:pPr>
        <w:pStyle w:val="BodyText"/>
      </w:pPr>
      <w:r>
        <w:rPr>
          <w:bCs/>
          <w:b/>
        </w:rPr>
        <w:t xml:space="preserve">Methods, data protection and reproducibility.</w:t>
      </w:r>
      <w:r>
        <w:t xml:space="preserve"> </w:t>
      </w:r>
      <w:r>
        <w:t xml:space="preserve">Version-controlled R/Python, a registered analysis plan for confirmatory comparisons; clinical data processed in the UNIGE secure environment under a new CCER approval with me as applicant; benchmark and software released openly, synthetic equivalents where possible.</w:t>
      </w:r>
    </w:p>
    <w:bookmarkEnd w:id="66"/>
    <w:bookmarkEnd w:id="67"/>
    <w:bookmarkStart w:id="68"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t>
      </w:r>
      <w:r>
        <w:t xml:space="preserve">(WP1 establishes that boundary, WP3 quantifies the cost of ignoring it: a publishable negative result);</w:t>
      </w:r>
      <w:r>
        <w:t xml:space="preserve"> </w:t>
      </w:r>
      <w:r>
        <w:rPr>
          <w:bCs/>
          <w:b/>
        </w:rPr>
        <w:t xml:space="preserve">the state model may be weakly identifiable</w:t>
      </w:r>
      <w:r>
        <w:t xml:space="preserve"> </w:t>
      </w:r>
      <w:r>
        <w:t xml:space="preserve">(simulation first, ordinal fallback, the identifiability boundary reported as a result). None of the explicit fallbacks above converts an inconclusive analysis into a success claim.</w:t>
      </w:r>
    </w:p>
    <w:p>
      <w:pPr>
        <w:pStyle w:val="BodyText"/>
      </w:pPr>
      <w:r>
        <w:rPr>
          <w:bCs/>
          <w:b/>
        </w:rPr>
        <w:t xml:space="preserve">Expected outputs.</w:t>
      </w:r>
      <w:r>
        <w:t xml:space="preserve"> </w:t>
      </w:r>
      <w:r>
        <w:t xml:space="preserve">Approximately four to six papers and two durable open resources: the quantitative extraction benchmark and the evidence-to-prior reference framework.</w:t>
      </w:r>
      <w:r>
        <w:t xml:space="preserve"> </w:t>
      </w:r>
      <w:r>
        <w:rPr>
          <w:bCs/>
          <w:b/>
        </w:rPr>
        <w:t xml:space="preserve">I lead the methodological, benchmark and integrative outputs.</w:t>
      </w:r>
    </w:p>
    <w:p>
      <w:r>
        <w:pict>
          <v:rect style="width:0;height:1.5pt" o:hralign="center" o:hrstd="t" o:hr="t"/>
        </w:pict>
      </w:r>
    </w:p>
    <w:bookmarkEnd w:id="68"/>
    <w:bookmarkEnd w:id="69"/>
    <w:bookmarkStart w:id="70"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collaboration with</w:t>
      </w:r>
      <w:r>
        <w:t xml:space="preserve"> </w:t>
      </w:r>
      <w:r>
        <w:rPr>
          <w:bCs/>
          <w:b/>
        </w:rPr>
        <w:t xml:space="preserve">HUG emergency medicine</w:t>
      </w:r>
      <w:r>
        <w:t xml:space="preserve"> </w:t>
      </w:r>
      <w:r>
        <w:t xml:space="preserve">(Prof. Thibaut Desmettre; Dr Robert Larribau, médecin responsable CASU-144).</w:t>
      </w:r>
    </w:p>
    <w:p>
      <w:pPr>
        <w:pStyle w:val="BodyText"/>
      </w:pPr>
      <w:r>
        <w:t xml:space="preserve">The project needs three capabilities rarely housed together: quantitative methods, evidence synthesis, and access to a working emergency system.</w:t>
      </w:r>
      <w:r>
        <w:t xml:space="preserve"> </w:t>
      </w:r>
      <w:r>
        <w:rPr>
          <w:bCs/>
          <w:b/>
        </w:rPr>
        <w:t xml:space="preserve">Institute of Global Health:</w:t>
      </w:r>
      <w:r>
        <w:t xml:space="preserve"> </w:t>
      </w:r>
      <w:r>
        <w:t xml:space="preserve">epidemiology, infectious-disease modelling and automated evidence extraction in one institute;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WP1 needs; through GESICA I already work with the emergency-medicine partners, and the AI-in-EMS review [Edjinedja 2026] evidences the functioning collaboration.</w:t>
      </w:r>
    </w:p>
    <w:p>
      <w:pPr>
        <w:pStyle w:val="BodyText"/>
      </w:pPr>
      <w:r>
        <w:rPr>
          <w:bCs/>
          <w:b/>
        </w:rPr>
        <w:t xml:space="preserve">Existing infrastructure.</w:t>
      </w:r>
      <w:r>
        <w:t xml:space="preserve"> </w:t>
      </w:r>
      <w:r>
        <w:t xml:space="preserve">LiteRev-Evidence is a prototype (live federated search of the open literature, screening, living reviews, provenance-tracked extraction with quality scoring, pooling into parameter distributions,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318" w:type="dxa"/>
        <w:tblLook w:firstRow="1" w:lastRow="0" w:firstColumn="0" w:lastColumn="0" w:noHBand="0" w:noVBand="0" w:val="0020"/>
        <w:jc w:val="start"/>
        <w:tblLayout w:type="fixed"/>
      </w:tblPr>
      <w:tblGrid>
        <w:gridCol w:w="2424"/>
        <w:gridCol w:w="900"/>
        <w:gridCol w:w="69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Collaboration 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Collaboration letter requested. Continuous, daily, near real-time, archive depth to confirm;</w:t>
            </w:r>
            <w:r>
              <w:t xml:space="preserve"> </w:t>
            </w:r>
            <w:r>
              <w:rPr>
                <w:bCs/>
                <w:b/>
              </w:rPr>
              <w:t xml:space="preserve">HUG centrale access already established within GESICA</w:t>
            </w:r>
            <w:r>
              <w:t xml:space="preserve"> </w:t>
            </w:r>
            <w:r>
              <w:t xml:space="preserve">(voice excluded); own agreement and CCER approval required</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Collaboration letter requested; daily historical availability to confirm</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Collaboration letter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key remaining feasibility items; §2.4 states their cost.</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318" w:type="dxa"/>
        <w:tblLook w:firstRow="1" w:lastRow="0" w:firstColumn="0" w:lastColumn="0" w:noHBand="0" w:noVBand="0" w:val="0020"/>
        <w:jc w:val="start"/>
        <w:tblLayout w:type="fixed"/>
      </w:tblPr>
      <w:tblGrid>
        <w:gridCol w:w="4276"/>
        <w:gridCol w:w="6042"/>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Results presentation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above, each leaving the central question answerable with the claim narrowed and the narrowing stated.</w:t>
      </w:r>
    </w:p>
    <w:p>
      <w:r>
        <w:pict>
          <v:rect style="width:0;height:1.5pt" o:hralign="center" o:hrstd="t" o:hr="t"/>
        </w:pict>
      </w:r>
    </w:p>
    <w:bookmarkEnd w:id="70"/>
    <w:bookmarkEnd w:id="71"/>
    <w:bookmarkStart w:id="76" w:name="X10aa73bd92b9e3b0d0e8f9aceaa1d28354da000"/>
    <w:p>
      <w:pPr>
        <w:pStyle w:val="Heading2"/>
      </w:pPr>
      <w:r>
        <w:t xml:space="preserve">2.4 Schedule and milestones</w:t>
      </w:r>
    </w:p>
    <w:p>
      <w:pPr>
        <w:pStyle w:val="FirstParagraph"/>
      </w:pPr>
      <w:r>
        <w:drawing>
          <wp:inline>
            <wp:extent cx="5334000" cy="3429762"/>
            <wp:effectExtent b="0" l="0" r="0" t="0"/>
            <wp:docPr descr="Work plan" title="" id="73" name="Picture"/>
            <a:graphic>
              <a:graphicData uri="http://schemas.openxmlformats.org/drawingml/2006/picture">
                <pic:pic>
                  <pic:nvPicPr>
                    <pic:cNvPr descr="figures/fig2-gantt.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334000" cy="3429762"/>
                    </a:xfrm>
                    <a:prstGeom prst="rect">
                      <a:avLst/>
                    </a:prstGeom>
                    <a:noFill/>
                    <a:ln w="9525">
                      <a:noFill/>
                      <a:headEnd/>
                      <a:tailEnd/>
                    </a:ln>
                  </pic:spPr>
                </pic:pic>
              </a:graphicData>
            </a:graphic>
          </wp:inline>
        </w:drawing>
      </w:r>
      <w:r>
        <w:t xml:space="preserve"> </w:t>
      </w:r>
      <w:r>
        <w:rPr>
          <w:iCs/>
          <w:i/>
        </w:rPr>
        <w:t xml:space="preserve">Figure 2: work packages, tasks and milestones over 48 months.</w:t>
      </w:r>
    </w:p>
    <w:p>
      <w:pPr>
        <w:pStyle w:val="BodyText"/>
      </w:pPr>
      <w:r>
        <w:rPr>
          <w:bCs/>
          <w:b/>
        </w:rPr>
        <w:t xml:space="preserve">Who does what.</w:t>
      </w:r>
      <w:r>
        <w:t xml:space="preserve"> </w:t>
      </w:r>
      <w:r>
        <w:t xml:space="preserve">I execute WP2 and WP3's confirmatory design personally, and lead WP1's</w:t>
      </w:r>
      <w:r>
        <w:t xml:space="preserve"> </w:t>
      </w:r>
      <w:r>
        <w:t xml:space="preserve">protocol, WP3's analysis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 to open surveillance data if operational access is delayed, and WP4's decision analysis is retrospective.</w:t>
      </w:r>
      <w:r>
        <w:t xml:space="preserve"> </w:t>
      </w:r>
      <w:r>
        <w:rPr>
          <w:bCs/>
          <w:b/>
        </w:rPr>
        <w:t xml:space="preserve">What the data fallback costs:</w:t>
      </w:r>
      <w:r>
        <w:t xml:space="preserve"> </w:t>
      </w:r>
      <w:r>
        <w:t xml:space="preserve">Open surveillance series are not emergency-system demand. Falling back</w:t>
      </w:r>
      <w:r>
        <w:t xml:space="preserve"> </w:t>
      </w:r>
      <w:r>
        <w:rPr>
          <w:bCs/>
          <w:b/>
        </w:rPr>
        <w:t xml:space="preserve">preserves the methodological test but narrows the outcome claim</w:t>
      </w:r>
      <w:r>
        <w:t xml:space="preserve"> </w:t>
      </w:r>
      <w:r>
        <w:t xml:space="preserve">to routinely observed crisis indicators, and turns most of WP4 illustrative. Hence the agreements are a pre-award action, not a risk to manage later.</w:t>
      </w:r>
    </w:p>
    <w:tbl>
      <w:tblPr>
        <w:tblStyle w:val="Table"/>
        <w:tblW w:w="10318" w:type="dxa"/>
        <w:tblLook w:firstRow="1" w:lastRow="0" w:firstColumn="0" w:lastColumn="0" w:noHBand="0" w:noVBand="0" w:val="0020"/>
        <w:jc w:val="start"/>
        <w:tblLayout w:type="fixed"/>
      </w:tblPr>
      <w:tblGrid>
        <w:gridCol w:w="1508"/>
        <w:gridCol w:w="970"/>
        <w:gridCol w:w="784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76"/>
    <w:bookmarkStart w:id="77" w:name="Xfa74544992b8a2e9fab533cfaf936bad7ec032c"/>
    <w:p>
      <w:pPr>
        <w:pStyle w:val="Heading2"/>
      </w:pPr>
      <w:r>
        <w:t xml:space="preserve">2.5 Relevance and impact</w:t>
      </w:r>
    </w:p>
    <w:p>
      <w:pPr>
        <w:pStyle w:val="FirstParagraph"/>
      </w:pPr>
      <w:r>
        <w:t xml:space="preserve">The project tests an assumption crisis forecasting makes informally: that accumulated evidence from elsewhere is useful when local outcome data are insufficient. 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routinely seed early-crisis models with parameters lifted from a few studies, and evidence-synthesis platforms (including my own) assume pooled estimates are reusable as priors; a calibrated null tells those groups the practice buys nothing where it is most used.</w:t>
      </w:r>
    </w:p>
    <w:p>
      <w:pPr>
        <w:pStyle w:val="BodyText"/>
      </w:pPr>
      <w:r>
        <w:rPr>
          <w:bCs/>
          <w:b/>
        </w:rPr>
        <w:t xml:space="preserve">Form of publication.</w:t>
      </w:r>
      <w:r>
        <w:t xml:space="preserve"> </w:t>
      </w:r>
      <w:r>
        <w:t xml:space="preserve">Peer-reviewed articles (methods in biostatistics and evidence-synthesis venues, applied results in epidemiology and emergency/health-services journals), preprints on submission, open access throughout; the benchmark, prior library and evaluation code as</w:t>
      </w:r>
      <w:r>
        <w:t xml:space="preserve"> </w:t>
      </w:r>
      <w:r>
        <w:rPr>
          <w:bCs/>
          <w:b/>
        </w:rPr>
        <w:t xml:space="preserve">citable, versioned open datasets and software</w:t>
      </w:r>
      <w:r>
        <w:t xml:space="preserve">; results returned to the operational partners.</w:t>
      </w:r>
    </w:p>
    <w:p>
      <w:pPr>
        <w:pStyle w:val="BodyText"/>
      </w:pPr>
      <w:r>
        <w:t xml:space="preserve">Three durable resources remain, subordinate to the central question:</w:t>
      </w:r>
      <w:r>
        <w:t xml:space="preserve"> </w:t>
      </w:r>
      <w:r>
        <w:rPr>
          <w:bCs/>
          <w:b/>
        </w:rPr>
        <w:t xml:space="preserve">a quantitative extraction benchmark</w:t>
      </w:r>
      <w:r>
        <w:t xml:space="preserve">;</w:t>
      </w:r>
      <w:r>
        <w:t xml:space="preserve"> </w:t>
      </w:r>
      <w:r>
        <w:rPr>
          <w:bCs/>
          <w:b/>
        </w:rPr>
        <w:t xml:space="preserve">an open reference framework</w:t>
      </w:r>
      <w:r>
        <w:t xml:space="preserve"> </w:t>
      </w:r>
      <w:r>
        <w:t xml:space="preserve">for evidence-informed latent-state forecasting;</w:t>
      </w:r>
      <w:r>
        <w:t xml:space="preserve"> </w:t>
      </w:r>
      <w:r>
        <w:rPr>
          <w:bCs/>
          <w:b/>
        </w:rPr>
        <w:t xml:space="preserve">a decision-analytic evaluation framework</w:t>
      </w:r>
      <w:r>
        <w:t xml:space="preserve">. The project is not a new extraction system, an early-warning indicator or a forecasting competition.</w:t>
      </w:r>
    </w:p>
    <w:p>
      <w:pPr>
        <w:pStyle w:val="BodyText"/>
      </w:pPr>
      <w:r>
        <w:rPr>
          <w:bCs/>
          <w:b/>
        </w:rPr>
        <w:t xml:space="preserve">Practical and societal impact.</w:t>
      </w:r>
      <w:r>
        <w:t xml:space="preserve"> </w:t>
      </w:r>
      <w:r>
        <w:t xml:space="preserve">The contribution is preparedness, not a promised deployment. 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contrasting domains show what transfers.</w:t>
      </w:r>
    </w:p>
    <w:bookmarkEnd w:id="77"/>
    <w:bookmarkStart w:id="78"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My UNIGE trajectory is stated in full below: none of these programmes has this project's objective.</w:t>
      </w:r>
    </w:p>
    <w:tbl>
      <w:tblPr>
        <w:tblStyle w:val="Table"/>
        <w:tblW w:w="10318" w:type="dxa"/>
        <w:tblLook w:firstRow="1" w:lastRow="0" w:firstColumn="0" w:lastColumn="0" w:noHBand="0" w:noVBand="0" w:val="0020"/>
        <w:jc w:val="start"/>
        <w:tblLayout w:type="fixed"/>
      </w:tblPr>
      <w:tblGrid>
        <w:gridCol w:w="1985"/>
        <w:gridCol w:w="3476"/>
        <w:gridCol w:w="1277"/>
        <w:gridCol w:w="358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Builds decision support;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evidence-derived priors help cold-start forecasting, and when they harm</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research programme rather than continue as a member of an existing group, collaborating with the Institute's groups, including the one in which I developed LiteRev;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two open resources the field can build on, and a first-author methodological record in my own name: the basis for a group-leadership position or professorship. The follow-on programme fuses evidence streams of different velocity (literature, situational reporting, structured feeds) in one calibrated state model, conflict monitoring deciding how much each may say; this project supplies its evidence base. My research time is currently divided across four collaborative programmes; Ambizione consolidates it into one.</w:t>
      </w:r>
    </w:p>
    <w:p>
      <w:r>
        <w:pict>
          <v:rect style="width:0;height:1.5pt" o:hralign="center" o:hrstd="t" o:hr="t"/>
        </w:pict>
      </w:r>
    </w:p>
    <w:bookmarkEnd w:id="78"/>
    <w:bookmarkEnd w:id="79"/>
    <w:bookmarkStart w:id="94" w:name="bibliography"/>
    <w:p>
      <w:pPr>
        <w:pStyle w:val="Heading1"/>
      </w:pPr>
      <w:r>
        <w:t xml:space="preserve">Bibliography</w:t>
      </w:r>
    </w:p>
    <w:p>
      <w:pPr>
        <w:pStyle w:val="Heading2"/>
      </w:pPr>
      <w:bookmarkStart w:id="80" w:name="status-of-this-list"/>
      <w:r>
        <w:t xml:space="preserve">Status of this list</w:t>
      </w:r>
      <w:bookmarkEnd w:id="80"/>
    </w:p>
    <w:p>
      <w:pPr>
        <w:pStyle w:val="BlockText"/>
      </w:pPr>
      <w:r>
        <w:rPr>
          <w:bCs/>
          <w:b/>
        </w:rPr>
        <w:t xml:space="preserve">Two formal requirements from the call documents (Guidelines, "Bibliography"):</w:t>
      </w:r>
      <w:r>
        <w:t xml:space="preserve"> </w:t>
      </w:r>
      <w:r>
        <w:t xml:space="preserve">(1)</w:t>
      </w:r>
      <w:r>
        <w:t xml:space="preserve"> </w:t>
      </w:r>
      <w:r>
        <w:rPr>
          <w:bCs/>
          <w:b/>
        </w:rPr>
        <w:t xml:space="preserve">Do not use "et al."</w:t>
      </w:r>
      <w:r>
        <w:t xml:space="preserve">; give the full author list. The only exception is a publication</w:t>
      </w:r>
      <w:r>
        <w:t xml:space="preserve"> </w:t>
      </w:r>
      <w:r>
        <w:t xml:space="preserve">involving a large international consortium with</w:t>
      </w:r>
      <w:r>
        <w:t xml:space="preserve"> </w:t>
      </w:r>
      <w:r>
        <w:rPr>
          <w:bCs/>
          <w:b/>
        </w:rPr>
        <w:t xml:space="preserve">over 50 authors</w:t>
      </w:r>
      <w:r>
        <w:t xml:space="preserve">. (2) Give the full reference</w:t>
      </w:r>
      <w:r>
        <w:t xml:space="preserve"> </w:t>
      </w:r>
      <w:r>
        <w:t xml:space="preserve">including</w:t>
      </w:r>
      <w:r>
        <w:t xml:space="preserve"> </w:t>
      </w:r>
      <w:r>
        <w:rPr>
          <w:bCs/>
          <w:b/>
        </w:rPr>
        <w:t xml:space="preserve">title, source and a DOI where possible</w:t>
      </w:r>
      <w:r>
        <w:t xml:space="preserve">. Entries below marked</w:t>
      </w:r>
      <w:r>
        <w:t xml:space="preserve"> </w:t>
      </w:r>
      <w:r>
        <w:rPr>
          <w:rStyle w:val="VerbatimChar"/>
        </w:rPr>
        <w:t xml:space="preserve">[[FULL AUTHOR LIST REQUIRED]]</w:t>
      </w:r>
      <w:r>
        <w:t xml:space="preserve"> </w:t>
      </w:r>
      <w:r>
        <w:t xml:space="preserve">must be completed from the publisher record; I have not invented</w:t>
      </w:r>
      <w:r>
        <w:t xml:space="preserve"> </w:t>
      </w:r>
      <w:r>
        <w:t xml:space="preserve">names. Only three entries currently carry a DOI; add the rest.</w:t>
      </w:r>
    </w:p>
    <w:p>
      <w:pPr>
        <w:pStyle w:val="BlockText"/>
      </w:pPr>
      <w:r>
        <w:t xml:space="preserve">Note also:</w:t>
      </w:r>
      <w:r>
        <w:t xml:space="preserve"> </w:t>
      </w:r>
      <w:r>
        <w:rPr>
          <w:bCs/>
          <w:b/>
        </w:rPr>
        <w:t xml:space="preserve">links to websites are not permitted</w:t>
      </w:r>
      <w:r>
        <w:t xml:space="preserve"> </w:t>
      </w:r>
      <w:r>
        <w:t xml:space="preserve">anywhere in the research plan or bibliography.</w:t>
      </w:r>
    </w:p>
    <w:p>
      <w:pPr>
        <w:pStyle w:val="BlockText"/>
      </w:pPr>
      <w:r>
        <w:t xml:space="preserve">The references below were</w:t>
      </w:r>
      <w:r>
        <w:t xml:space="preserve"> </w:t>
      </w:r>
      <w:r>
        <w:rPr>
          <w:bCs/>
          <w:b/>
        </w:rPr>
        <w:t xml:space="preserve">located and cross-checked against search results during drafting</w:t>
      </w:r>
      <w:r>
        <w:t xml:space="preserve">.</w:t>
      </w:r>
      <w:r>
        <w:t xml:space="preserve"> </w:t>
      </w:r>
      <w:r>
        <w:t xml:space="preserve">They are real works, and the attributions match what the sources report. They are</w:t>
      </w:r>
      <w:r>
        <w:t xml:space="preserve"> </w:t>
      </w:r>
      <w:r>
        <w:rPr>
          <w:bCs/>
          <w:b/>
        </w:rPr>
        <w:t xml:space="preserve">not yet</w:t>
      </w:r>
      <w:r>
        <w:rPr>
          <w:bCs/>
          <w:b/>
        </w:rPr>
        <w:t xml:space="preserve"> </w:t>
      </w:r>
      <w:r>
        <w:rPr>
          <w:bCs/>
          <w:b/>
        </w:rPr>
        <w:t xml:space="preserve">verified against the articles themselves</w:t>
      </w:r>
      <w:r>
        <w:t xml:space="preserve">; volume, issue, page numbers and exact author lists</w:t>
      </w:r>
      <w:r>
        <w:t xml:space="preserve"> </w:t>
      </w:r>
      <w:r>
        <w:t xml:space="preserve">must be confirmed from the publisher record before submission, and three entries flagged</w:t>
      </w:r>
      <w:r>
        <w:t xml:space="preserve"> </w:t>
      </w:r>
      <w:r>
        <w:rPr>
          <w:rStyle w:val="VerbatimChar"/>
        </w:rPr>
        <w:t xml:space="preserve">verify authorship</w:t>
      </w:r>
      <w:r>
        <w:t xml:space="preserve"> </w:t>
      </w:r>
      <w:r>
        <w:t xml:space="preserve">below are ones where the search returned the work but not a reliable author</w:t>
      </w:r>
      <w:r>
        <w:t xml:space="preserve"> </w:t>
      </w:r>
      <w:r>
        <w:t xml:space="preserve">list.</w:t>
      </w:r>
    </w:p>
    <w:p>
      <w:pPr>
        <w:pStyle w:val="BlockText"/>
      </w:pPr>
      <w:r>
        <w:t xml:space="preserve">I have</w:t>
      </w:r>
      <w:r>
        <w:t xml:space="preserve"> </w:t>
      </w:r>
      <w:r>
        <w:rPr>
          <w:bCs/>
          <w:b/>
        </w:rPr>
        <w:t xml:space="preserve">not generated any citation I could not locate.</w:t>
      </w:r>
      <w:r>
        <w:t xml:space="preserve"> </w:t>
      </w:r>
      <w:r>
        <w:t xml:space="preserve">Where §2.1 makes a claim I could not</w:t>
      </w:r>
      <w:r>
        <w:t xml:space="preserve"> </w:t>
      </w:r>
      <w:r>
        <w:t xml:space="preserve">source, it carries a</w:t>
      </w:r>
      <w:r>
        <w:t xml:space="preserve"> </w:t>
      </w:r>
      <w:r>
        <w:rPr>
          <w:rStyle w:val="VerbatimChar"/>
        </w:rPr>
        <w:t xml:space="preserve">[[…]]</w:t>
      </w:r>
      <w:r>
        <w:t xml:space="preserve"> </w:t>
      </w:r>
      <w:r>
        <w:t xml:space="preserve">marker asking you to supply the reference from your own reading</w:t>
      </w:r>
      <w:r>
        <w:t xml:space="preserve"> </w:t>
      </w:r>
      <w:r>
        <w:t xml:space="preserve">rather than a plausible-looking placeholder.</w:t>
      </w:r>
    </w:p>
    <w:p>
      <w:pPr>
        <w:pStyle w:val="BlockText"/>
      </w:pPr>
      <w:r>
        <w:t xml:space="preserve">The same warning applies with more force to</w:t>
      </w:r>
      <w:r>
        <w:t xml:space="preserve"> </w:t>
      </w:r>
      <w:r>
        <w:rPr>
          <w:rStyle w:val="VerbatimChar"/>
        </w:rPr>
        <w:t xml:space="preserve">GESICA_Scientific_Base.md</w:t>
      </w:r>
      <w:r>
        <w:t xml:space="preserve"> </w:t>
      </w:r>
      <w:r>
        <w:t xml:space="preserve">and</w:t>
      </w:r>
      <w:r>
        <w:t xml:space="preserve"> </w:t>
      </w:r>
      <w:r>
        <w:rPr>
          <w:rStyle w:val="VerbatimChar"/>
        </w:rPr>
        <w:t xml:space="preserve">ROADMAP.md</w:t>
      </w:r>
      <w:r>
        <w:t xml:space="preserve"> </w:t>
      </w:r>
      <w:r>
        <w:t xml:space="preserve">in the</w:t>
      </w:r>
      <w:r>
        <w:t xml:space="preserve"> </w:t>
      </w:r>
      <w:r>
        <w:t xml:space="preserve">LiteRev-Evidence repository: those are automatically generated and attribute specific</w:t>
      </w:r>
      <w:r>
        <w:t xml:space="preserve"> </w:t>
      </w:r>
      <w:r>
        <w:t xml:space="preserve">performance figures to named papers. Verify every one before reuse.</w:t>
      </w:r>
    </w:p>
    <w:p>
      <w:pPr>
        <w:pStyle w:val="BlockText"/>
      </w:pPr>
      <w:r>
        <w:t xml:space="preserve">LiteRev is the right instrument for completing this list; particularly for the novelty claim, where the</w:t>
      </w:r>
      <w:r>
        <w:t xml:space="preserve"> </w:t>
      </w:r>
      <w:r>
        <w:t xml:space="preserve">novelty claim needs a documented systematic search you can report if challenged.</w:t>
      </w:r>
    </w:p>
    <w:bookmarkStart w:id="81" w:name="surveillance-and-outbreak-detection"/>
    <w:p>
      <w:pPr>
        <w:pStyle w:val="Heading2"/>
      </w:pPr>
      <w:r>
        <w:t xml:space="preserve">Surveillance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 R Stat Soc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 Med</w:t>
      </w:r>
      <w:r>
        <w:t xml:space="preserve"> </w:t>
      </w:r>
      <w:r>
        <w:t xml:space="preserve">2013;32(7):1206–1222.</w:t>
      </w:r>
      <w:r>
        <w:t xml:space="preserve"> </w:t>
      </w:r>
      <w:r>
        <w:rPr>
          <w:rStyle w:val="VerbatimChar"/>
        </w:rPr>
        <w:t xml:space="preserve">[online first 2012; check the year you cite]</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 Med</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 Inform Decis Mak</w:t>
      </w:r>
      <w:r>
        <w:t xml:space="preserve"> </w:t>
      </w:r>
      <w:r>
        <w:t xml:space="preserve">2009;9:39.</w:t>
      </w:r>
      <w:r>
        <w:t xml:space="preserve"> </w:t>
      </w:r>
      <w:r>
        <w:t xml:space="preserve">doi:10.1186/1472-6947-9-39</w:t>
      </w:r>
    </w:p>
    <w:bookmarkEnd w:id="81"/>
    <w:bookmarkStart w:id="82"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r>
        <w:t xml:space="preserve"> </w:t>
      </w:r>
      <w:r>
        <w:rPr>
          <w:rStyle w:val="VerbatimChar"/>
        </w:rPr>
        <w:t xml:space="preserve">auditor-verified 30 Sep; confirm once against the publisher record</w:t>
      </w:r>
    </w:p>
    <w:p>
      <w:pPr>
        <w:numPr>
          <w:ilvl w:val="0"/>
          <w:numId w:val="1003"/>
        </w:numPr>
        <w:pStyle w:val="Compact"/>
      </w:pPr>
      <w:r>
        <w:rPr>
          <w:bCs/>
          <w:b/>
        </w:rPr>
        <w:t xml:space="preserve">[EMS-ILI 2025]</w:t>
      </w:r>
      <w:r>
        <w:t xml:space="preserve"> </w:t>
      </w:r>
      <w:r>
        <w:rPr>
          <w:rStyle w:val="VerbatimChar"/>
        </w:rPr>
        <w:t xml:space="preserve">[[AUTHOR LIST REQUIRED; from the publisher page; replace this citation key with the first author's name]]</w:t>
      </w:r>
      <w:r>
        <w:t xml:space="preserve">.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r>
        <w:t xml:space="preserve"> </w:t>
      </w:r>
      <w:r>
        <w:rPr>
          <w:rStyle w:val="VerbatimChar"/>
        </w:rPr>
        <w:t xml:space="preserve">final publication is 2025 (online Dec 2024); year corrected; Lombardy, seasons 2014–2024 excl. 2020–2022; note R² ≈ 0.50 supports signal-not-equivalence</w:t>
      </w:r>
    </w:p>
    <w:p>
      <w:pPr>
        <w:numPr>
          <w:ilvl w:val="0"/>
          <w:numId w:val="1003"/>
        </w:numPr>
        <w:pStyle w:val="Compact"/>
      </w:pPr>
      <w:r>
        <w:rPr>
          <w:bCs/>
          <w:b/>
        </w:rPr>
        <w:t xml:space="preserve">[Edjinedja 2026]</w:t>
      </w:r>
      <w:r>
        <w:t xml:space="preserve"> </w:t>
      </w:r>
      <w:r>
        <w:t xml:space="preserve">Edjinedja KL, Larribau R,</w:t>
      </w:r>
      <w:r>
        <w:t xml:space="preserve"> </w:t>
      </w:r>
      <w:r>
        <w:rPr>
          <w:bCs/>
          <w:b/>
        </w:rPr>
        <w:t xml:space="preserve">Orel E</w:t>
      </w:r>
      <w:r>
        <w:t xml:space="preserv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rPr>
          <w:rStyle w:val="VerbatimChar"/>
        </w:rPr>
        <w:t xml:space="preserve">[[submitted 2026; update status and venue before submission]]</w:t>
      </w:r>
    </w:p>
    <w:bookmarkEnd w:id="82"/>
    <w:bookmarkStart w:id="83"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w:t>
      </w:r>
      <w:r>
        <w:t xml:space="preserve"> </w:t>
      </w:r>
      <w:r>
        <w:rPr>
          <w:iCs/>
          <w:i/>
        </w:rPr>
        <w:t xml:space="preserve">(consortium &gt;50 authors; shortening</w:t>
      </w:r>
      <w:r>
        <w:rPr>
          <w:iCs/>
          <w:i/>
        </w:rPr>
        <w:t xml:space="preserve"> </w:t>
      </w:r>
      <w:r>
        <w:rPr>
          <w:iCs/>
          <w:i/>
        </w:rPr>
        <w:t xml:space="preserve">permitted by the guidelines; verify the count)</w:t>
      </w:r>
      <w:r>
        <w:t xml:space="preserve">. Evaluation of individual and ensemble</w:t>
      </w:r>
      <w:r>
        <w:t xml:space="preserve"> </w:t>
      </w:r>
      <w:r>
        <w:t xml:space="preserve">probabilistic forecasts of COVID-19 mortality in the United States.</w:t>
      </w:r>
      <w:r>
        <w:t xml:space="preserve"> </w:t>
      </w:r>
      <w:r>
        <w:rPr>
          <w:iCs/>
          <w:i/>
        </w:rPr>
        <w:t xml:space="preserve">PNAS</w:t>
      </w:r>
      <w:r>
        <w:t xml:space="preserve"> </w:t>
      </w:r>
      <w:r>
        <w:t xml:space="preserve">2022;119(15):</w:t>
      </w:r>
      <w:r>
        <w:t xml:space="preserve"> </w:t>
      </w:r>
      <w:r>
        <w:t xml:space="preserve">e2113561119. doi:10.1073/pnas.2113561119</w:t>
      </w:r>
    </w:p>
    <w:p>
      <w:pPr>
        <w:numPr>
          <w:ilvl w:val="0"/>
          <w:numId w:val="1004"/>
        </w:numPr>
        <w:pStyle w:val="Compact"/>
      </w:pPr>
      <w:r>
        <w:rPr>
          <w:bCs/>
          <w:b/>
        </w:rPr>
        <w:t xml:space="preserve">[Sherratt 2023]</w:t>
      </w:r>
      <w:r>
        <w:t xml:space="preserve"> </w:t>
      </w:r>
      <w:r>
        <w:t xml:space="preserve">Sherratt K, Gruson H, Grah R, et al.</w:t>
      </w:r>
      <w:r>
        <w:t xml:space="preserve"> </w:t>
      </w:r>
      <w:r>
        <w:rPr>
          <w:iCs/>
          <w:i/>
        </w:rPr>
        <w:t xml:space="preserve">(consortium &gt;50 authors; shortening</w:t>
      </w:r>
      <w:r>
        <w:rPr>
          <w:iCs/>
          <w:i/>
        </w:rPr>
        <w:t xml:space="preserve"> </w:t>
      </w:r>
      <w:r>
        <w:rPr>
          <w:iCs/>
          <w:i/>
        </w:rPr>
        <w:t xml:space="preserve">permitted; verify the count)</w:t>
      </w:r>
      <w:r>
        <w:t xml:space="preserve">. Predictive performance of multi-model</w:t>
      </w:r>
      <w:r>
        <w:t xml:space="preserve"> </w:t>
      </w:r>
      <w:r>
        <w:t xml:space="preserve">ensemble forecasts of COVID-19 across European nations.</w:t>
      </w:r>
      <w:r>
        <w:t xml:space="preserve"> </w:t>
      </w:r>
      <w:r>
        <w:rPr>
          <w:iCs/>
          <w:i/>
        </w:rPr>
        <w:t xml:space="preserve">eLife</w:t>
      </w:r>
      <w:r>
        <w:t xml:space="preserve"> </w:t>
      </w:r>
      <w:r>
        <w:t xml:space="preserve">2023. PMID 37083521.</w:t>
      </w:r>
    </w:p>
    <w:bookmarkEnd w:id="83"/>
    <w:bookmarkStart w:id="84" w:name="evidence-as-prior-information"/>
    <w:p>
      <w:pPr>
        <w:pStyle w:val="Heading2"/>
      </w:pPr>
      <w:r>
        <w:t xml:space="preserve">Evidence as prior information</w:t>
      </w:r>
    </w:p>
    <w:p>
      <w:pPr>
        <w:numPr>
          <w:ilvl w:val="0"/>
          <w:numId w:val="1005"/>
        </w:numPr>
        <w:pStyle w:val="Compact"/>
      </w:pPr>
      <w:r>
        <w:rPr>
          <w:bCs/>
          <w:b/>
        </w:rPr>
        <w:t xml:space="preserve">[Cook 2023]</w:t>
      </w:r>
      <w:r>
        <w:t xml:space="preserve"> </w:t>
      </w:r>
      <w:r>
        <w:t xml:space="preserve">Cook JD,</w:t>
      </w:r>
      <w:r>
        <w:t xml:space="preserve"> </w:t>
      </w:r>
      <w:r>
        <w:rPr>
          <w:rStyle w:val="VerbatimChar"/>
        </w:rPr>
        <w:t xml:space="preserve">[[FULL AUTHOR LIST REQUIRED]]</w:t>
      </w:r>
      <w:r>
        <w:t xml:space="preserve">.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w:t>
      </w:r>
      <w:r>
        <w:t xml:space="preserve"> </w:t>
      </w:r>
      <w:r>
        <w:rPr>
          <w:rStyle w:val="VerbatimChar"/>
        </w:rPr>
        <w:t xml:space="preserve">[[article number + doi; auditor-verified venue (s41598-023-35177-6); complete from the publisher record]]</w:t>
      </w:r>
    </w:p>
    <w:p>
      <w:pPr>
        <w:numPr>
          <w:ilvl w:val="1"/>
          <w:numId w:val="1006"/>
        </w:numPr>
        <w:pStyle w:val="Compact"/>
      </w:pPr>
      <w:r>
        <w:t xml:space="preserve">The prior-art example §2.1.2 cites: Bayesian forecasting with informative priors under</w:t>
      </w:r>
      <w:r>
        <w:t xml:space="preserve"> </w:t>
      </w:r>
      <w:r>
        <w:t xml:space="preserve">sparse local data. COLDSTART's gap is downstream of it; automated construction, propagated</w:t>
      </w:r>
      <w:r>
        <w:t xml:space="preserve"> </w:t>
      </w:r>
      <w:r>
        <w:t xml:space="preserve">extraction/transportability uncertainty, strict historical information sets, harm detection.</w:t>
      </w:r>
    </w:p>
    <w:p>
      <w:pPr>
        <w:numPr>
          <w:ilvl w:val="0"/>
          <w:numId w:val="1005"/>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5"/>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r>
        <w:t xml:space="preserve"> </w:t>
      </w:r>
      <w:r>
        <w:rPr>
          <w:rStyle w:val="VerbatimChar"/>
        </w:rPr>
        <w:t xml:space="preserve">verify volume/pages</w:t>
      </w:r>
    </w:p>
    <w:p>
      <w:pPr>
        <w:numPr>
          <w:ilvl w:val="0"/>
          <w:numId w:val="1005"/>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w:t>
      </w:r>
    </w:p>
    <w:bookmarkEnd w:id="84"/>
    <w:bookmarkStart w:id="85" w:name="automated-extraction"/>
    <w:p>
      <w:pPr>
        <w:pStyle w:val="Heading2"/>
      </w:pPr>
      <w:r>
        <w:t xml:space="preserve">Automated extraction</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 Biomed Inform</w:t>
      </w:r>
      <w:r>
        <w:t xml:space="preserve"> </w:t>
      </w:r>
      <w:r>
        <w:t xml:space="preserve">2026;181:105086.</w:t>
      </w:r>
      <w:r>
        <w:t xml:space="preserve"> </w:t>
      </w:r>
      <w:r>
        <w:t xml:space="preserve">doi:10.1016/j.jbi.2026.105086</w:t>
      </w:r>
      <w:r>
        <w:t xml:space="preserve"> </w:t>
      </w:r>
      <w:r>
        <w:rPr>
          <w:rStyle w:val="VerbatimChar"/>
        </w:rPr>
        <w:t xml:space="preserve">author list and details auditor-verified 30 Sep; confirm once against the publisher record</w:t>
      </w:r>
    </w:p>
    <w:p>
      <w:pPr>
        <w:numPr>
          <w:ilvl w:val="1"/>
          <w:numId w:val="1008"/>
        </w:numPr>
        <w:pStyle w:val="Compact"/>
      </w:pPr>
      <w:r>
        <w:t xml:space="preserve">Key figures for §2.1.2: overall accuracy 47–99.9%; numerical items 47–88% vs categorical/string</w:t>
      </w:r>
      <w:r>
        <w:t xml:space="preserve"> </w:t>
      </w:r>
      <w:r>
        <w:t xml:space="preserve">74–96%; omissions 60–74% of errors; hallucination 0.08–6%.</w:t>
      </w:r>
    </w:p>
    <w:p>
      <w:pPr>
        <w:numPr>
          <w:ilvl w:val="0"/>
          <w:numId w:val="1007"/>
        </w:numPr>
        <w:pStyle w:val="Compact"/>
      </w:pPr>
      <w:r>
        <w:rPr>
          <w:bCs/>
          <w:b/>
        </w:rPr>
        <w:t xml:space="preserve">[Orel 2023]</w:t>
      </w:r>
      <w:r>
        <w:t xml:space="preserve"> </w:t>
      </w:r>
      <w:r>
        <w:rPr>
          <w:bCs/>
          <w:b/>
        </w:rPr>
        <w:t xml:space="preserve">Orel E</w:t>
      </w:r>
      <w:r>
        <w:t xml:space="preserv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 Med Internet Res</w:t>
      </w:r>
      <w:r>
        <w:t xml:space="preserve"> </w:t>
      </w:r>
      <w:r>
        <w:t xml:space="preserve">2023;25:e39736.</w:t>
      </w:r>
    </w:p>
    <w:bookmarkEnd w:id="85"/>
    <w:bookmarkStart w:id="86" w:name="transportability"/>
    <w:p>
      <w:pPr>
        <w:pStyle w:val="Heading2"/>
      </w:pPr>
      <w:r>
        <w:t xml:space="preserve">Transportability</w:t>
      </w:r>
    </w:p>
    <w:p>
      <w:pPr>
        <w:numPr>
          <w:ilvl w:val="0"/>
          <w:numId w:val="1009"/>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PNAS</w:t>
      </w:r>
      <w:r>
        <w:t xml:space="preserve"> </w:t>
      </w:r>
      <w:r>
        <w:t xml:space="preserve">2016;113(27):7345–7352.</w:t>
      </w:r>
      <w:r>
        <w:t xml:space="preserve"> </w:t>
      </w:r>
      <w:r>
        <w:rPr>
          <w:rStyle w:val="VerbatimChar"/>
        </w:rPr>
        <w:t xml:space="preserve">also: External validity: from do-calculus to transportability across populations, Statistical Science 2014</w:t>
      </w:r>
    </w:p>
    <w:p>
      <w:pPr>
        <w:numPr>
          <w:ilvl w:val="0"/>
          <w:numId w:val="1009"/>
        </w:numPr>
        <w:pStyle w:val="Compact"/>
      </w:pPr>
      <w:r>
        <w:rPr>
          <w:bCs/>
          <w:b/>
        </w:rPr>
        <w:t xml:space="preserve">[Dahabreh 2019]</w:t>
      </w:r>
      <w:r>
        <w:t xml:space="preserve"> </w:t>
      </w:r>
      <w:r>
        <w:t xml:space="preserve">Dahabreh IJ, Petito LC, Robertson SE, Hernán MA, Steingrimsson JA. Towards</w:t>
      </w:r>
      <w:r>
        <w:t xml:space="preserve"> </w:t>
      </w:r>
      <w:r>
        <w:t xml:space="preserve">causally interpretable meta-analysis: transporting inferences from multiple studies to a target</w:t>
      </w:r>
      <w:r>
        <w:t xml:space="preserve"> </w:t>
      </w:r>
      <w:r>
        <w:t xml:space="preserve">population. arXiv:1903.11455.</w:t>
      </w:r>
      <w:r>
        <w:t xml:space="preserve"> </w:t>
      </w:r>
      <w:r>
        <w:rPr>
          <w:rStyle w:val="VerbatimChar"/>
        </w:rPr>
        <w:t xml:space="preserve">verify final publication venue</w:t>
      </w:r>
    </w:p>
    <w:p>
      <w:pPr>
        <w:numPr>
          <w:ilvl w:val="0"/>
          <w:numId w:val="1009"/>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 arXiv:2102.11904</w:t>
      </w:r>
    </w:p>
    <w:bookmarkEnd w:id="86"/>
    <w:bookmarkStart w:id="87" w:name="Xe9922e1c5762c88228c0c87eec70e80a7dd8e43"/>
    <w:p>
      <w:pPr>
        <w:pStyle w:val="Heading2"/>
      </w:pPr>
      <w:r>
        <w:t xml:space="preserve">Critical slowing down and resilience indicators</w:t>
      </w:r>
    </w:p>
    <w:p>
      <w:pPr>
        <w:numPr>
          <w:ilvl w:val="0"/>
          <w:numId w:val="1010"/>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w:t>
      </w:r>
    </w:p>
    <w:p>
      <w:pPr>
        <w:numPr>
          <w:ilvl w:val="0"/>
          <w:numId w:val="1010"/>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r>
        <w:t xml:space="preserve"> </w:t>
      </w:r>
      <w:r>
        <w:rPr>
          <w:rStyle w:val="VerbatimChar"/>
        </w:rPr>
        <w:t xml:space="preserve">verify pages</w:t>
      </w:r>
    </w:p>
    <w:p>
      <w:pPr>
        <w:numPr>
          <w:ilvl w:val="0"/>
          <w:numId w:val="1010"/>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 Biol</w:t>
      </w:r>
      <w:r>
        <w:t xml:space="preserve"> </w:t>
      </w:r>
      <w:r>
        <w:t xml:space="preserve">2018;14(6):e1006204.</w:t>
      </w:r>
    </w:p>
    <w:p>
      <w:pPr>
        <w:numPr>
          <w:ilvl w:val="0"/>
          <w:numId w:val="1010"/>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 R Soc Interface</w:t>
      </w:r>
      <w:r>
        <w:t xml:space="preserve"> </w:t>
      </w:r>
      <w:r>
        <w:t xml:space="preserve">2021;18(182):20210555.</w:t>
      </w:r>
      <w:r>
        <w:t xml:space="preserve"> </w:t>
      </w:r>
      <w:r>
        <w:rPr>
          <w:bCs/>
          <w:b/>
        </w:rPr>
        <w:t xml:space="preserve">The review to work from</w:t>
      </w:r>
      <w:r>
        <w:t xml:space="preserve">: it catalogues the candidate indicators and their known</w:t>
      </w:r>
      <w:r>
        <w:t xml:space="preserve"> </w:t>
      </w:r>
      <w:r>
        <w:t xml:space="preserve">false-positive behaviour, which T2.4/T2.5 must confront rather than tune away.</w:t>
      </w:r>
    </w:p>
    <w:bookmarkEnd w:id="87"/>
    <w:bookmarkStart w:id="88" w:name="conformal-prediction"/>
    <w:p>
      <w:pPr>
        <w:pStyle w:val="Heading2"/>
      </w:pPr>
      <w:r>
        <w:t xml:space="preserve">Conformal prediction</w:t>
      </w:r>
    </w:p>
    <w:p>
      <w:pPr>
        <w:numPr>
          <w:ilvl w:val="0"/>
          <w:numId w:val="1011"/>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r>
        <w:t xml:space="preserve"> </w:t>
      </w:r>
      <w:r>
        <w:rPr>
          <w:rStyle w:val="VerbatimChar"/>
        </w:rPr>
        <w:t xml:space="preserve">verify volume/pages</w:t>
      </w:r>
    </w:p>
    <w:p>
      <w:pPr>
        <w:numPr>
          <w:ilvl w:val="0"/>
          <w:numId w:val="1011"/>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r>
        <w:t xml:space="preserve"> </w:t>
      </w:r>
      <w:r>
        <w:rPr>
          <w:rStyle w:val="VerbatimChar"/>
        </w:rPr>
        <w:t xml:space="preserve">key fixed (was [Xu 2023]); cited in T2.5</w:t>
      </w:r>
    </w:p>
    <w:bookmarkEnd w:id="88"/>
    <w:bookmarkStart w:id="89" w:name="regime-switching-and-extremes"/>
    <w:p>
      <w:pPr>
        <w:pStyle w:val="Heading2"/>
      </w:pPr>
      <w:r>
        <w:t xml:space="preserve">Regime switching and extremes</w:t>
      </w:r>
    </w:p>
    <w:p>
      <w:pPr>
        <w:numPr>
          <w:ilvl w:val="0"/>
          <w:numId w:val="101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w:t>
      </w:r>
    </w:p>
    <w:p>
      <w:pPr>
        <w:numPr>
          <w:ilvl w:val="0"/>
          <w:numId w:val="101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 R Stat Soc Ser C (Appl Stat)</w:t>
      </w:r>
      <w:r>
        <w:t xml:space="preserve"> </w:t>
      </w:r>
      <w:r>
        <w:t xml:space="preserve">2022. doi:10.1111/rssc.12559.</w:t>
      </w:r>
      <w:r>
        <w:t xml:space="preserve"> </w:t>
      </w:r>
      <w:r>
        <w:rPr>
          <w:bCs/>
          <w:b/>
        </w:rPr>
        <w:t xml:space="preserve">The closest published precedent.</w:t>
      </w:r>
      <w:r>
        <w:t xml:space="preserve"> </w:t>
      </w:r>
      <w:r>
        <w:t xml:space="preserve">Discrete generalised Pareto model for extremes of</w:t>
      </w:r>
      <w:r>
        <w:t xml:space="preserve"> </w:t>
      </w:r>
      <w:r>
        <w:t xml:space="preserve">flu-like hospital visits, three years of daily data from a large Swiss hospital (CHUV).</w:t>
      </w:r>
      <w:r>
        <w:t xml:space="preserve"> </w:t>
      </w:r>
      <w:r>
        <w:t xml:space="preserve">Note the affiliations:</w:t>
      </w:r>
      <w:r>
        <w:t xml:space="preserve"> </w:t>
      </w:r>
      <w:r>
        <w:rPr>
          <w:bCs/>
          <w:b/>
        </w:rPr>
        <w:t xml:space="preserve">Cantoni is at the Research Center for Statistics, University of</w:t>
      </w:r>
      <w:r>
        <w:rPr>
          <w:bCs/>
          <w:b/>
        </w:rPr>
        <w:t xml:space="preserve"> </w:t>
      </w:r>
      <w:r>
        <w:rPr>
          <w:bCs/>
          <w:b/>
        </w:rPr>
        <w:t xml:space="preserve">Geneva</w:t>
      </w:r>
      <w:r>
        <w:t xml:space="preserve"> </w:t>
      </w:r>
      <w:r>
        <w:t xml:space="preserve">(the applicant's DEA supervisor);</w:t>
      </w:r>
      <w:r>
        <w:t xml:space="preserve"> </w:t>
      </w:r>
      <w:r>
        <w:rPr>
          <w:bCs/>
          <w:b/>
        </w:rPr>
        <w:t xml:space="preserve">Chavez-Demoulin is at UNIL</w:t>
      </w:r>
      <w:r>
        <w:t xml:space="preserve">. Relevant as the</w:t>
      </w:r>
      <w:r>
        <w:t xml:space="preserve"> </w:t>
      </w:r>
      <w:r>
        <w:t xml:space="preserve">nearest prior work to §2.1.3, not as a mobility lead; no research stay is proposed.</w:t>
      </w:r>
    </w:p>
    <w:bookmarkEnd w:id="89"/>
    <w:bookmarkStart w:id="90" w:name="X0ec3fb5f9e64e97afb7ab0198d36250a398821b"/>
    <w:p>
      <w:pPr>
        <w:pStyle w:val="Heading2"/>
      </w:pPr>
      <w:r>
        <w:t xml:space="preserve">Entries added 30 Sep: cited in the text but previously MISSING from this list</w:t>
      </w:r>
    </w:p>
    <w:p>
      <w:pPr>
        <w:pStyle w:val="BlockText"/>
      </w:pPr>
      <w:r>
        <w:t xml:space="preserve">Found by an external audit and verified: [Lazer 2014], [Winters 2018], [Lee 2021],</w:t>
      </w:r>
      <w:r>
        <w:t xml:space="preserve"> </w:t>
      </w:r>
      <w:r>
        <w:t xml:space="preserve">[Höhle 2014] and [McGough 2020] were cited in §2.1/§2.3.2 with no bibliography entry.</w:t>
      </w:r>
      <w:r>
        <w:t xml:space="preserve"> </w:t>
      </w:r>
      <w:r>
        <w:t xml:space="preserve">Author lists below are supplied where I am confident of them and flagged where I am not;</w:t>
      </w:r>
      <w:r>
        <w:t xml:space="preserve"> </w:t>
      </w:r>
      <w:r>
        <w:t xml:space="preserve">verify all five against the publisher record like every other entry.</w:t>
      </w:r>
    </w:p>
    <w:p>
      <w:pPr>
        <w:numPr>
          <w:ilvl w:val="0"/>
          <w:numId w:val="1013"/>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13"/>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r>
        <w:t xml:space="preserve"> </w:t>
      </w:r>
      <w:r>
        <w:rPr>
          <w:rStyle w:val="VerbatimChar"/>
        </w:rPr>
        <w:t xml:space="preserve">verify pages</w:t>
      </w:r>
    </w:p>
    <w:p>
      <w:pPr>
        <w:numPr>
          <w:ilvl w:val="0"/>
          <w:numId w:val="1013"/>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 Biol</w:t>
      </w:r>
      <w:r>
        <w:t xml:space="preserve"> </w:t>
      </w:r>
      <w:r>
        <w:t xml:space="preserve">2020;16(4):e1007735. doi:10.1371/journal.pcbi.1007735</w:t>
      </w:r>
    </w:p>
    <w:p>
      <w:pPr>
        <w:numPr>
          <w:ilvl w:val="0"/>
          <w:numId w:val="1013"/>
        </w:numPr>
        <w:pStyle w:val="Compact"/>
      </w:pPr>
      <w:r>
        <w:rPr>
          <w:bCs/>
          <w:b/>
        </w:rPr>
        <w:t xml:space="preserve">[Winters 2018]</w:t>
      </w:r>
      <w:r>
        <w:t xml:space="preserve"> </w:t>
      </w:r>
      <w:r>
        <w:t xml:space="preserve">Winters BD,</w:t>
      </w:r>
      <w:r>
        <w:t xml:space="preserve"> </w:t>
      </w:r>
      <w:r>
        <w:rPr>
          <w:rStyle w:val="VerbatimChar"/>
        </w:rPr>
        <w:t xml:space="preserve">[[FULL AUTHOR LIST REQUIRED]]</w:t>
      </w:r>
      <w:r>
        <w:t xml:space="preserve">.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 Care Med</w:t>
      </w:r>
      <w:r>
        <w:t xml:space="preserve"> </w:t>
      </w:r>
      <w:r>
        <w:t xml:space="preserve">2018;46(1):130–137.</w:t>
      </w:r>
      <w:r>
        <w:t xml:space="preserve"> </w:t>
      </w:r>
      <w:r>
        <w:rPr>
          <w:rStyle w:val="VerbatimChar"/>
        </w:rPr>
        <w:t xml:space="preserve">[[verify venue/volume; this entry sources the 72–99% false/non-actionable alarm figure in §2.1.4; confirm the figure appears in the final source]]</w:t>
      </w:r>
    </w:p>
    <w:p>
      <w:pPr>
        <w:numPr>
          <w:ilvl w:val="0"/>
          <w:numId w:val="1013"/>
        </w:numPr>
        <w:pStyle w:val="Compact"/>
      </w:pPr>
      <w:r>
        <w:rPr>
          <w:bCs/>
          <w:b/>
        </w:rPr>
        <w:t xml:space="preserve">[Lee 2021]</w:t>
      </w:r>
      <w:r>
        <w:t xml:space="preserve"> </w:t>
      </w:r>
      <w:r>
        <w:rPr>
          <w:rStyle w:val="VerbatimChar"/>
        </w:rPr>
        <w:t xml:space="preserve">[[FULL REFERENCE REQUIRED; the §2.1.4 claim that heat-warning thresholds calibrated to mortality diverge from morbidity/ED thresholds needs its actual source. If no "Lee 2021" exists in your reading, the auditor suggests Lung, Yeh &amp; Hwang 2021 (PMC8471601) as a candidate that directly discusses mortality- vs morbidity-based heat thresholds; verify and rename the key accordingly]]</w:t>
      </w:r>
    </w:p>
    <w:bookmarkEnd w:id="90"/>
    <w:bookmarkStart w:id="91" w:name="evaluation"/>
    <w:p>
      <w:pPr>
        <w:pStyle w:val="Heading2"/>
      </w:pPr>
      <w:r>
        <w:t xml:space="preserve">Evaluation</w:t>
      </w:r>
    </w:p>
    <w:p>
      <w:pPr>
        <w:numPr>
          <w:ilvl w:val="0"/>
          <w:numId w:val="1014"/>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 Am Stat Assoc</w:t>
      </w:r>
      <w:r>
        <w:t xml:space="preserve"> </w:t>
      </w:r>
      <w:r>
        <w:t xml:space="preserve">2007;102(477):359–378.</w:t>
      </w:r>
    </w:p>
    <w:p>
      <w:pPr>
        <w:numPr>
          <w:ilvl w:val="0"/>
          <w:numId w:val="1014"/>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 Decis Making</w:t>
      </w:r>
      <w:r>
        <w:t xml:space="preserve"> </w:t>
      </w:r>
      <w:r>
        <w:t xml:space="preserve">2006;26(6):565–574.</w:t>
      </w:r>
    </w:p>
    <w:bookmarkEnd w:id="91"/>
    <w:bookmarkStart w:id="92" w:name="own-work-cite-from-the-cv-verify-details"/>
    <w:p>
      <w:pPr>
        <w:pStyle w:val="Heading2"/>
      </w:pPr>
      <w:r>
        <w:t xml:space="preserve">Own work: cite from the CV, verify details</w:t>
      </w:r>
    </w:p>
    <w:p>
      <w:pPr>
        <w:numPr>
          <w:ilvl w:val="0"/>
          <w:numId w:val="1015"/>
        </w:numPr>
      </w:pPr>
      <w:r>
        <w:rPr>
          <w:bCs/>
          <w:b/>
        </w:rPr>
        <w:t xml:space="preserve">Orel E</w:t>
      </w:r>
      <w:r>
        <w:t xml:space="preserve">, Esra R, Estill J, Thiabaud A, Marchand-Maillet S, Merzouki A, Keiser O. Prediction</w:t>
      </w:r>
      <w:r>
        <w:t xml:space="preserve"> </w:t>
      </w:r>
      <w:r>
        <w:t xml:space="preserve">of HIV status based on socio-behavioural characteristics in East and Southern Africa.</w:t>
      </w:r>
      <w:r>
        <w:t xml:space="preserve"> </w:t>
      </w:r>
      <w:r>
        <w:rPr>
          <w:iCs/>
          <w:i/>
        </w:rPr>
        <w:t xml:space="preserve">PLoS ONE</w:t>
      </w:r>
      <w:r>
        <w:t xml:space="preserve"> </w:t>
      </w:r>
      <w:r>
        <w:t xml:space="preserve">2022;17(3):e0264429.</w:t>
      </w:r>
    </w:p>
    <w:p>
      <w:pPr>
        <w:numPr>
          <w:ilvl w:val="0"/>
          <w:numId w:val="1015"/>
        </w:numPr>
      </w:pPr>
      <w:r>
        <w:rPr>
          <w:bCs/>
          <w:b/>
        </w:rPr>
        <w:t xml:space="preserve">Orel E</w:t>
      </w:r>
      <w:r>
        <w:t xml:space="preserve">, Sobel J, Zanella MC, Iten A, Kaiser L, Keiser O, Vetter P. Difference in clinical</w:t>
      </w:r>
      <w:r>
        <w:t xml:space="preserve"> </w:t>
      </w:r>
      <w:r>
        <w:t xml:space="preserve">severity between Delta variant and Omicron sub-lineages in a Swiss tertiary center.</w:t>
      </w:r>
      <w:r>
        <w:t xml:space="preserve"> </w:t>
      </w:r>
      <w:r>
        <w:rPr>
          <w:iCs/>
          <w:i/>
        </w:rPr>
        <w:t xml:space="preserve">CMI Communications</w:t>
      </w:r>
      <w:r>
        <w:t xml:space="preserve"> </w:t>
      </w:r>
      <w:r>
        <w:t xml:space="preserve">2024.</w:t>
      </w:r>
    </w:p>
    <w:p>
      <w:pPr>
        <w:numPr>
          <w:ilvl w:val="0"/>
          <w:numId w:val="1015"/>
        </w:numPr>
      </w:pPr>
      <w:r>
        <w:t xml:space="preserve">Estill J, Venkova-Marchevska P, Roelens M,</w:t>
      </w:r>
      <w:r>
        <w:t xml:space="preserve"> </w:t>
      </w:r>
      <w:r>
        <w:rPr>
          <w:bCs/>
          <w:b/>
        </w:rPr>
        <w:t xml:space="preserve">Orel E</w:t>
      </w:r>
      <w:r>
        <w:t xml:space="preserve">, Temerev A, Flahault A, Keiser O. Future</w:t>
      </w:r>
      <w:r>
        <w:t xml:space="preserve"> </w:t>
      </w:r>
      <w:r>
        <w:t xml:space="preserve">scenarios for the SARS-CoV-2 epidemic in Switzerland: an age-structured model.</w:t>
      </w:r>
      <w:r>
        <w:t xml:space="preserve"> </w:t>
      </w:r>
      <w:r>
        <w:rPr>
          <w:iCs/>
          <w:i/>
        </w:rPr>
        <w:t xml:space="preserve">F1000Research</w:t>
      </w:r>
      <w:r>
        <w:t xml:space="preserve"> </w:t>
      </w:r>
      <w:r>
        <w:t xml:space="preserve">2020;9.</w:t>
      </w:r>
    </w:p>
    <w:p>
      <w:pPr>
        <w:numPr>
          <w:ilvl w:val="0"/>
          <w:numId w:val="1015"/>
        </w:numPr>
      </w:pPr>
      <w:r>
        <w:t xml:space="preserve">Merzouki A, Estill J,</w:t>
      </w:r>
      <w:r>
        <w:t xml:space="preserve"> </w:t>
      </w:r>
      <w:r>
        <w:rPr>
          <w:bCs/>
          <w:b/>
        </w:rPr>
        <w:t xml:space="preserve">Orel E</w:t>
      </w:r>
      <w:r>
        <w:t xml:space="preserve">, Tal K, Keiser O. Clusters of sub-Saharan African countries</w:t>
      </w:r>
      <w:r>
        <w:t xml:space="preserve"> </w:t>
      </w:r>
      <w:r>
        <w:t xml:space="preserve">based on sociobehavioural characteristics and associated HIV incidence.</w:t>
      </w:r>
      <w:r>
        <w:t xml:space="preserve"> </w:t>
      </w:r>
      <w:r>
        <w:rPr>
          <w:iCs/>
          <w:i/>
        </w:rPr>
        <w:t xml:space="preserve">PeerJ</w:t>
      </w:r>
      <w:r>
        <w:t xml:space="preserve"> </w:t>
      </w:r>
      <w:r>
        <w:t xml:space="preserve">2021;9:e10660.</w:t>
      </w:r>
    </w:p>
    <w:p>
      <w:pPr>
        <w:numPr>
          <w:ilvl w:val="0"/>
          <w:numId w:val="1015"/>
        </w:numPr>
      </w:pPr>
      <w:r>
        <w:t xml:space="preserve">Esra R, Carstens J, Le Roux S, Mabuto T, Eisenstein M, Keiser O,</w:t>
      </w:r>
      <w:r>
        <w:t xml:space="preserve"> </w:t>
      </w:r>
      <w:r>
        <w:rPr>
          <w:bCs/>
          <w:b/>
        </w:rPr>
        <w:t xml:space="preserve">Orel E</w:t>
      </w:r>
      <w:r>
        <w:t xml:space="preserve">, Merzouki A,</w:t>
      </w:r>
      <w:r>
        <w:t xml:space="preserve"> </w:t>
      </w:r>
      <w:r>
        <w:t xml:space="preserve">De Voux L, Maskew M, Sharpey-Schafer K. Validation and improvement of a machine learning model</w:t>
      </w:r>
      <w:r>
        <w:t xml:space="preserve"> </w:t>
      </w:r>
      <w:r>
        <w:t xml:space="preserve">to predict interruptions in antiretroviral treatment in South Africa.</w:t>
      </w:r>
      <w:r>
        <w:t xml:space="preserve"> </w:t>
      </w:r>
      <w:r>
        <w:rPr>
          <w:iCs/>
          <w:i/>
        </w:rPr>
        <w:t xml:space="preserve">J Acquir Immune Defic Syndr</w:t>
      </w:r>
      <w:r>
        <w:t xml:space="preserve"> </w:t>
      </w:r>
      <w:r>
        <w:t xml:space="preserve">2023;92(1):42–49.</w:t>
      </w:r>
    </w:p>
    <w:p>
      <w:pPr>
        <w:numPr>
          <w:ilvl w:val="0"/>
          <w:numId w:val="1015"/>
        </w:numPr>
      </w:pPr>
      <w:r>
        <w:t xml:space="preserve">Nwosu K, Fokam J, Wanda F,</w:t>
      </w:r>
      <w:r>
        <w:t xml:space="preserve"> </w:t>
      </w:r>
      <w:r>
        <w:rPr>
          <w:rStyle w:val="VerbatimChar"/>
        </w:rPr>
        <w:t xml:space="preserve">[[FULL AUTHOR LIST REQUIRED; no "et al." permitted]]</w:t>
      </w:r>
      <w:r>
        <w:t xml:space="preserve"> </w:t>
      </w:r>
      <w:r>
        <w:t xml:space="preserve">(incl.</w:t>
      </w:r>
      <w:r>
        <w:t xml:space="preserve"> </w:t>
      </w:r>
      <w:r>
        <w:rPr>
          <w:bCs/>
          <w:b/>
        </w:rPr>
        <w:t xml:space="preserve">Orel E</w:t>
      </w:r>
      <w:r>
        <w:t xml:space="preserve">). SARS-CoV-2 antibody seroprevalence and associated risk factors in an urban</w:t>
      </w:r>
      <w:r>
        <w:t xml:space="preserve"> </w:t>
      </w:r>
      <w:r>
        <w:t xml:space="preserve">district in Cameroon.</w:t>
      </w:r>
      <w:r>
        <w:t xml:space="preserve"> </w:t>
      </w:r>
      <w:r>
        <w:rPr>
          <w:iCs/>
          <w:i/>
        </w:rPr>
        <w:t xml:space="preserve">Nat Commun</w:t>
      </w:r>
      <w:r>
        <w:t xml:space="preserve"> </w:t>
      </w:r>
      <w:r>
        <w:t xml:space="preserve">2021;12:5851.</w:t>
      </w:r>
    </w:p>
    <w:p>
      <w:pPr>
        <w:numPr>
          <w:ilvl w:val="0"/>
          <w:numId w:val="1015"/>
        </w:numPr>
      </w:pPr>
      <w:r>
        <w:t xml:space="preserve">Ng'ambi W, Estill J, Keiser O, Merzouki FA,</w:t>
      </w:r>
      <w:r>
        <w:t xml:space="preserve"> </w:t>
      </w:r>
      <w:r>
        <w:rPr>
          <w:bCs/>
          <w:b/>
        </w:rPr>
        <w:t xml:space="preserve">Orel E</w:t>
      </w:r>
      <w:r>
        <w:t xml:space="preserve"> </w:t>
      </w:r>
      <w:r>
        <w:t xml:space="preserve">(senior author). Machine learning-based</w:t>
      </w:r>
      <w:r>
        <w:t xml:space="preserve"> </w:t>
      </w:r>
      <w:r>
        <w:t xml:space="preserve">classification of self-reported cardiovascular disease history in Africa using harmonised</w:t>
      </w:r>
      <w:r>
        <w:t xml:space="preserve"> </w:t>
      </w:r>
      <w:r>
        <w:t xml:space="preserve">multi-country WHO STEPS surveys: 2014–2019.</w:t>
      </w:r>
      <w:r>
        <w:t xml:space="preserve"> </w:t>
      </w:r>
      <w:r>
        <w:rPr>
          <w:bCs/>
          <w:b/>
        </w:rPr>
        <w:t xml:space="preserve">Accepted for publication.</w:t>
      </w:r>
      <w:r>
        <w:t xml:space="preserve"> </w:t>
      </w:r>
      <w:r>
        <w:rPr>
          <w:rStyle w:val="VerbatimChar"/>
        </w:rPr>
        <w:t xml:space="preserve">[[Venue, year, DOI once assigned; update on publication]]</w:t>
      </w:r>
    </w:p>
    <w:p>
      <w:pPr>
        <w:numPr>
          <w:ilvl w:val="0"/>
          <w:numId w:val="1015"/>
        </w:numPr>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 Switzerland.</w:t>
      </w:r>
      <w:r>
        <w:t xml:space="preserve"> </w:t>
      </w:r>
      <w:r>
        <w:rPr>
          <w:iCs/>
          <w:i/>
        </w:rPr>
        <w:t xml:space="preserve">Int J Public Health</w:t>
      </w:r>
      <w:r>
        <w:t xml:space="preserve"> </w:t>
      </w:r>
      <w:r>
        <w:t xml:space="preserve">2024;69:1607349. doi:10.3389/ijph.2024.1607349</w:t>
      </w:r>
    </w:p>
    <w:p>
      <w:pPr>
        <w:numPr>
          <w:ilvl w:val="1"/>
          <w:numId w:val="1016"/>
        </w:numPr>
        <w:pStyle w:val="Compact"/>
      </w:pPr>
      <w:r>
        <w:t xml:space="preserve">Swiss heat–ED evidence: weak/non-significant for respiratory causes overall; significant in</w:t>
      </w:r>
      <w:r>
        <w:t xml:space="preserve"> </w:t>
      </w:r>
      <w:r>
        <w:t xml:space="preserve">the 75–84 subgroup. Grounds the §2.3.1 heat-arm caveat.</w:t>
      </w:r>
      <w:r>
        <w:t xml:space="preserve"> </w:t>
      </w:r>
      <w:r>
        <w:rPr>
          <w:iCs/>
          <w:i/>
        </w:rPr>
        <w:t xml:space="preserve">Sourced from the GESICA v5 inventory's</w:t>
      </w:r>
      <w:r>
        <w:rPr>
          <w:iCs/>
          <w:i/>
        </w:rPr>
        <w:t xml:space="preserve"> </w:t>
      </w:r>
      <w:r>
        <w:rPr>
          <w:iCs/>
          <w:i/>
        </w:rPr>
        <w:t xml:space="preserve">reference list (ref 41); verify against the publisher record like every other entry.</w:t>
      </w:r>
    </w:p>
    <w:p>
      <w:pPr>
        <w:numPr>
          <w:ilvl w:val="0"/>
          <w:numId w:val="1015"/>
        </w:numPr>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 Health</w:t>
      </w:r>
      <w:r>
        <w:t xml:space="preserve"> </w:t>
      </w:r>
      <w:r>
        <w:t xml:space="preserve">2019;18:66.</w:t>
      </w:r>
      <w:r>
        <w:t xml:space="preserve"> </w:t>
      </w:r>
      <w:r>
        <w:t xml:space="preserve">doi:10.1186/s12940-019-0507-1</w:t>
      </w:r>
      <w:r>
        <w:t xml:space="preserve"> </w:t>
      </w:r>
      <w:r>
        <w:rPr>
          <w:iCs/>
          <w:i/>
        </w:rPr>
        <w:t xml:space="preserve">(GESICA v5 ref 42)</w:t>
      </w:r>
    </w:p>
    <w:p>
      <w:pPr>
        <w:numPr>
          <w:ilvl w:val="0"/>
          <w:numId w:val="1015"/>
        </w:numPr>
      </w:pPr>
      <w:r>
        <w:rPr>
          <w:bCs/>
          <w:b/>
        </w:rPr>
        <w:t xml:space="preserve">[Zheng 2015]</w:t>
      </w:r>
      <w:r>
        <w:t xml:space="preserve"> </w:t>
      </w:r>
      <w:r>
        <w:t xml:space="preserve">Zheng XY, Ding H, Jiang LN, et al.</w:t>
      </w:r>
      <w:r>
        <w:t xml:space="preserve"> </w:t>
      </w:r>
      <w:r>
        <w:rPr>
          <w:rStyle w:val="VerbatimChar"/>
        </w:rPr>
        <w:t xml:space="preserve">[[consortium size &lt; 50; full author list required]]</w:t>
      </w:r>
      <w:r>
        <w:t xml:space="preserve"> </w:t>
      </w:r>
      <w:r>
        <w:t xml:space="preserve">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r>
        <w:t xml:space="preserve"> </w:t>
      </w:r>
      <w:r>
        <w:rPr>
          <w:iCs/>
          <w:i/>
        </w:rPr>
        <w:t xml:space="preserve">(GESICA v5 ref 44; pollution →</w:t>
      </w:r>
      <w:r>
        <w:rPr>
          <w:iCs/>
          <w:i/>
        </w:rPr>
        <w:t xml:space="preserve"> </w:t>
      </w:r>
      <w:r>
        <w:rPr>
          <w:iCs/>
          <w:i/>
        </w:rPr>
        <w:t xml:space="preserve">asthma ED, international; the v5 report notes no recent Swiss study of acute episodes; a</w:t>
      </w:r>
      <w:r>
        <w:rPr>
          <w:iCs/>
          <w:i/>
        </w:rPr>
        <w:t xml:space="preserve"> </w:t>
      </w:r>
      <w:r>
        <w:rPr>
          <w:iCs/>
          <w:i/>
        </w:rPr>
        <w:t xml:space="preserve">contribution space for this project)</w:t>
      </w:r>
    </w:p>
    <w:bookmarkEnd w:id="92"/>
    <w:bookmarkStart w:id="93" w:name="X9661b2902fee99a6f0140bff01d54709f5364d8"/>
    <w:p>
      <w:pPr>
        <w:pStyle w:val="Heading2"/>
      </w:pPr>
      <w:r>
        <w:t xml:space="preserve">Still to source: supply from your own reading</w:t>
      </w:r>
    </w:p>
    <w:p>
      <w:pPr>
        <w:numPr>
          <w:ilvl w:val="0"/>
          <w:numId w:val="1017"/>
        </w:numPr>
        <w:pStyle w:val="Compact"/>
      </w:pPr>
      <w:r>
        <w:rPr>
          <w:strike/>
        </w:rPr>
        <w:t xml:space="preserve">Heat and emergency department presentations / EMS demand in Switzerland</w:t>
      </w:r>
      <w:r>
        <w:t xml:space="preserve"> </w:t>
      </w:r>
      <w:r>
        <w:rPr>
          <w:bCs/>
          <w:b/>
        </w:rPr>
        <w:t xml:space="preserve">Closed</w:t>
      </w:r>
      <w:r>
        <w:t xml:space="preserve">: Schulte</w:t>
      </w:r>
      <w:r>
        <w:t xml:space="preserve"> </w:t>
      </w:r>
      <w:r>
        <w:t xml:space="preserve">2024 and Ragettli 2019 above, from the applicant's own referenced inventory</w:t>
      </w:r>
    </w:p>
    <w:p>
      <w:pPr>
        <w:numPr>
          <w:ilvl w:val="0"/>
          <w:numId w:val="1017"/>
        </w:numPr>
        <w:pStyle w:val="Compact"/>
      </w:pPr>
      <w:r>
        <w:t xml:space="preserve">Out-of-hospital cardiac arrest and temperature (your platform's scenario documentation cites</w:t>
      </w:r>
      <w:r>
        <w:t xml:space="preserve"> </w:t>
      </w:r>
      <w:r>
        <w:t xml:space="preserve">work here; verify each citation before reuse)</w:t>
      </w:r>
    </w:p>
    <w:p>
      <w:pPr>
        <w:numPr>
          <w:ilvl w:val="0"/>
          <w:numId w:val="1017"/>
        </w:numPr>
        <w:pStyle w:val="Compact"/>
      </w:pPr>
      <w:r>
        <w:t xml:space="preserve">ICU surge capacity modelling</w:t>
      </w:r>
    </w:p>
    <w:p>
      <w:pPr>
        <w:numPr>
          <w:ilvl w:val="0"/>
          <w:numId w:val="1017"/>
        </w:numPr>
        <w:pStyle w:val="Compact"/>
      </w:pPr>
      <w:r>
        <w:t xml:space="preserve">Legionellosis epidemiology and building water systems (SwissLEGIO; the CCER protocol</w:t>
      </w:r>
      <w:r>
        <w:t xml:space="preserve"> </w:t>
      </w:r>
      <w:r>
        <w:t xml:space="preserve">bibliography is a starting point and is already checked)</w:t>
      </w:r>
    </w:p>
    <w:p>
      <w:pPr>
        <w:numPr>
          <w:ilvl w:val="0"/>
          <w:numId w:val="1017"/>
        </w:numPr>
        <w:pStyle w:val="Compact"/>
      </w:pPr>
      <w:r>
        <w:t xml:space="preserve">Swiss surveillance infrastructure and cantonal escalation procedures</w:t>
      </w:r>
    </w:p>
    <w:bookmarkEnd w:id="93"/>
    <w:bookmarkEnd w:id="94"/>
    <w:sectPr>
      <w:pgSz w:w="11906" w:h="16838"/>
      <w:pgMar w:top="794" w:right="794" w:bottom="794" w:left="79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pPr>
    <w:rPr>
      <w:sz w:val="20"/>
      <w:szCs w:val="20"/>
    </w:rPr>
  </w:style>
  <w:style w:styleId="BodyText" w:type="paragraph">
    <w:name w:val="Body Text"/>
    <w:basedOn w:val="Normal"/>
    <w:link w:val="BodyTextChar"/>
    <w:pPr>
      <w:spacing w:after="20" w:before="0" w:line="360" w:lineRule="auto"/>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pPr>
  </w:style>
  <w:style w:customStyle="1" w:styleId="Compact" w:type="paragraph">
    <w:name w:val="Compact"/>
    <w:basedOn w:val="BodyText"/>
    <w:qFormat/>
    <w:pPr>
      <w:spacing w:after="20" w:before="0" w:line="360" w:lineRule="auto"/>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svgz" /><Relationship Type="http://schemas.openxmlformats.org/officeDocument/2006/relationships/image" Id="rId72" Target="media/rId72.svgz" /><Relationship Type="http://schemas.openxmlformats.org/officeDocument/2006/relationships/image" Id="rId37" Target="media/rId37.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2026-10-06T15:49:34Z</dcterms:created>
  <dcterms:modified xsi:type="dcterms:W3CDTF">2026-10-06T15:49:34Z</dcterms:modified>
</cp:coreProperties>
</file>

<file path=docProps/custom.xml><?xml version="1.0" encoding="utf-8"?>
<Properties xmlns="http://schemas.openxmlformats.org/officeDocument/2006/custom-properties" xmlns:vt="http://schemas.openxmlformats.org/officeDocument/2006/docPropsVTypes"/>
</file>