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model the demand outcomes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Legionellosis is evaluated separately as a case-count forecast at weekly or monthly resolution. Third, I will replay past events using only the information available at the time and compare the two strategies. Fourth, for the demand tests,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median log-ratio of T1.3 closer to zero, which is a spread ratio closer to one, and improves interval coverage at the pre-specified levels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classified by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At month 12 a data check confirms that the chosen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main measure for H1 is the median log-ratio of the standard deviations of the automated and manual distributions, by parameter class. A value below zero, which is a ratio below one, means the automated distribution is too narrow. Uncertainty inside studies and differences between studies are tracked separately and together, and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classified by the symptoms recorded in the exported data (audio recordings are not used), emergency-department visits by cause, hospital admissions, bed or ICU occupancy.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causes and population groups used to filter the target come from the evidence.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Choosing the target. The first registration fixes the candidate outcomes, the criteria for choosing among them (access, completeness, cause coding, reporting delay and revisions, time resolution and usefulness for the services), and the eligibility and fallback rules. At month 12 the criteria are applied to the data actually available, and the highest-ranked series that passes this data check becomes the target, recorded before any forecast performance is examined. Once chosen, the target stays fixed, so that no outcome can be picked afterwards because it gives better results, and both strategies are scored on the same target, period and rules. If no local series passes, the work falls back to open Swiss data (federal respiratory surveillance, national wastewater data, weekly deaths and MeteoSwiss weather), with archived multi-model forecasts as comparators [3, 4], to show that the methods work and to release a public benchmark, and the main claim is narrowed. The daily HUG COVID-19 hospitalisation series I analysed before [35] may be requested again as a secondary check, subject to re-access and the required authorisation.</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Second registration. After the month-12 data check and a blinded inventory of the eligible episodes, but before any performance is seen, a second registration fixes the early-episode window N, the main forecast horizon per crisis type and the margin Δ. Horizons follow what the services need, not results.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Both conditions are judged with uncertainty bounds across the registered simulation runs, not on point estimates alone. Non-inferiority holds only if the lower confidence bound of the score difference stays above minus Δ with right evidence. Superiority holds only if that lower bound is above zero with shifted evidence. The confidence level is fixed in the registered protocol.</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demand forecasts are re-assessed on the decisions they would trigger, with net-benefit and decision-curve methods, to see whether the ranking of the models changes once the costs of wrong decisions are counted. The legionellosis case-count test stays outside this decision analysis. Calibration and threshold performance are also checked across age and sex where the selected data and the group sizes allow. A model that is well calibrated overall but poor for a group that matters does not pass. The decision analysis needs a target that is linked to a real service decision. If only open surveillance data are available, the project reports the methodological validation and does not claim to have shown local decision value.</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54"/>
        <w:gridCol w:w="2967"/>
        <w:gridCol w:w="2608"/>
        <w:gridCol w:w="2517"/>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w:t>
            </w:r>
          </w:p>
        </w:tc>
        <w:tc>
          <w:tcPr/>
          <w:p>
            <w:pPr>
              <w:pStyle w:val="Compact"/>
            </w:pPr>
          </w:p>
        </w:tc>
        <w:tc>
          <w:tcPr/>
          <w:p>
            <w:pPr>
              <w:pStyle w:val="Compact"/>
              <w:jc w:val="left"/>
            </w:pPr>
            <w:r>
              <w:t xml:space="preserve">Daily secondary check series, previously analysed [35]</w:t>
            </w:r>
          </w:p>
        </w:tc>
        <w:tc>
          <w:tcPr/>
          <w:p>
            <w:pPr>
              <w:pStyle w:val="Compact"/>
              <w:jc w:val="left"/>
            </w:pPr>
            <w:r>
              <w:t xml:space="preserve">Re-request planned, subject to availability and authorisation</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check passed, pressure model works on simulated data,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saves modellers and evidence platforms from an assumption that was never tested.</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public health,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2026-10-15T06:53:18Z</dcterms:created>
  <dcterms:modified xsi:type="dcterms:W3CDTF">2026-10-15T06:53:18Z</dcterms:modified>
</cp:coreProperties>
</file>

<file path=docProps/custom.xml><?xml version="1.0" encoding="utf-8"?>
<Properties xmlns="http://schemas.openxmlformats.org/officeDocument/2006/custom-properties" xmlns:vt="http://schemas.openxmlformats.org/officeDocument/2006/docPropsVTypes"/>
</file>