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Using published evidence to forecast health-system crises when local outcome data are still too scarce</w:t>
      </w:r>
    </w:p>
    <w:bookmarkStart w:id="20" w:name="X54a346158e1c9302d737b408239f1b33007b474"/>
    <w:p>
      <w:pPr>
        <w:pStyle w:val="Heading1"/>
      </w:pPr>
      <w:r>
        <w:t xml:space="preserve">1. Summary</w:t>
      </w:r>
    </w:p>
    <w:p>
      <w:pPr>
        <w:pStyle w:val="FirstParagraph"/>
      </w:pPr>
      <w:r>
        <w:t xml:space="preserve">When a health crisis begins, the quantities decision-makers need to forecast (calls, presentations, demand, occupancy, severity) are precisely those for which almost no local outcome data yet exist. The outcome series is a handful of noisy observations, and systems that perform well on years of local history are weak when early decisions matter most. Published evidence from analogous events elsewhere is another source of quantitative information. It is rarely tested as formal prior information, because of the lack of reliable extraction and the difficulty of transporting it to the new setting. A confidently wrong prior is worse than none, and it is most influential exactly when local data cannot correct it.</w:t>
      </w:r>
    </w:p>
    <w:p>
      <w:pPr>
        <w:pStyle w:val="BodyText"/>
      </w:pPr>
      <w:r>
        <w:t xml:space="preserve">This project asks one question.</w:t>
      </w:r>
      <w:r>
        <w:t xml:space="preserve"> </w:t>
      </w:r>
      <w:r>
        <w:rPr>
          <w:bCs/>
          <w:b/>
        </w:rPr>
        <w:t xml:space="preserve">At the start of a crisis, when local outcome data are still too scarce, can published quantitative evidence, extracted automatically, adapted to the local setting and fed into predictive models, improve forecasts of health-system escalation?</w:t>
      </w:r>
      <w:r>
        <w:t xml:space="preserve"> </w:t>
      </w:r>
      <w:r>
        <w:t xml:space="preserve">Answering it means showing that the evidence is extracted reliably, that we can tell early when it misleads, and that any gain is large enough to change decisions. Finally, the whole system runs on its own, with models built from the evidence and its forecasts verified prospectively against observed outcomes.</w:t>
      </w:r>
      <w:r>
        <w:t xml:space="preserve"> </w:t>
      </w:r>
      <w:r>
        <w:rPr>
          <w:bCs/>
          <w:b/>
        </w:rPr>
        <w:t xml:space="preserve">LiteRev-Evidence</w:t>
      </w:r>
      <w:r>
        <w:t xml:space="preserve">, the prototype I built, already covers this whole path. Starting from a question in plain language, it extracts the published numbers and grades how certain they are, combines them into distributions of plausible values, suggests explanatory variables, and then fits and compares candidate models.</w:t>
      </w:r>
    </w:p>
    <w:p>
      <w:pPr>
        <w:pStyle w:val="BodyText"/>
      </w:pPr>
      <w:r>
        <w:t xml:space="preserve">The project turns this prototype into a validated instrument and tests it. First, I measure how faithfully automated extraction reproduces the literature and carry its errors into every number the models use. Second, I let the evidence say what should be forecast. Depending on the crisis, the quantity to predict may be a count, whether a threshold is crossed, or a set of levels of pressure on the care system. A continuous quantity is turned into levels whose number and thresholds start from what the literature reports before they are fixed for the tests. The models also read the short local history for an early-warning signal, the slowing down that often precedes a tipping point. Third, I replay past crises day by day, using only what was known at each moment, to measure whether the evidence improves early forecasts and when it misleads. Fourth, I ask whether any gain is large enough to change what emergency services decide. The decisive test is a contest between two arms, one using the evidence and one using local data only. In both, an automated engine checks and scores a library of candidate models and picks the best under rules fixed in advance.</w:t>
      </w:r>
    </w:p>
    <w:p>
      <w:pPr>
        <w:pStyle w:val="BodyText"/>
      </w:pPr>
      <w:r>
        <w:t xml:space="preserve">The tests take place in Geneva, on three crises the canton actually faces, chosen because what drives them differs. Respiratory epidemics spread from person to person and are the best documented in the literature, so they carry the main test. Heatwaves are driven by exposure, not transmission, and come second, only if the first test is passed, to show whether the approach transfers to a crisis of a different nature. Legionellosis outbreaks arise from the built environment and produce few cases, the hardest ground for borrowed evidence. They come last, as a year-4 extension on a linked dataset I already lead. Before any of this, the whole machinery is validated on open Swiss data and released as a public benchmark. Both results are useful. If the evidence helps, the project shows when and by how much. If it does not, or if its harm cannot be caught early enough, the project sets a limit that modellers and evidence platforms currently assume away. Where the models pass and the services authorise it, the system runs by month 48 as a</w:t>
      </w:r>
      <w:r>
        <w:t xml:space="preserve"> </w:t>
      </w:r>
      <w:r>
        <w:rPr>
          <w:bCs/>
          <w:b/>
        </w:rPr>
        <w:t xml:space="preserve">daily dashboard</w:t>
      </w:r>
      <w:r>
        <w:t xml:space="preserve"> </w:t>
      </w:r>
      <w:r>
        <w:t xml:space="preserve">with Geneva's emergency services, observing and never steering care, its forecasts scored as the outcomes arrive. It is the seed of a living surveillance platform.</w:t>
      </w:r>
    </w:p>
    <w:p>
      <w:pPr>
        <w:pStyle w:val="BodyText"/>
      </w:pPr>
      <w:r>
        <w:t xml:space="preserve">I come to this question from an unusual place. For fifteen years I modelled rare events and sudden regime changes in quantitative finance, where a model that is confident and wrong in a crisis is the most expensive kind. I then completed a doctorate in biomedical sciences at Geneva, built LiteRev and LiteRev-Evidence, and now work daily with the canton's emergency and surveillance data through the Franco-Swiss GESICA programme. The question arose from that work. Ambizione gives me the independence to answer it as my own programme.</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and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and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carrying its extraction error and its transportability uncertainty,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explanatory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to my knowledge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the errors [Shankar 2026]. The open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(for instance routine, elevated, strained, critical) more than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decision-analytic methods evaluate predictions under explicit consequences [Vickers 2006]: a forecast is operationally useful only when its probabilistic gain changes a defensible decision. Mortality-calibrated heat thresholds need not match demand thresholds [Lung 2021]; pollution–asthma emergency associations are heterogeneous across settings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Their stated objectives do not address whether automatically synthesised external quantitative evidence should enter a forecast as formal prior information at local cold start.</w:t>
      </w:r>
    </w:p>
    <w:p>
      <w:pPr>
        <w:pStyle w:val="BodyText"/>
      </w:pPr>
      <w:r>
        <w:t xml:space="preserve">Nobody has established whether these pieces connect around the</w:t>
      </w:r>
      <w:r>
        <w:t xml:space="preserve"> </w:t>
      </w:r>
      <w:r>
        <w:rPr>
          <w:bCs/>
          <w:b/>
        </w:rPr>
        <w:t xml:space="preserve">cold-start question</w:t>
      </w:r>
      <w:r>
        <w:t xml:space="preserve">, under pre-registered rules, from living evidence synthesis to automatically re-validated forecasts.</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it is why this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I met this proposal's transportability</w:t>
      </w:r>
      <w:r>
        <w:t xml:space="preserve"> </w:t>
      </w:r>
      <w:r>
        <w:t xml:space="preserve">problem first elsewhere, and my role on it has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explanatory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validation</w:t>
      </w:r>
      <w:r>
        <w:t xml:space="preserve"> </w:t>
      </w:r>
      <w:r>
        <w:t xml:space="preserve">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distinctive linkage,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improves forecasts at the onset of a health-system crisis.</w:t>
      </w:r>
      <w:r>
        <w:t xml:space="preserve"> </w:t>
      </w:r>
      <w:r>
        <w:t xml:space="preserve">The summary's question is</w:t>
      </w:r>
      <w:r>
        <w:t xml:space="preserve"> </w:t>
      </w:r>
      <w:r>
        <w:rPr>
          <w:bCs/>
          <w:b/>
        </w:rPr>
        <w:t xml:space="preserve">H3a, the central hypothesis</w:t>
      </w:r>
      <w:r>
        <w:t xml:space="preserve">; all else is subordinate, each row validating one link of the chain it depends on:</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assessed by a pre-specified criterion: coverage and calibration of intervals from the corrected distribution across held-out adjudicated studies.</w:t>
      </w:r>
    </w:p>
    <w:p>
      <w:pPr>
        <w:pStyle w:val="FirstParagraph"/>
      </w:pPr>
      <w:r>
        <w:t xml:space="preserve">Omissions dominate reported extraction errors [Shankar 2026], and whether they systematically shrink dispersion is exactly what H1 tests; if the loss cannot be corrected, the project establishes a boundary condition. The evidence target spans four object classes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explanatory-variable sets and model forms) improves probabilistic forecast skill during the early phase of a crisis; the persistence and decay of the advantage as local observations accumulate are assessed secondarily.</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For the demand-based archetypes, 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w:t>
      </w:r>
      <w:r>
        <w:t xml:space="preserve"> </w:t>
      </w:r>
      <w:r>
        <w:t xml:space="preserve">For respiratory and heat, both arms score</w:t>
      </w:r>
      <w:r>
        <w:t xml:space="preserve"> </w:t>
      </w:r>
      <w:r>
        <w:rPr>
          <w:bCs/>
          <w:b/>
        </w:rPr>
        <w:t xml:space="preserve">the same quantity, built the same way</w:t>
      </w:r>
      <w:r>
        <w:t xml:space="preserve">: daily</w:t>
      </w:r>
      <w:r>
        <w:t xml:space="preserve"> </w:t>
      </w:r>
      <w:r>
        <w:t xml:space="preserve">emergency demand from the 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 Legionellosis instead forecasts case incidence</w:t>
      </w:r>
      <w:r>
        <w:t xml:space="preserve"> </w:t>
      </w:r>
      <w:r>
        <w:t xml:space="preserve">(T3.5), outside this demand comparison. If the month-12 gate activates the registered</w:t>
      </w:r>
      <w:r>
        <w:t xml:space="preserve"> </w:t>
      </w:r>
      <w:r>
        <w:t xml:space="preserve">fallback, 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The project does</w:t>
      </w:r>
      <w:r>
        <w:t xml:space="preserve"> </w:t>
      </w:r>
      <w:r>
        <w:rPr>
          <w:bCs/>
          <w:b/>
        </w:rPr>
        <w:t xml:space="preserve">not</w:t>
      </w:r>
      <w:r>
        <w:t xml:space="preserve"> </w:t>
      </w:r>
      <w:r>
        <w:t xml:space="preserve">aim to outperform forecast hubs in the data-rich regime, and does not assume literature-derived priors are beneficial. The contribution:</w:t>
      </w:r>
      <w:r>
        <w:t xml:space="preserve"> </w:t>
      </w:r>
      <w:r>
        <w:rPr>
          <w:bCs/>
          <w:b/>
        </w:rPr>
        <w:t xml:space="preserve">whether accumulated quantitative evidence can earn a formal role in forecasting before local outcome data become informative, and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w:t>
      </w:r>
      <w:r>
        <w:t xml:space="preserve"> </w:t>
      </w:r>
      <w:r>
        <w:rPr>
          <w:bCs/>
          <w:b/>
        </w:rPr>
        <w:t xml:space="preserve">(2) Explanatory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I and a separately contracted independent extractor (§2.4) independently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the transportability criteria, and the mapping from transportability score to prior widening or discounting, are fixed before the confirmatory evaluation,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(by default routine, elevated, strained, critical) observed through emergency calls (the primary channel), with ED presentations and ICU occupancy added where available; pre-specified weather, calendar and epidemic covariates; series-specific observation models sharing the state. Before real-data fitting: simulation-based identifiability and recovery, including the reduced-channel case; ordering constraints resolve label switching; if separation is insufficient, the fallback is an ordinal state-space formulation; the criterion is state and transition recovery, not visual fit.</w:t>
      </w:r>
      <w:r>
        <w:t xml:space="preserve"> </w:t>
      </w:r>
      <w:r>
        <w:rPr>
          <w:bCs/>
          <w:b/>
        </w:rPr>
        <w:t xml:space="preserve">State anchors.</w:t>
      </w:r>
      <w:r>
        <w:t xml:space="preserve"> </w:t>
      </w:r>
      <w:r>
        <w:t xml:space="preserve">The number of levels and their thresholds start from the outcome and threshold definitions the literature reports (T1.1, class 4) and are fixed at registration for WP2–WP3 (T4.1's later elicitation refines their decision interpretation, never the confirmatory state definition). Where the literature is silent, the default is four levels on the seasonal baseline:</w:t>
      </w:r>
      <w:r>
        <w:t xml:space="preserve"> </w:t>
      </w:r>
      <w:r>
        <w:rPr>
          <w:bCs/>
          <w:b/>
        </w:rPr>
        <w:t xml:space="preserve">routine</w:t>
      </w:r>
      <w:r>
        <w:t xml:space="preserve"> </w:t>
      </w:r>
      <w:r>
        <w:t xml:space="preserve">below the 75th percentile;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90th to 97.5th, or sustained capacity pressure (ICU occupancy above 85%, ED boarding above its seasonal 90th percentile);</w:t>
      </w:r>
      <w:r>
        <w:t xml:space="preserve"> </w:t>
      </w:r>
      <w:r>
        <w:rPr>
          <w:bCs/>
          <w:b/>
        </w:rPr>
        <w:t xml:space="preserve">critical</w:t>
      </w:r>
      <w:r>
        <w:t xml:space="preserve"> </w:t>
      </w:r>
      <w:r>
        <w:t xml:space="preserve">above the 97.5th, or capacity saturation; the highest applicable state prevails, capacity saturation alone defining critical.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each input's native cadence with versioned re-fitting; and</w:t>
      </w:r>
      <w:r>
        <w:t xml:space="preserve"> </w:t>
      </w:r>
      <w:r>
        <w:rPr>
          <w:bCs/>
          <w:b/>
        </w:rPr>
        <w:t xml:space="preserve">assumption and validity diagnostics</w:t>
      </w:r>
      <w:r>
        <w:t xml:space="preserve"> </w:t>
      </w:r>
      <w:r>
        <w:t xml:space="preserve">on every fit (residual structure, dispersion, calibration): a model failing its checks is excluded by pre-registered rules. Release a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never tightening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not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emergency demand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them; if not, the pre-specified fallback activates and the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serve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every component validated before operational data arrive,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(WHO/ECDC) enters as a</w:t>
      </w:r>
      <w:r>
        <w:t xml:space="preserve"> </w:t>
      </w:r>
      <w:r>
        <w:rPr>
          <w:bCs/>
          <w:b/>
        </w:rPr>
        <w:t xml:space="preserve">pre-specified secondary prior variant</w:t>
      </w:r>
      <w:r>
        <w:t xml:space="preserve">, through the same extraction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revised sources enter as the</w:t>
      </w:r>
      <w:r>
        <w:t xml:space="preserve"> </w:t>
      </w:r>
      <w:r>
        <w:rPr>
          <w:bCs/>
          <w:b/>
        </w:rPr>
        <w:t xml:space="preserve">release vintage available at the origin</w:t>
      </w:r>
      <w:r>
        <w:t xml:space="preserve">, never the final revised value, observation and release times both retained; origins re-run automatically through the T2.5 layer at each input's native cadence. Forecast horizons 7, 14 and 28 days (primary horizon per archetype fixed at the second registration point by a pre-specified operational criterion, never by forecast performance or episode results);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(CRPS the primary selection criterion, log score and calibration registered admissibility constraints, not ranking criteria; after T2.5 validity checks; blind to the other arm); the fixed champion then issues the outer forecast. Selection never sees the outcomes it is scored on. Identical selection machinery runs in both arms, so the primary contrast tests the full evidence-informed configuration, not a particular model family; the library is deliberately broad for selection, not hypothesis multiplication;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as a sensitivity analysis: the comparator cannot become a straw man after the fact.</w:t>
      </w:r>
    </w:p>
    <w:p>
      <w:pPr>
        <w:pStyle w:val="BodyText"/>
      </w:pPr>
      <w:r>
        <w:rPr>
          <w:bCs/>
          <w:b/>
        </w:rPr>
        <w:t xml:space="preserve">Primary endpoint.</w:t>
      </w:r>
      <w:r>
        <w:t xml:space="preserve"> </w:t>
      </w:r>
      <w:r>
        <w:t xml:space="preserve">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an</w:t>
      </w:r>
      <w:r>
        <w:t xml:space="preserve"> </w:t>
      </w:r>
      <w:r>
        <w:rPr>
          <w:bCs/>
          <w:b/>
        </w:rPr>
        <w:t xml:space="preserve">episode-level bootstrap</w:t>
      </w:r>
      <w:r>
        <w:t xml:space="preserve"> </w:t>
      </w:r>
      <w:r>
        <w:t xml:space="preserve">alongside (episodes are the resampling unit, kept intact, so within-episode temporal dependence is preserved),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registered at one half of this fixed value</w:t>
      </w:r>
      <w:r>
        <w:t xml:space="preserve"> </w:t>
      </w:r>
      <w:r>
        <w:t xml:space="preserve">(§2.3.1);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 The well-specified case is defined in registered simulations whose evidence- and data-generating distributions match within a set tolerance;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the borrowing framework transferred to forecasting case incidence at outbreak onset (low-count, case-based, on the linked case-environment series).</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elicits the consequences of early, late and unnecessary escalation and derives thresholds from the losses.</w:t>
      </w:r>
      <w:r>
        <w:t xml:space="preserve"> </w:t>
      </w:r>
      <w:r>
        <w:rPr>
          <w:bCs/>
          <w:b/>
        </w:rPr>
        <w:t xml:space="preserve">The primary decision is fixed in advance</w:t>
      </w:r>
      <w:r>
        <w:t xml:space="preserve">: trigger surge-capacity escalation when the forecast probability of the upper states (strained or critical in the default scheme) crosses the elicited threshold. Non-state candidates map forecasts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state probabilities, forecasts and validity checks refreshed automatically,</w:t>
      </w:r>
      <w:r>
        <w:t xml:space="preserve"> </w:t>
      </w:r>
      <w:r>
        <w:rPr>
          <w:bCs/>
          <w:b/>
        </w:rPr>
        <w:t xml:space="preserve">recorded and scored prospectively against the outcomes as they are observed, never used clinically</w:t>
      </w:r>
      <w:r>
        <w:t xml:space="preserve">: the project ends with the system running and its quantification verified. The legionellosis extension is methodological and retrospective: it need not enter the capacity decision or the dashboard.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it.</w:t>
      </w:r>
    </w:p>
    <w:p>
      <w:pPr>
        <w:pStyle w:val="BodyText"/>
      </w:pPr>
      <w:r>
        <w:rPr>
          <w:bCs/>
          <w:b/>
        </w:rPr>
        <w:t xml:space="preserve">Existing infrastructure.</w:t>
      </w:r>
      <w:r>
        <w:t xml:space="preserve"> </w:t>
      </w:r>
      <w:r>
        <w:t xml:space="preserve">LiteRev-Evidence is a working prototype of the full evidence-to-model pipeline (§2.2.4);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3880"/>
        <w:gridCol w:w="666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logistics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t xml:space="preserve">project-specific data agreements with HUG and 144/CASU; data governance confirmed under the applicable institutional and regulatory framework before any analysis; hardening of LiteRev-Evidence before clinical data connect.</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and prospectively scored for validated demand-based archetypes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 Durable resources,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w:t>
      </w:r>
    </w:p>
    <w:p>
      <w:pPr>
        <w:pStyle w:val="BodyText"/>
      </w:pPr>
      <w:r>
        <w:rPr>
          <w:bCs/>
          <w:b/>
        </w:rPr>
        <w:t xml:space="preserve">Where this points operationally.</w:t>
      </w:r>
      <w:r>
        <w:t xml:space="preserve"> </w:t>
      </w:r>
      <w:r>
        <w:t xml:space="preserve">Each validated archetype leaves a registered, automatically re-validated configuration in the hands of the services that would use it; extending that nucleus into a multi-crisis surveillance platform is the explicit post-grant pathway.</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The question arose while I was building LiteRev-Evidence: the platform could pool published estimates into priors, and nothing established whether they improved forecasting in a new setting. The methodological core came from fifteen years of quantitative finance, from no group I have worked in;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guarantees are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record, the basis for group leadership or a professorship.</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2026-10-14T11:31:42Z</dcterms:created>
  <dcterms:modified xsi:type="dcterms:W3CDTF">2026-10-14T11:31:42Z</dcterms:modified>
</cp:coreProperties>
</file>

<file path=docProps/custom.xml><?xml version="1.0" encoding="utf-8"?>
<Properties xmlns="http://schemas.openxmlformats.org/officeDocument/2006/custom-properties" xmlns:vt="http://schemas.openxmlformats.org/officeDocument/2006/docPropsVTypes"/>
</file>