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demand tests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together in practice.</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 measurement-error model can correct them.</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or tested on forecasts at the start of a crisis.</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review of AI in emergency medical services [7], which I co-authored, uses LiteRev.</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first models from several families, and builds compartmental model parts from published parameter ranges. Evidence updates are reviewed before they are applied. These parts have not yet been validated as one end-to-end forecasting pipeline. In particular, HEADSTART will build and test the historical model-selection step so that it uses only information available at each forecast date.</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 The dataset covers ten years of confirmed cases. Because cases are few, incidence is aggregated to monthly or, where counts allow, weekly series, and the horizon is set at registration.</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cantSplit/>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rPr>
          <w:cantSplit/>
        </w:trP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rPr>
          <w:cantSplit/>
        </w:trP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rPr>
          <w:cantSplit/>
        </w:trP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rPr>
          <w:cantSplit/>
        </w:trP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rPr>
          <w:cantSplit/>
        </w:trP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rPr>
          <w:cantSplit/>
        </w:trP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408615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408615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it brings the spread ratio of T1.3 close to one and improves interval coverage on the held-out studies.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 model inputs derived from the published evidence in WP1. How long it lasts is secondary.</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filtered on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(the median log-ratio of the standard deviations) is reported. A ratio below one (a log-ratio below zero) means the automated extraction made the distribution too narrow. Uncertainty inside studies and differences between studies are tracked separately and together, and repeated for each extraction model version.</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time runs short, the benchmark narrows to the core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 The daily pressure model serves the respiratory and heat tests. Legionellosis uses its own case-incidence forecast at its weekly or monthly resolution.</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It supports the main comparison and carries no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Failing models are set aside. The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candidates are listed at registration in order of preference. Provisionally, respiratory epidemics use CASU-144 calls by symptom first, then HUG emergency-department visits, then admissions or occupancy. Heat events use the same service series restricted to heat-related causes, then a hospital outcome. Legionellosis uses weekly or monthly case counts. After the data audit, the final order and the chosen target are recorded, before any forecast performance is examined.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The design is single-canton on purpose, and transfer is tested across crisis types.</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Co-circulating respiratory viruses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Data hierarchy. The main test uses local service data, chosen from the registered list. If a series is not available in time or fails the gate, the next one in the list takes its place. If no local series can be obtained, the pipeline is run on open Swiss series (federal respiratory surveillance, national wastewater data, weekly deaths and MeteoSwiss weather), with archived multi-model forecasts as comparators [3, 4], to show that the methods work and to release a public benchmark, and the claim is narrowed to that. The daily HUG COVID-19 hospitalisation series I analysed before [35] can serve as an additional check if it can be obtained again.</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the grid of the chosen outcome, daily for the demand tests. Missing values and reporting delays are measured, and recent days that are still incomplete are corrected with nowcasting [43, 44], because reporting tends to slow down under pressure and can look like an early warning. The daily HUG COVID-19 hospitalisation series I analysed before [35] may be requested again as an extra check. Pharmacy sales and wastewater data come through the cantonal pharmacist as early indicators.</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 model inputs derived from the published evidence in WP1.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and check that the ratio-based skill score stays stable when the reference CRPS differs between episodes.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Adaptive weighting passes if the score stays above minus Δ when the evidence is right, and is positive when the evidence has been shifted on purpose. Both conditions are judged with uncertainty bounds across the registered simulation runs, not on point estimates alone.</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forecasts of weekly or monthly case counts on the linked case-environment data. Its time unit and horizon are registered separately, and it is evaluated on its own, outside the comparison of the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age and sex where the selected data and the group sizes allow. A model that is well calibrated overall but poor for a group that matters does not pass.</w:t>
      </w:r>
    </w:p>
    <w:bookmarkEnd w:id="63"/>
    <w:bookmarkStart w:id="64" w:name="t43-dashboard-and-living-updates-m34m48"/>
    <w:p>
      <w:pPr>
        <w:pStyle w:val="Heading5"/>
      </w:pPr>
      <w:r>
        <w:t xml:space="preserve">T4.3. Dashboard and living updates (M34–M48)</w:t>
      </w:r>
    </w:p>
    <w:p>
      <w:pPr>
        <w:pStyle w:val="FirstParagraph"/>
      </w:pPr>
      <w:r>
        <w:t xml:space="preserve">For the demand tests that pass the forecast and decision checks and that the services authorise, the project runs a daily dashboard in observation mode.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are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468"/>
        <w:gridCol w:w="2984"/>
        <w:gridCol w:w="2623"/>
        <w:gridCol w:w="2471"/>
      </w:tblGrid>
      <w:tr>
        <w:trPr>
          <w:cantSplit/>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rPr>
          <w:cantSplit/>
        </w:trP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rPr>
          <w:cantSplit/>
        </w:trP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rPr>
          <w:cantSplit/>
        </w:trP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rPr>
          <w:cantSplit/>
        </w:trP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rPr>
          <w:cantSplit/>
        </w:trP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rPr>
          <w:cantSplit/>
        </w:trP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rPr>
          <w:cantSplit/>
        </w:trP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rPr>
          <w:cantSplit/>
        </w:trPr>
        <w:tc>
          <w:tcPr/>
          <w:p>
            <w:pPr>
              <w:pStyle w:val="Compact"/>
              <w:jc w:val="left"/>
            </w:pPr>
            <w:r>
              <w:t xml:space="preserve">HUG COVID-19 hospitalisation series (daily)</w:t>
            </w:r>
          </w:p>
        </w:tc>
        <w:tc>
          <w:tcPr/>
          <w:p>
            <w:pPr>
              <w:pStyle w:val="Compact"/>
            </w:pPr>
          </w:p>
        </w:tc>
        <w:tc>
          <w:tcPr/>
          <w:p>
            <w:pPr>
              <w:pStyle w:val="Compact"/>
              <w:jc w:val="left"/>
            </w:pPr>
            <w:r>
              <w:t xml:space="preserve">Additional check series, previously analysed [35]</w:t>
            </w:r>
          </w:p>
        </w:tc>
        <w:tc>
          <w:tcPr/>
          <w:p>
            <w:pPr>
              <w:pStyle w:val="Compact"/>
              <w:jc w:val="left"/>
            </w:pPr>
            <w:r>
              <w:t xml:space="preserve">Re-request planned, subject to availability</w:t>
            </w:r>
          </w:p>
        </w:tc>
      </w:tr>
      <w:tr>
        <w:trPr>
          <w:cantSplit/>
        </w:trP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rPr>
          <w:cantSplit/>
        </w:trP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rPr>
          <w:cantSplit/>
        </w:trP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cantSplit/>
          <w:tblHeader w:val="true"/>
        </w:trPr>
        <w:tc>
          <w:tcPr/>
          <w:p>
            <w:pPr>
              <w:pStyle w:val="Compact"/>
              <w:jc w:val="left"/>
            </w:pPr>
            <w:r>
              <w:t xml:space="preserve">Item</w:t>
            </w:r>
          </w:p>
        </w:tc>
        <w:tc>
          <w:tcPr/>
          <w:p>
            <w:pPr>
              <w:pStyle w:val="Compact"/>
              <w:jc w:val="left"/>
            </w:pPr>
            <w:r>
              <w:t xml:space="preserve">Rationale</w:t>
            </w:r>
          </w:p>
        </w:tc>
      </w:tr>
      <w:tr>
        <w:trPr>
          <w:cantSplit/>
        </w:trP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rPr>
          <w:cantSplit/>
        </w:trP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rPr>
          <w:cantSplit/>
        </w:trP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rPr>
          <w:cantSplit/>
        </w:trP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come first.</w:t>
      </w:r>
    </w:p>
    <w:p>
      <w:pPr>
        <w:pStyle w:val="BodyText"/>
      </w:pPr>
      <w:r>
        <w:drawing>
          <wp:inline>
            <wp:extent cx="6640000" cy="50275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50275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3"/>
        <w:gridCol w:w="1560"/>
        <w:gridCol w:w="7423"/>
      </w:tblGrid>
      <w:tr>
        <w:trPr>
          <w:cantSplit/>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rPr>
          <w:cantSplit/>
        </w:trPr>
        <w:tc>
          <w:tcPr/>
          <w:p>
            <w:pPr>
              <w:pStyle w:val="Compact"/>
              <w:jc w:val="left"/>
            </w:pPr>
            <w:r>
              <w:t xml:space="preserve">MS1</w:t>
            </w:r>
          </w:p>
        </w:tc>
        <w:tc>
          <w:tcPr/>
          <w:p>
            <w:pPr>
              <w:pStyle w:val="Compact"/>
              <w:jc w:val="left"/>
            </w:pPr>
            <w:r>
              <w:t xml:space="preserve">4</w:t>
            </w:r>
          </w:p>
        </w:tc>
        <w:tc>
          <w:tcPr/>
          <w:p>
            <w:pPr>
              <w:pStyle w:val="Compact"/>
              <w:jc w:val="left"/>
            </w:pPr>
            <w:r>
              <w:t xml:space="preserve">Protocol and outcome candidates registered</w:t>
            </w:r>
          </w:p>
        </w:tc>
      </w:tr>
      <w:tr>
        <w:trPr>
          <w:cantSplit/>
        </w:trP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rPr>
          <w:cantSplit/>
        </w:trPr>
        <w:tc>
          <w:tcPr/>
          <w:p>
            <w:pPr>
              <w:pStyle w:val="Compact"/>
              <w:jc w:val="left"/>
            </w:pPr>
            <w:r>
              <w:t xml:space="preserve">MS3</w:t>
            </w:r>
          </w:p>
        </w:tc>
        <w:tc>
          <w:tcPr/>
          <w:p>
            <w:pPr>
              <w:pStyle w:val="Compact"/>
              <w:jc w:val="left"/>
            </w:pPr>
            <w:r>
              <w:t xml:space="preserve">12</w:t>
            </w:r>
          </w:p>
        </w:tc>
        <w:tc>
          <w:tcPr/>
          <w:p>
            <w:pPr>
              <w:pStyle w:val="Compact"/>
              <w:jc w:val="left"/>
            </w:pPr>
            <w:r>
              <w:t xml:space="preserve">Data gate passed, pressure model checked or fallback chosen</w:t>
            </w:r>
          </w:p>
        </w:tc>
      </w:tr>
      <w:tr>
        <w:trPr>
          <w:cantSplit/>
        </w:trP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rPr>
          <w:cantSplit/>
        </w:trP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rPr>
          <w:cantSplit/>
        </w:trP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rPr>
          <w:cantSplit/>
        </w:trP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for validated demand tests,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demand tests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path has moved from quantitative economics and financial risk modelling to biomedical research, prediction across settings and software development. I developed the modelling approach and the LiteRev-Evidence prototype, and contributed to mapping variables and data sources within existing collaborations. HEADSTART turns this into my own question and a programme that I lead.</w:t>
      </w:r>
    </w:p>
    <w:tbl>
      <w:tblPr>
        <w:tblStyle w:val="Table"/>
        <w:tblW w:w="10546" w:type="dxa"/>
        <w:tblLook w:firstRow="1" w:lastRow="0" w:firstColumn="0" w:lastColumn="0" w:noHBand="0" w:noVBand="0" w:val="0020"/>
        <w:jc w:val="start"/>
        <w:tblLayout w:type="fixed"/>
      </w:tblPr>
      <w:tblGrid>
        <w:gridCol w:w="1560"/>
        <w:gridCol w:w="3400"/>
        <w:gridCol w:w="2867"/>
        <w:gridCol w:w="2719"/>
      </w:tblGrid>
      <w:tr>
        <w:trPr>
          <w:cantSplit/>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rPr>
          <w:cantSplit/>
        </w:trP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rPr>
          <w:cantSplit/>
        </w:trPr>
        <w:tc>
          <w:tcPr/>
          <w:p>
            <w:pPr>
              <w:pStyle w:val="Compact"/>
              <w:jc w:val="left"/>
            </w:pPr>
            <w:r>
              <w:t xml:space="preserve">GeoAI4EI</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rPr>
          <w:cantSplit/>
        </w:trPr>
        <w:tc>
          <w:tcPr/>
          <w:p>
            <w:pPr>
              <w:pStyle w:val="Compact"/>
              <w:jc w:val="left"/>
            </w:pPr>
            <w:r>
              <w:t xml:space="preserve">Legionellosis study</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rPr>
          <w:cantSplit/>
        </w:trP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2026-10-15T06:34:44Z</dcterms:created>
  <dcterms:modified xsi:type="dcterms:W3CDTF">2026-10-15T06:34:44Z</dcterms:modified>
</cp:coreProperties>
</file>

<file path=docProps/custom.xml><?xml version="1.0" encoding="utf-8"?>
<Properties xmlns="http://schemas.openxmlformats.org/officeDocument/2006/custom-properties" xmlns:vt="http://schemas.openxmlformats.org/officeDocument/2006/docPropsVTypes"/>
</file>