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provenance-tracked, certainty-graded extraction, pooled parameter distributions and candidate model specifications.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priors improve cold-start forecast skill, how fast that value decays, and when they cause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champion with evidence-derived priors against the champion without them, repeated once, sequentially, as the heat generalisation test.</w:t>
      </w:r>
    </w:p>
    <w:p>
      <w:pPr>
        <w:pStyle w:val="BodyText"/>
      </w:pPr>
      <w:r>
        <w:t xml:space="preserve">Respiratory epidemics carry the confirmatory test, heatwaves the sequential generalisation test, Geneva legionellosis a scoped year-4 extension. The outcome is intentionally falsifiable: if literature-derived priors improve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across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develop surveillance, forecasting and decision-support capability from local data; none has as a stated objective testing whether automatically synthesised external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same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used it in its published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it is applied: the evidence-to-model loop this proposal interrogates, in prototype</w:t>
      </w:r>
      <w:r>
        <w:t xml:space="preserve"> </w:t>
      </w:r>
      <w:r>
        <w:t xml:space="preserve">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validation domains are chosen by</w:t>
      </w:r>
      <w:r>
        <w:t xml:space="preserve"> </w:t>
      </w:r>
      <w:r>
        <w:rPr>
          <w:bCs/>
          <w:b/>
        </w:rPr>
        <w:t xml:space="preserve">model class</w:t>
      </w:r>
      <w:r>
        <w:t xml:space="preserve">, and why the proposal</w:t>
      </w:r>
      <w:r>
        <w:t xml:space="preserve"> </w:t>
      </w:r>
      <w:r>
        <w:t xml:space="preserve">rests on a mapped, not assumed, data landscape.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drawing>
          <wp:inline>
            <wp:extent cx="6640000" cy="2656000"/>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56000"/>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784"/>
        <w:gridCol w:w="6122"/>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represents the critical tail; critical-slowing-down indicators are</w:t>
      </w:r>
      <w:r>
        <w:t xml:space="preserve"> </w:t>
      </w:r>
      <w:r>
        <w:rPr>
          <w:bCs/>
          <w:b/>
        </w:rPr>
        <w:t xml:space="preserve">supporting covariates</w:t>
      </w:r>
      <w:r>
        <w:t xml:space="preserve"> </w:t>
      </w:r>
      <w:r>
        <w:t xml:space="preserve">tested against level and trend.</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justified against the with-prior versus without-prior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(library, validity checks, selection rule: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A respiratory-positive, heat-negative result is a boundary condition on transportability.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observation mode is an extension, not a prerequisite.</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 Matching each arm's outcome to</w:t>
      </w:r>
      <w:r>
        <w:t xml:space="preserve"> </w:t>
      </w:r>
      <w:r>
        <w:t xml:space="preserve">its evidence base makes the generalisation test a test of borrowing, not of the outcome</w:t>
      </w:r>
      <w:r>
        <w:t xml:space="preserve"> </w:t>
      </w:r>
      <w:r>
        <w:t xml:space="preserve">definition.</w:t>
      </w:r>
    </w:p>
    <w:tbl>
      <w:tblPr>
        <w:tblStyle w:val="Table"/>
        <w:tblW w:w="10466" w:type="dxa"/>
        <w:tblLook w:firstRow="1" w:lastRow="0" w:firstColumn="0" w:lastColumn="0" w:noHBand="0" w:noVBand="0" w:val="0020"/>
        <w:jc w:val="start"/>
        <w:tblLayout w:type="fixed"/>
      </w:tblPr>
      <w:tblGrid>
        <w:gridCol w:w="1723"/>
        <w:gridCol w:w="2037"/>
        <w:gridCol w:w="2678"/>
        <w:gridCol w:w="4028"/>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system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Manual extraction is expensive; 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 demand distribution;</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a supporting representation,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weakly informative, fixed evidence-derived and adaptive robust borrowing. The adaptive specification is a robust mixture of an evidence-derived and a weakly informative component, prior–data conflict recorded explicitly.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every model re-estimated at its inputs' native cadence (daily demand, weekly surveillance),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fixed in advance for</w:t>
      </w:r>
      <w:r>
        <w:t xml:space="preserve"> </w:t>
      </w:r>
      <w:r>
        <w:rPr>
          <w:bCs/>
          <w:b/>
        </w:rPr>
        <w:t xml:space="preserve">historical depth, temporal resolution, reporting latency and completeness</w:t>
      </w:r>
      <w:r>
        <w:t xml:space="preserv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a winter with concurrent influenza and RSV is one surge, not two.</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but before any evaluation runs, by the pre-declared selection rules of T3.3.</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truncation/nowcasting so incomplete recent reporting is not mistaken for falling demand [Höhle 2014; McGough 2020]; degraded reporting under strain could itself mimic an early-warning signal.</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enforcing the rolling cut-off; origins re-run automatically through the T2.5 layer, each input at its native cadence. Forecast horizons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operational implementations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w:t>
      </w:r>
      <w:r>
        <w:t xml:space="preserve"> </w:t>
      </w:r>
      <w:r>
        <w:t xml:space="preserve">At each origin every admissible candidate runs automatically, passes the T2.5 assumption and validity checks, and is scored on pre-specified metrics (CRPS, log score, calibration); each arm's</w:t>
      </w:r>
      <w:r>
        <w:t xml:space="preserve"> </w:t>
      </w:r>
      <w:r>
        <w:rPr>
          <w:bCs/>
          <w:b/>
        </w:rPr>
        <w:t xml:space="preserve">champion</w:t>
      </w:r>
      <w:r>
        <w:t xml:space="preserve"> </w:t>
      </w:r>
      <w:r>
        <w:t xml:space="preserve">is selected by a registered rule, blind to the other arm. Identical machinery in both arms means the contrast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(between library members, between borrowing strategies)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 tuned into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If clinical data are delayed, H3a remains testable on open federal/cantonal and European surveillance series under the same rolling-origin restriction; §2.4 states the cost.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then runs as a</w:t>
      </w:r>
      <w:r>
        <w:t xml:space="preserve"> </w:t>
      </w:r>
      <w:r>
        <w:rPr>
          <w:bCs/>
          <w:b/>
        </w:rPr>
        <w:t xml:space="preserve">daily observation-mode dashboard</w:t>
      </w:r>
      <w:r>
        <w:t xml:space="preserve"> </w:t>
      </w:r>
      <w:r>
        <w:t xml:space="preserve">with the partner services (CASU-144 regulation, HUG emergency department,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a new CCER approval with me as applicant; benchmark and software released openly, synthetic equivalents where possible.</w:t>
      </w:r>
    </w:p>
    <w:p>
      <w:pPr>
        <w:pStyle w:val="BodyText"/>
      </w:pPr>
      <w:r>
        <w:rPr>
          <w:bCs/>
          <w:b/>
        </w:rPr>
        <w:t xml:space="preserve">Expected outputs.</w:t>
      </w:r>
      <w:r>
        <w:t xml:space="preserve"> </w:t>
      </w:r>
      <w:r>
        <w:t xml:space="preserve">None of the explicit fallbacks above converts an inconclusive analysis into a success claim. Four to six papers and two durable open resources;</w:t>
      </w:r>
      <w:r>
        <w:t xml:space="preserve"> </w:t>
      </w:r>
      <w:r>
        <w:rPr>
          <w:bCs/>
          <w:b/>
        </w:rPr>
        <w:t xml:space="preserve">I lead the methodological, benchmark and integrative outputs.</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rPr>
          <w:bCs/>
          <w:b/>
        </w:rPr>
        <w:t xml:space="preserve">Institute of Global Health:</w:t>
      </w:r>
      <w:r>
        <w:t xml:space="preserve"> </w:t>
      </w:r>
      <w:r>
        <w:t xml:space="preserve">epidemiology, infectious-disease modelling and automated evidence extraction in one institute;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and the AI-in-EMS review [Edjinedja 2026] evidences the functioning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2917"/>
        <w:gridCol w:w="1560"/>
        <w:gridCol w:w="5989"/>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requested. Continuous, daily, near real-time; archive depth to confirm;</w:t>
            </w:r>
            <w:r>
              <w:t xml:space="preserve"> </w:t>
            </w:r>
            <w:r>
              <w:rPr>
                <w:bCs/>
                <w:b/>
              </w:rPr>
              <w:t xml:space="preserve">HUG access established within GESICA</w:t>
            </w:r>
            <w:r>
              <w:t xml:space="preserve"> </w:t>
            </w:r>
            <w:r>
              <w:t xml:space="preserve">(voice excluded); own agreement + CCER required</w:t>
            </w:r>
          </w:p>
        </w:tc>
      </w:tr>
      <w:tr>
        <w:tc>
          <w:tcPr/>
          <w:p>
            <w:pPr>
              <w:pStyle w:val="Compact"/>
              <w:jc w:val="left"/>
            </w:pPr>
            <w:r>
              <w:t xml:space="preserve">ED presentations + ICU occupancy, additional channels</w:t>
            </w:r>
          </w:p>
        </w:tc>
        <w:tc>
          <w:tcPr/>
          <w:p>
            <w:pPr>
              <w:pStyle w:val="Compact"/>
              <w:jc w:val="left"/>
            </w:pPr>
            <w:r>
              <w:t xml:space="preserve">Requested</w:t>
            </w:r>
          </w:p>
        </w:tc>
        <w:tc>
          <w:tcPr/>
          <w:p>
            <w:pPr>
              <w:pStyle w:val="Compact"/>
              <w:jc w:val="left"/>
            </w:pPr>
            <w:r>
              <w:t xml:space="preserve">Letters requested; daily depth to confirm; ICU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each leaving the central question answerable with the narrowing stated.</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drawing>
          <wp:inline>
            <wp:extent cx="6640000" cy="361216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361216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pPr>
        <w:pStyle w:val="BodyText"/>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 to open surveillance data if operational access is delayed, and WP4's decision analysis is retrospective.</w:t>
      </w:r>
      <w:r>
        <w:t xml:space="preserve"> </w:t>
      </w:r>
      <w:r>
        <w:rPr>
          <w:bCs/>
          <w:b/>
        </w:rPr>
        <w:t xml:space="preserve">What the data fallback costs:</w:t>
      </w:r>
      <w:r>
        <w:t xml:space="preserve"> </w:t>
      </w:r>
      <w:r>
        <w:t xml:space="preserve">Open surveillance series are not emergency-system demand. Falling back</w:t>
      </w:r>
      <w:r>
        <w:t xml:space="preserve"> </w:t>
      </w:r>
      <w:r>
        <w:rPr>
          <w:bCs/>
          <w:b/>
        </w:rPr>
        <w:t xml:space="preserve">preserves the methodological test but narrows the outcome claim</w:t>
      </w:r>
      <w:r>
        <w:t xml:space="preserve"> </w:t>
      </w:r>
      <w:r>
        <w:t xml:space="preserve">to routinely observed crisis indicators, and turns most of WP4 illustrative; hence the agreements are a pre-award action, not a later risk.</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t xml:space="preserve">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preprints on submission, open access throughout; the benchmark, prior library and evaluation code as</w:t>
      </w:r>
      <w:r>
        <w:t xml:space="preserve"> </w:t>
      </w:r>
      <w:r>
        <w:rPr>
          <w:bCs/>
          <w:b/>
        </w:rPr>
        <w:t xml:space="preserve">citable, versioned open resources</w:t>
      </w:r>
      <w:r>
        <w:t xml:space="preserve">; results returned to the operational partners.</w:t>
      </w:r>
    </w:p>
    <w:p>
      <w:pPr>
        <w:pStyle w:val="BodyText"/>
      </w:pPr>
      <w:r>
        <w:t xml:space="preserve">Three durable resources remain, subordinate to the central question:</w:t>
      </w:r>
      <w:r>
        <w:t xml:space="preserve"> </w:t>
      </w:r>
      <w:r>
        <w:rPr>
          <w:bCs/>
          <w:b/>
        </w:rPr>
        <w:t xml:space="preserve">a quantitative extraction benchmark</w:t>
      </w:r>
      <w:r>
        <w:t xml:space="preserve">;</w:t>
      </w:r>
      <w:r>
        <w:t xml:space="preserve"> </w:t>
      </w:r>
      <w:r>
        <w:rPr>
          <w:bCs/>
          <w:b/>
        </w:rPr>
        <w:t xml:space="preserve">an open reference framework</w:t>
      </w:r>
      <w:r>
        <w:t xml:space="preserve"> </w:t>
      </w:r>
      <w:r>
        <w:t xml:space="preserve">for evidence-informed latent-state forecasting;</w:t>
      </w:r>
      <w:r>
        <w:t xml:space="preserve"> </w:t>
      </w:r>
      <w:r>
        <w:rPr>
          <w:bCs/>
          <w:b/>
        </w:rPr>
        <w:t xml:space="preserve">a 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p>
      <w:pPr>
        <w:pStyle w:val="BodyText"/>
      </w:pPr>
      <w:r>
        <w:rPr>
          <w:bCs/>
          <w:b/>
        </w:rPr>
        <w:t xml:space="preserve">Where this points operationally.</w:t>
      </w:r>
      <w:r>
        <w:t xml:space="preserve"> </w:t>
      </w:r>
      <w:r>
        <w:t xml:space="preserve">Each validated event type leaves a registered, automatically re-validated forecasting configuration and a daily observation-mode dashboard in the hands of the services that would use it. Extending that nucleus into a multi-crisis surveillance platform for clinicians and regulators, event type by event type as models validate, is the explicit post-grant pathway; this project supplies the validated core and the update rules that make such a platform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2090"/>
        <w:gridCol w:w="3661"/>
        <w:gridCol w:w="1560"/>
        <w:gridCol w:w="3155"/>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evidence's inferential value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evidence-derived priors help cold-start forecasting, and when they harm</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the Institute's groups rather than inside one; the PI's independence guarantees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two open resources the field can build on, and a first-author methodological record in my own name: the basis for a group-leadership position or professorship. The follow-on programme is §2.5's platform pathway; this project supplies its validated core.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of more than 50 authors;</w:t>
      </w:r>
      <w:r>
        <w:t xml:space="preserve"> </w:t>
      </w:r>
      <w:r>
        <w:t xml:space="preserve">shortening permitted by the guidelines).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of more than 50 authors;</w:t>
      </w:r>
      <w:r>
        <w:t xml:space="preserve"> </w:t>
      </w:r>
      <w:r>
        <w:t xml:space="preserve">shortening permitted by the guidelines).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Difference</w:t>
      </w:r>
      <w:r>
        <w:t xml:space="preserve"> </w:t>
      </w:r>
      <w:r>
        <w:t xml:space="preserve">in clinical severity between Delta variant and Omicron sub-lineages in a Swiss tertiary</w:t>
      </w:r>
      <w:r>
        <w:t xml:space="preserve"> </w:t>
      </w:r>
      <w:r>
        <w:t xml:space="preserve">center.</w:t>
      </w:r>
      <w:r>
        <w:t xml:space="preserve"> </w:t>
      </w:r>
      <w:r>
        <w:rPr>
          <w:iCs/>
          <w:i/>
        </w:rPr>
        <w:t xml:space="preserve">CMI Communications</w:t>
      </w:r>
      <w:r>
        <w:t xml:space="preserve"> </w:t>
      </w:r>
      <w:r>
        <w:t xml:space="preserve">2024.</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80" w:right="720" w:bottom="68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2026-10-07T09:48:11Z</dcterms:created>
  <dcterms:modified xsi:type="dcterms:W3CDTF">2026-10-07T09:48:11Z</dcterms:modified>
</cp:coreProperties>
</file>

<file path=docProps/custom.xml><?xml version="1.0" encoding="utf-8"?>
<Properties xmlns="http://schemas.openxmlformats.org/officeDocument/2006/custom-properties" xmlns:vt="http://schemas.openxmlformats.org/officeDocument/2006/docPropsVTypes"/>
</file>