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COLDSTART - Prévoir et quantifier les crises sanitaires quand les données locales manquent</w:t>
      </w:r>
    </w:p>
    <w:p>
      <w:pPr>
        <w:pStyle w:val="BodyText"/>
      </w:pPr>
      <w:r>
        <w:t xml:space="preserve">Candidature Ambizione FNS (dépôt : 3 novembre 2026) · Requérant : Dr Erol Orel · Hôte proposé :</w:t>
      </w:r>
      <w:r>
        <w:t xml:space="preserve"> </w:t>
      </w:r>
      <w:r>
        <w:t xml:space="preserve">Institut de santé globale, Faculté de médecine, UNIGE (programme de recherche indépendant) ·</w:t>
      </w:r>
      <w:r>
        <w:t xml:space="preserve"> </w:t>
      </w:r>
      <w:r>
        <w:t xml:space="preserve">Durée : 4 ans</w:t>
      </w:r>
    </w:p>
    <w:bookmarkStart w:id="20" w:name="le-problème"/>
    <w:p>
      <w:pPr>
        <w:pStyle w:val="Heading2"/>
      </w:pPr>
      <w:r>
        <w:t xml:space="preserve">Le problème</w:t>
      </w:r>
    </w:p>
    <w:p>
      <w:pPr>
        <w:pStyle w:val="FirstParagraph"/>
      </w:pPr>
      <w:r>
        <w:t xml:space="preserve">Quand une crise sanitaire commence, les données locales nécessaires pour la prévoir n’existent</w:t>
      </w:r>
      <w:r>
        <w:t xml:space="preserve"> </w:t>
      </w:r>
      <w:r>
        <w:t xml:space="preserve">pas encore. Les modèles les plus performants exigent plusieurs années d’historique ; ils sont</w:t>
      </w:r>
      <w:r>
        <w:t xml:space="preserve"> </w:t>
      </w:r>
      <w:r>
        <w:t xml:space="preserve">donc les plus faibles exactement là où les décisions - armer des ambulances, ouvrir des lits,</w:t>
      </w:r>
      <w:r>
        <w:t xml:space="preserve"> </w:t>
      </w:r>
      <w:r>
        <w:t xml:space="preserve">déclencher une escalade - sont les plus coûteuses et les moins réversibles.</w:t>
      </w:r>
    </w:p>
    <w:p>
      <w:pPr>
        <w:pStyle w:val="BodyText"/>
      </w:pPr>
      <w:r>
        <w:t xml:space="preserve">Il existe pourtant une information quantitative disponible dès le premier jour : la littérature</w:t>
      </w:r>
      <w:r>
        <w:t xml:space="preserve"> </w:t>
      </w:r>
      <w:r>
        <w:t xml:space="preserve">publiée sur des événements analogues - associations météo–demande, amplitudes et délais de</w:t>
      </w:r>
      <w:r>
        <w:t xml:space="preserve"> </w:t>
      </w:r>
      <w:r>
        <w:t xml:space="preserve">surcharge, durées de séjour et occupation, paramètres de transmission. Elle n’est presque</w:t>
      </w:r>
      <w:r>
        <w:t xml:space="preserve"> </w:t>
      </w:r>
      <w:r>
        <w:t xml:space="preserve">jamais utilisée comme information a priori formelle, parce que personne n’a établi si le faire</w:t>
      </w:r>
      <w:r>
        <w:t xml:space="preserve"> </w:t>
      </w:r>
      <w:r>
        <w:t xml:space="preserve">aide ou nuit. C’est la question centrale du projet, posée de façon falsifiable, de</w:t>
      </w:r>
      <w:r>
        <w:t xml:space="preserve"> </w:t>
      </w:r>
      <w:r>
        <w:t xml:space="preserve">l’extraction jusqu’au système qui tourne et se vérifie.</w:t>
      </w:r>
    </w:p>
    <w:bookmarkEnd w:id="20"/>
    <w:bookmarkStart w:id="21" w:name="X361ba9bd7c428ab4561012fdef859bd7ad4c451"/>
    <w:p>
      <w:pPr>
        <w:pStyle w:val="Heading2"/>
      </w:pPr>
      <w:r>
        <w:t xml:space="preserve">D’où vient le projet : LiteRev-Evidence et l’écosystème genevois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LiteRev-Evidence</w:t>
      </w:r>
      <w:r>
        <w:t xml:space="preserve">, le prototype que j’ai développé à l’Institut (recherche fédérée dans la</w:t>
      </w:r>
      <w:r>
        <w:t xml:space="preserve"> </w:t>
      </w:r>
      <w:r>
        <w:t xml:space="preserve">littérature ouverte, criblage, extraction avec provenance, agrégation en distributions de</w:t>
      </w:r>
      <w:r>
        <w:t xml:space="preserve"> </w:t>
      </w:r>
      <w:r>
        <w:t xml:space="preserve">paramètres, ajustement et classement automatisés de modèles candidats), parcourt déjà ce</w:t>
      </w:r>
      <w:r>
        <w:t xml:space="preserve"> </w:t>
      </w:r>
      <w:r>
        <w:t xml:space="preserve">pipeline ; le projet le transforme en instrument validé et le met à l’épreuve.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GESICA</w:t>
      </w:r>
      <w:r>
        <w:t xml:space="preserve"> </w:t>
      </w:r>
      <w:r>
        <w:t xml:space="preserve">fournit la cartographie des données (inventaire référencé de 28 sources de</w:t>
      </w:r>
      <w:r>
        <w:t xml:space="preserve"> </w:t>
      </w:r>
      <w:r>
        <w:t xml:space="preserve">surveillance) et les relations de travail avec la médecine d’urgence des HUG et la CASU-144 ;</w:t>
      </w:r>
      <w:r>
        <w:t xml:space="preserve"> </w:t>
      </w:r>
      <w:r>
        <w:t xml:space="preserve">la revue systématique commune sur l’IA en médecine préhospitalière (soumise en 2026) montre</w:t>
      </w:r>
      <w:r>
        <w:t xml:space="preserve"> </w:t>
      </w:r>
      <w:r>
        <w:t xml:space="preserve">que la prévision y est la tâche la plus abordée et que l’incertitude y est rarement traitée.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L’étude légionellose genevoise</w:t>
      </w:r>
      <w:r>
        <w:t xml:space="preserve"> </w:t>
      </w:r>
      <w:r>
        <w:t xml:space="preserve">(BASEC 2026-00324, éthique accordée), dont je dirige le</w:t>
      </w:r>
      <w:r>
        <w:t xml:space="preserve"> </w:t>
      </w:r>
      <w:r>
        <w:t xml:space="preserve">volet données, fournit l’archétype contrastant du volet d’extension.</w:t>
      </w:r>
    </w:p>
    <w:bookmarkEnd w:id="21"/>
    <w:bookmarkStart w:id="22" w:name="X122ffb48666d44cac441283e7af41f8738e2df7"/>
    <w:p>
      <w:pPr>
        <w:pStyle w:val="Heading2"/>
      </w:pPr>
      <w:r>
        <w:t xml:space="preserve">Ce que le projet fait (cinq volets, 48 mois)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Extraction</w:t>
      </w:r>
      <w:r>
        <w:t xml:space="preserve"> </w:t>
      </w:r>
      <w:r>
        <w:t xml:space="preserve">- mesurer la fiabilité de l’extraction automatique de paramètres quantitatifs</w:t>
      </w:r>
      <w:r>
        <w:t xml:space="preserve"> </w:t>
      </w:r>
      <w:r>
        <w:t xml:space="preserve">depuis la littérature (contre un étalon en double extraction humaine) et corriger les biais ;</w:t>
      </w:r>
      <w:r>
        <w:t xml:space="preserve"> </w:t>
      </w:r>
      <w:r>
        <w:t xml:space="preserve">la littérature fournit aussi les variables explicatives, les familles de modèles recommandées</w:t>
      </w:r>
      <w:r>
        <w:t xml:space="preserve"> </w:t>
      </w:r>
      <w:r>
        <w:t xml:space="preserve">et les définitions d’issues et de seuils, transposées au contexte local.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Modélisation</w:t>
      </w:r>
      <w:r>
        <w:t xml:space="preserve"> </w:t>
      </w:r>
      <w:r>
        <w:t xml:space="preserve">- représenter l’état du système de soins comme un</w:t>
      </w:r>
      <w:r>
        <w:t xml:space="preserve"> </w:t>
      </w:r>
      <w:r>
        <w:rPr>
          <w:bCs/>
          <w:b/>
        </w:rPr>
        <w:t xml:space="preserve">processus à régimes</w:t>
      </w:r>
      <w:r>
        <w:rPr>
          <w:bCs/>
          <w:b/>
        </w:rPr>
        <w:t xml:space="preserve"> </w:t>
      </w:r>
      <w:r>
        <w:rPr>
          <w:bCs/>
          <w:b/>
        </w:rPr>
        <w:t xml:space="preserve">latents</w:t>
      </w:r>
      <w:r>
        <w:t xml:space="preserve"> </w:t>
      </w:r>
      <w:r>
        <w:t xml:space="preserve">(habituel / tendu / sous tension / critique) plutôt que comme un seuil appliqué à</w:t>
      </w:r>
      <w:r>
        <w:t xml:space="preserve"> </w:t>
      </w:r>
      <w:r>
        <w:t xml:space="preserve">une prévision ponctuelle ; les modèles épidémiologiques (type SEIR) n’interviennent que pour</w:t>
      </w:r>
      <w:r>
        <w:t xml:space="preserve"> </w:t>
      </w:r>
      <w:r>
        <w:t xml:space="preserve">les crises épidémiologiques, les crises environnementales relevant de structures</w:t>
      </w:r>
      <w:r>
        <w:t xml:space="preserve"> </w:t>
      </w:r>
      <w:r>
        <w:t xml:space="preserve">exposition–réponse.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Évaluation</w:t>
      </w:r>
      <w:r>
        <w:t xml:space="preserve"> </w:t>
      </w:r>
      <w:r>
        <w:t xml:space="preserve">- tester, épisode historique par épisode historique, si les a priori issus de</w:t>
      </w:r>
      <w:r>
        <w:t xml:space="preserve"> </w:t>
      </w:r>
      <w:r>
        <w:t xml:space="preserve">la littérature améliorent la prévision en début de crise, en n’utilisant à chaque instant que</w:t>
      </w:r>
      <w:r>
        <w:t xml:space="preserve"> </w:t>
      </w:r>
      <w:r>
        <w:t xml:space="preserve">les données</w:t>
      </w:r>
      <w:r>
        <w:t xml:space="preserve"> </w:t>
      </w:r>
      <w:r>
        <w:rPr>
          <w:iCs/>
          <w:i/>
        </w:rPr>
        <w:t xml:space="preserve">et la littérature</w:t>
      </w:r>
      <w:r>
        <w:t xml:space="preserve"> </w:t>
      </w:r>
      <w:r>
        <w:t xml:space="preserve">disponibles à cette date, avec sélection automatisée du</w:t>
      </w:r>
      <w:r>
        <w:t xml:space="preserve"> </w:t>
      </w:r>
      <w:r>
        <w:t xml:space="preserve">meilleur modèle selon des règles pré-enregistrées.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Décision</w:t>
      </w:r>
      <w:r>
        <w:t xml:space="preserve"> </w:t>
      </w:r>
      <w:r>
        <w:t xml:space="preserve">- évaluer non pas la précision statistique mais</w:t>
      </w:r>
      <w:r>
        <w:t xml:space="preserve"> </w:t>
      </w:r>
      <w:r>
        <w:rPr>
          <w:bCs/>
          <w:b/>
        </w:rPr>
        <w:t xml:space="preserve">le bénéfice décisionnel</w:t>
      </w:r>
      <w:r>
        <w:t xml:space="preserve">, à</w:t>
      </w:r>
      <w:r>
        <w:t xml:space="preserve"> </w:t>
      </w:r>
      <w:r>
        <w:t xml:space="preserve">partir de seuils d’escalade recueillis de façon structurée (protocole SHELF) auprès des</w:t>
      </w:r>
      <w:r>
        <w:t xml:space="preserve"> </w:t>
      </w:r>
      <w:r>
        <w:t xml:space="preserve">régulateurs, urgentistes et gestionnaires de capacités.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Automatisation et veille</w:t>
      </w:r>
      <w:r>
        <w:t xml:space="preserve"> </w:t>
      </w:r>
      <w:r>
        <w:t xml:space="preserve">- données publiques connectées automatiquement ; modèles</w:t>
      </w:r>
      <w:r>
        <w:t xml:space="preserve"> </w:t>
      </w:r>
      <w:r>
        <w:t xml:space="preserve">relancés à la cadence de chaque variable ; hypothèses statistiques vérifiées ; veille</w:t>
      </w:r>
      <w:r>
        <w:t xml:space="preserve"> </w:t>
      </w:r>
      <w:r>
        <w:t xml:space="preserve">quotidienne de la littérature ; en fin de projet, pour les types d’événements validés et sous</w:t>
      </w:r>
      <w:r>
        <w:t xml:space="preserve"> </w:t>
      </w:r>
      <w:r>
        <w:t xml:space="preserve">réserve d’autorisation, un</w:t>
      </w:r>
      <w:r>
        <w:t xml:space="preserve"> </w:t>
      </w:r>
      <w:r>
        <w:rPr>
          <w:bCs/>
          <w:b/>
        </w:rPr>
        <w:t xml:space="preserve">tableau de bord quotidien en mode observation</w:t>
      </w:r>
      <w:r>
        <w:t xml:space="preserve">, enregistré et</w:t>
      </w:r>
      <w:r>
        <w:t xml:space="preserve"> </w:t>
      </w:r>
      <w:r>
        <w:t xml:space="preserve">évalué prospectivement sur les issues observées, jamais décisionnel pendant le projet.</w:t>
      </w:r>
    </w:p>
    <w:bookmarkEnd w:id="22"/>
    <w:bookmarkStart w:id="23" w:name="les-données-et-la-voie-réglementaire"/>
    <w:p>
      <w:pPr>
        <w:pStyle w:val="Heading2"/>
      </w:pPr>
      <w:r>
        <w:t xml:space="preserve">Les données et la voie réglementaire</w:t>
      </w:r>
    </w:p>
    <w:p>
      <w:pPr>
        <w:pStyle w:val="FirstParagraph"/>
      </w:pPr>
      <w:r>
        <w:t xml:space="preserve">Le projet n’utilise que des</w:t>
      </w:r>
      <w:r>
        <w:t xml:space="preserve"> </w:t>
      </w:r>
      <w:r>
        <w:rPr>
          <w:bCs/>
          <w:b/>
        </w:rPr>
        <w:t xml:space="preserve">extraits rétrospectifs agrégés au jour</w:t>
      </w:r>
      <w:r>
        <w:t xml:space="preserve"> </w:t>
      </w:r>
      <w:r>
        <w:t xml:space="preserve">(aucun identifiant,</w:t>
      </w:r>
      <w:r>
        <w:t xml:space="preserve"> </w:t>
      </w:r>
      <w:r>
        <w:t xml:space="preserve">aucune donnée individuelle, aucun texte libre). Le périmètre est le canton de Genève : données</w:t>
      </w:r>
      <w:r>
        <w:t xml:space="preserve"> </w:t>
      </w:r>
      <w:r>
        <w:t xml:space="preserve">de régulation du 144 comme série d’issue principale, passages aux urgences et occupation des</w:t>
      </w:r>
      <w:r>
        <w:t xml:space="preserve"> </w:t>
      </w:r>
      <w:r>
        <w:t xml:space="preserve">soins intensifs comme canaux complémentaires, médecin et pharmacien cantonaux et SIG pour les</w:t>
      </w:r>
      <w:r>
        <w:t xml:space="preserve"> </w:t>
      </w:r>
      <w:r>
        <w:t xml:space="preserve">volets environnementaux. La machinerie est d’abord validée de bout en bout sur des</w:t>
      </w:r>
      <w:r>
        <w:t xml:space="preserve"> </w:t>
      </w:r>
      <w:r>
        <w:rPr>
          <w:bCs/>
          <w:b/>
        </w:rPr>
        <w:t xml:space="preserve">données</w:t>
      </w:r>
      <w:r>
        <w:rPr>
          <w:bCs/>
          <w:b/>
        </w:rPr>
        <w:t xml:space="preserve"> </w:t>
      </w:r>
      <w:r>
        <w:rPr>
          <w:bCs/>
          <w:b/>
        </w:rPr>
        <w:t xml:space="preserve">publiques ouvertes</w:t>
      </w:r>
      <w:r>
        <w:t xml:space="preserve"> </w:t>
      </w:r>
      <w:r>
        <w:t xml:space="preserve">(benchmark public) ; la faisabilité ne dépend donc d’aucun accord unique.</w:t>
      </w:r>
      <w:r>
        <w:t xml:space="preserve"> </w:t>
      </w:r>
      <w:r>
        <w:t xml:space="preserve">L’accès opérationnel passerait par la</w:t>
      </w:r>
      <w:r>
        <w:t xml:space="preserve"> </w:t>
      </w:r>
      <w:r>
        <w:rPr>
          <w:bCs/>
          <w:b/>
        </w:rPr>
        <w:t xml:space="preserve">voie officielle : soumission à la CCER avec moi comme</w:t>
      </w:r>
      <w:r>
        <w:rPr>
          <w:bCs/>
          <w:b/>
        </w:rPr>
        <w:t xml:space="preserve"> </w:t>
      </w:r>
      <w:r>
        <w:rPr>
          <w:bCs/>
          <w:b/>
        </w:rPr>
        <w:t xml:space="preserve">requérant</w:t>
      </w:r>
      <w:r>
        <w:t xml:space="preserve">, précédée des accords de données institutionnels, préparés avant le mois 1.</w:t>
      </w:r>
    </w:p>
    <w:bookmarkEnd w:id="23"/>
    <w:bookmarkStart w:id="24" w:name="lhébergement-à-lisg"/>
    <w:p>
      <w:pPr>
        <w:pStyle w:val="Heading2"/>
      </w:pPr>
      <w:r>
        <w:t xml:space="preserve">L’hébergement à l’ISG</w:t>
      </w:r>
    </w:p>
    <w:p>
      <w:pPr>
        <w:pStyle w:val="FirstParagraph"/>
      </w:pPr>
      <w:r>
        <w:t xml:space="preserve">Le programme serait conduit comme un</w:t>
      </w:r>
      <w:r>
        <w:t xml:space="preserve"> </w:t>
      </w:r>
      <w:r>
        <w:rPr>
          <w:bCs/>
          <w:b/>
        </w:rPr>
        <w:t xml:space="preserve">programme de recherche indépendant aux côtés des groupes</w:t>
      </w:r>
      <w:r>
        <w:rPr>
          <w:bCs/>
          <w:b/>
        </w:rPr>
        <w:t xml:space="preserve"> </w:t>
      </w:r>
      <w:r>
        <w:rPr>
          <w:bCs/>
          <w:b/>
        </w:rPr>
        <w:t xml:space="preserve">de l’Institut</w:t>
      </w:r>
      <w:r>
        <w:t xml:space="preserve">, selon les garanties du modèle FNS (direction scientifique du requérant, choix</w:t>
      </w:r>
      <w:r>
        <w:t xml:space="preserve"> </w:t>
      </w:r>
      <w:r>
        <w:t xml:space="preserve">et supervision des collaborateurs, autorité budgétaire, publication en dernier auteur). La</w:t>
      </w:r>
      <w:r>
        <w:t xml:space="preserve"> </w:t>
      </w:r>
      <w:r>
        <w:t xml:space="preserve">confirmation détaillée est signée par la personne de contact (Prof. Keiser) et la direction de</w:t>
      </w:r>
      <w:r>
        <w:t xml:space="preserve"> </w:t>
      </w:r>
      <w:r>
        <w:t xml:space="preserve">l’Institut (Prof. Ray).</w:t>
      </w:r>
      <w:r>
        <w:t xml:space="preserve"> </w:t>
      </w:r>
      <w:r>
        <w:rPr>
          <w:bCs/>
          <w:b/>
        </w:rPr>
        <w:t xml:space="preserve">Aucune implication financière pour l’Institut</w:t>
      </w:r>
      <w:r>
        <w:t xml:space="preserve"> </w:t>
      </w:r>
      <w:r>
        <w:t xml:space="preserve">: le FNS couvre le</w:t>
      </w:r>
      <w:r>
        <w:t xml:space="preserve"> </w:t>
      </w:r>
      <w:r>
        <w:t xml:space="preserve">salaire du requérant et un budget de projet (CHF 250 000 sur 4 ans ; doctorants et post-doctorants</w:t>
      </w:r>
      <w:r>
        <w:t xml:space="preserve"> </w:t>
      </w:r>
      <w:r>
        <w:t xml:space="preserve">exclus par les règles 2026). Restent à l’Institut : les instruments ouverts validés (étalon</w:t>
      </w:r>
      <w:r>
        <w:t xml:space="preserve"> </w:t>
      </w:r>
      <w:r>
        <w:t xml:space="preserve">d’extraction, benchmark public, bibliothèque évidence-vers-a-priori), le noyau du tableau de</w:t>
      </w:r>
      <w:r>
        <w:t xml:space="preserve"> </w:t>
      </w:r>
      <w:r>
        <w:t xml:space="preserve">bord, et les publications.</w:t>
      </w:r>
    </w:p>
    <w:p>
      <w:pPr>
        <w:pStyle w:val="BodyText"/>
      </w:pPr>
      <w:r>
        <w:rPr>
          <w:bCs/>
          <w:b/>
        </w:rPr>
        <w:t xml:space="preserve">Calendrier.</w:t>
      </w:r>
      <w:r>
        <w:t xml:space="preserve"> </w:t>
      </w:r>
      <w:r>
        <w:t xml:space="preserve">Dépôt : 3 novembre 2026 · Décision : août 2027 · Début : entre septembre 2027</w:t>
      </w:r>
      <w:r>
        <w:t xml:space="preserve"> </w:t>
      </w:r>
      <w:r>
        <w:t xml:space="preserve">et septembre 2028 · Signatures de la confirmation souhaitées d’ici le mardi 14 octobre 2026.</w:t>
      </w:r>
    </w:p>
    <w:bookmarkEnd w:id="24"/>
    <w:sectPr>
      <w:pgSz w:h="16838" w:w="11906"/>
      <w:pgMar w:top="760" w:right="880" w:bottom="760" w:left="88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6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60" w:before="12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  <w:jc w:val="both"/>
    </w:pPr>
  </w:style>
  <w:style w:styleId="Title" w:type="paragraph">
    <w:name w:val="Title"/>
    <w:basedOn w:val="Normal"/>
    <w:next w:val="BodyText"/>
    <w:qFormat/>
    <w:pPr>
      <w:keepNext/>
      <w:keepLines/>
      <w:spacing w:after="60" w:before="12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60" w:before="12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12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6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12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12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12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12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12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12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12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12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12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12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2026-10-08T07:55:54Z</dcterms:created>
  <dcterms:modified xsi:type="dcterms:W3CDTF">2026-10-08T07:55:54Z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