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Every component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whether they systematically shrink dispersion is what H1 tests; if the loss is uncorrectable,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Both arms score</w:t>
      </w:r>
      <w:r>
        <w:t xml:space="preserve"> </w:t>
      </w:r>
      <w:r>
        <w:rPr>
          <w:bCs/>
          <w:b/>
        </w:rPr>
        <w:t xml:space="preserve">the same quantity, built the same way</w:t>
      </w:r>
      <w:r>
        <w:t xml:space="preserve">: daily emergency demand from the</w:t>
      </w:r>
      <w:r>
        <w:t xml:space="preserve"> </w:t>
      </w:r>
      <w:r>
        <w:t xml:space="preserve">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If the month-12 gate activates the registered fallback,</w:t>
      </w:r>
      <w:r>
        <w:t xml:space="preserve"> </w:t>
      </w:r>
      <w:r>
        <w:t xml:space="preserve">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capacity criteria take precedence.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documented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hierarchy activates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situational reports)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 not demand volume.</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their forecast distributions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7426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7426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archetypes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 Geneva anchors it; the archetypes show what transfers.</w:t>
      </w:r>
    </w:p>
    <w:p>
      <w:pPr>
        <w:pStyle w:val="BodyText"/>
      </w:pPr>
      <w:r>
        <w:rPr>
          <w:bCs/>
          <w:b/>
        </w:rPr>
        <w:t xml:space="preserve">Where this points operationally.</w:t>
      </w:r>
      <w:r>
        <w:t xml:space="preserve"> </w:t>
      </w:r>
      <w:r>
        <w:t xml:space="preserve">Each validated archetype leaves a registered, automatically re-validated configuration and, where authorised, a daily observation-mode dashboard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documented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methodological record: the basis for group leadership or a professorship. Ambizione consolidates my research time into one programme.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2026-10-07T15:38:58Z</dcterms:created>
  <dcterms:modified xsi:type="dcterms:W3CDTF">2026-10-07T15:38:58Z</dcterms:modified>
</cp:coreProperties>
</file>

<file path=docProps/custom.xml><?xml version="1.0" encoding="utf-8"?>
<Properties xmlns="http://schemas.openxmlformats.org/officeDocument/2006/custom-properties" xmlns:vt="http://schemas.openxmlformats.org/officeDocument/2006/docPropsVTypes"/>
</file>