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If published evidence improves forecasts, the project shows when and by how much. If it brings nothing or causes harm, the result says where it should not be used. For the demand tests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together in practice.</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 measurement-error model can correct them.</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or tested on forecasts at the start of a crisis.</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review of AI in emergency medical services [7], which I co-authored, uses LiteRev.</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first models from several families, and builds compartmental model parts from published parameter ranges. Evidence updates are reviewed before they are applied. These parts have not yet been validated as one end-to-end forecasting pipeline. In particular, HEADSTART will build and test the historical model-selection step so that it uses only information available at each forecast date.</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 The dataset covers ten years of confirmed cases. Because cases are few, incidence is aggregated to monthly or, where counts allow, weekly series, and the horizon is set at registration.</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cantSplit/>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rPr>
          <w:cantSplit/>
        </w:trP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rPr>
          <w:cantSplit/>
        </w:trP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rPr>
          <w:cantSplit/>
        </w:trP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rPr>
          <w:cantSplit/>
        </w:trP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rPr>
          <w:cantSplit/>
        </w:trP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rPr>
          <w:cantSplit/>
        </w:trP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4086153"/>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4086153"/>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it brings the spread ratio of T1.3 close to one and improves interval coverage at the pre-specified levels on the held-out studies.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 model inputs derived from the published evidence in WP1. How long it lasts is secondary.</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[39, 40]. (3) Legionellosis is the third test, in year four, on the linked case-environment data, and forecasts case incidence rather than demand. No fourth domain is planned. The three crisis types are fixed. Within each, the outcome measure, the population and, for respiratory epidemics, the pathogen are not fixed in this plan. They depend on what the published evidence defines and on the local service data available, for example emergency calls filtered on the recorded symptoms, emergency-department visits, hospital admissions, bed or ICU occupancy, or case counts.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At month 12 a data check confirms that the chosen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The manual benchmark covers the parameters that the main models actually use, not every number reported in each field, and the secondary parameter classes enter only if the main models need them.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main measure for H1 is the median log-ratio of the standard deviations of the automated and manual distributions, by parameter class. A value below zero, which is a ratio below one, means the automated distribution is too narrow. Uncertainty inside studies and differences between studies are tracked separately and together, and repeated for each extraction model version.</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time runs short, the benchmark narrows to the core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 The daily pressure model serves the respiratory and heat tests. Legionellosis uses its own case-incidence forecast at its weekly or monthly resolution.</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It supports the main comparison and carries no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Failing models are set aside. The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Provisionally, respiratory epidemics use CASU-144 calls by symptom first, then HUG emergency-department visits, then admissions or occupancy. Heat events use the same service series restricted to heat-related causes, then a hospital outcome. Legionellosis uses weekly or monthly case counts. The causes and population groups used to filter the target come from the evidence. The other candidates serve as extra inputs for the pressure model. Weather, air quality, wastewater, sentinel consultations and calendar effects are context inputs. The design is single-canton on purpose, and transfer is tested across crisis types.</w:t>
      </w:r>
    </w:p>
    <w:p>
      <w:pPr>
        <w:pStyle w:val="BodyText"/>
      </w:pPr>
      <w:r>
        <w:t xml:space="preserve">Choosing the target. The first registration fixes the candidate outcomes, the criteria for choosing among them (access, completeness, cause coding, reporting delay and revisions, time resolution and usefulness for the services), and the eligibility and fallback rules. At month 12 the criteria are applied to the data actually available, and the highest-ranked series that passes this data check becomes the target, recorded before any forecast performance is examined. Once chosen, the target stays fixed, so that no outcome can be picked afterwards because it gives better results, and both strategies are scored on the same target, period and rules. If no local series passes, the work falls back to open Swiss data (federal respiratory surveillance, national wastewater data, weekly deaths and MeteoSwiss weather), with archived multi-model forecasts as comparators [3, 4], to show that the methods work and to release a public benchmark, and the main claim is narrowed. The HUG COVID-19 hospitalisation data I analysed before [35] may be requested again as an extra check, and used for forecasting only if the re-accessed data form a complete enough time series and the reuse is authorised.</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Co-circulating respiratory viruses count as one episode.</w:t>
      </w:r>
    </w:p>
    <w:p>
      <w:pPr>
        <w:pStyle w:val="BodyText"/>
      </w:pPr>
      <w:r>
        <w:t xml:space="preserve">Second registration. After the month-12 data check and a blinded inventory of the eligible episodes, but before any performance is seen, a second registration fixes the early-episode window N, the main forecast horizon per crisis type and the margin Δ. Horizons follow what the services need, not results.</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the grid of the chosen outcome, daily for the demand tests. Missing values and reporting delays are measured, and recent days that are still incomplete are corrected with nowcasting [43, 44], because reporting tends to slow down under pressure and can look like an early warning. Pharmacy sales and wastewater data come through the cantonal pharmacist as early indicators.</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 model inputs derived from the published evidence in WP1.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is the unit of analysis. The number of eligible episodes is established with the registered eligibility rules before any forecast performance is examined, and it is expected to be small. A paired permutation test and a bootstrap over whole episodes are both registered. Simulations run before the second registration set the type-I error, the power, the smallest number of episodes for a confirmatory claim and the window N, without using any forecast result, and check that the ratio-based skill score stays stable when the reference CRPS differs between episodes.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the right-evidence case is a simulation, registered in advance, in which the evidence given to the model and the process that produces the outcomes agree within a set tolerance. The score compares adaptive weighting with fixed weighting, and positive values mean adaptive is better. Both conditions are judged with uncertainty bounds across the registered simulation runs, not on point estimates alone. Non-inferiority holds only if the lower confidence bound of the score difference stays above minus Δ with right evidence. Superiority holds only if that lower bound is above zero with shifted evidence. The confidence level is fixed in the registered protocol.</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forecasts of weekly or monthly case counts on the linked case-environment data. Its time unit and horizon are registered separately, and it is evaluated on its own, outside the comparison of the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If no local series can be obtained, open Swiss data show that the methods work, but they cannot carry the main claim, which is then narrowed.</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age and sex where the selected data and the group sizes allow. A model that is well calibrated overall but poor for a group that matters does not pass.</w:t>
      </w:r>
    </w:p>
    <w:bookmarkEnd w:id="63"/>
    <w:bookmarkStart w:id="64" w:name="t43-dashboard-and-living-updates-m34m48"/>
    <w:p>
      <w:pPr>
        <w:pStyle w:val="Heading5"/>
      </w:pPr>
      <w:r>
        <w:t xml:space="preserve">T4.3. Dashboard and living updates (M34–M48)</w:t>
      </w:r>
    </w:p>
    <w:p>
      <w:pPr>
        <w:pStyle w:val="FirstParagraph"/>
      </w:pPr>
      <w:r>
        <w:t xml:space="preserve">For the demand tests that pass the forecast and decision checks and that the services authorise, the project runs a daily dashboard in observation mode.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are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library of evidence-derived inputs, the decision-analysis framework and a public forecasting benchmark where open data are used),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373"/>
        <w:gridCol w:w="2869"/>
        <w:gridCol w:w="2869"/>
        <w:gridCol w:w="2435"/>
      </w:tblGrid>
      <w:tr>
        <w:trPr>
          <w:cantSplit/>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rPr>
          <w:cantSplit/>
        </w:trP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rPr>
          <w:cantSplit/>
        </w:trP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rPr>
          <w:cantSplit/>
        </w:trP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rPr>
          <w:cantSplit/>
        </w:trP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rPr>
          <w:cantSplit/>
        </w:trP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rPr>
          <w:cantSplit/>
        </w:trP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rPr>
          <w:cantSplit/>
        </w:trPr>
        <w:tc>
          <w:tcPr/>
          <w:p>
            <w:pPr>
              <w:pStyle w:val="Compact"/>
              <w:jc w:val="left"/>
            </w:pPr>
            <w:r>
              <w:t xml:space="preserve">Legionellosis study (data via the médecin cantonal and SIG)</w:t>
            </w:r>
          </w:p>
        </w:tc>
        <w:tc>
          <w:tcPr/>
          <w:p>
            <w:pPr>
              <w:pStyle w:val="Compact"/>
              <w:jc w:val="left"/>
            </w:pPr>
            <w:r>
              <w:t xml:space="preserve">Prof. Olivia Keiser, study PI</w:t>
            </w:r>
          </w:p>
        </w:tc>
        <w:tc>
          <w:tcPr/>
          <w:p>
            <w:pPr>
              <w:pStyle w:val="Compact"/>
              <w:jc w:val="left"/>
            </w:pPr>
            <w:r>
              <w:t xml:space="preserve">Linked case-environment data, analysis by the applicant</w:t>
            </w:r>
          </w:p>
        </w:tc>
        <w:tc>
          <w:tcPr/>
          <w:p>
            <w:pPr>
              <w:pStyle w:val="Compact"/>
              <w:jc w:val="left"/>
            </w:pPr>
            <w:r>
              <w:t xml:space="preserve">Study approved, BASEC 2026-00324</w:t>
            </w:r>
          </w:p>
        </w:tc>
      </w:tr>
      <w:tr>
        <w:trPr>
          <w:cantSplit/>
        </w:trPr>
        <w:tc>
          <w:tcPr/>
          <w:p>
            <w:pPr>
              <w:pStyle w:val="Compact"/>
              <w:jc w:val="left"/>
            </w:pPr>
            <w:r>
              <w:t xml:space="preserve">HUG COVID-19 hospitalisation data</w:t>
            </w:r>
          </w:p>
        </w:tc>
        <w:tc>
          <w:tcPr/>
          <w:p>
            <w:pPr>
              <w:pStyle w:val="Compact"/>
            </w:pPr>
          </w:p>
        </w:tc>
        <w:tc>
          <w:tcPr/>
          <w:p>
            <w:pPr>
              <w:pStyle w:val="Compact"/>
              <w:jc w:val="left"/>
            </w:pPr>
            <w:r>
              <w:t xml:space="preserve">Extra check, previously analysed [35], if the data form a usable time series</w:t>
            </w:r>
          </w:p>
        </w:tc>
        <w:tc>
          <w:tcPr/>
          <w:p>
            <w:pPr>
              <w:pStyle w:val="Compact"/>
              <w:jc w:val="left"/>
            </w:pPr>
            <w:r>
              <w:t xml:space="preserve">Re-request planned, subject to availability and authorisation</w:t>
            </w:r>
          </w:p>
        </w:tc>
      </w:tr>
      <w:tr>
        <w:trPr>
          <w:cantSplit/>
        </w:trP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rPr>
          <w:cantSplit/>
        </w:trP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rPr>
          <w:cantSplit/>
        </w:trP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cantSplit/>
          <w:tblHeader w:val="true"/>
        </w:trPr>
        <w:tc>
          <w:tcPr/>
          <w:p>
            <w:pPr>
              <w:pStyle w:val="Compact"/>
              <w:jc w:val="left"/>
            </w:pPr>
            <w:r>
              <w:t xml:space="preserve">Item</w:t>
            </w:r>
          </w:p>
        </w:tc>
        <w:tc>
          <w:tcPr/>
          <w:p>
            <w:pPr>
              <w:pStyle w:val="Compact"/>
              <w:jc w:val="left"/>
            </w:pPr>
            <w:r>
              <w:t xml:space="preserve">Rationale</w:t>
            </w:r>
          </w:p>
        </w:tc>
      </w:tr>
      <w:tr>
        <w:trPr>
          <w:cantSplit/>
        </w:trP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rPr>
          <w:cantSplit/>
        </w:trP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rPr>
          <w:cantSplit/>
        </w:trP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rPr>
          <w:cantSplit/>
        </w:trP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and the retrospective decision analysis of WP4 does not depend on live deployment. Open Swiss data are the fallback if no local series can be obtained, so access agreements remain a priority before the award.</w:t>
      </w:r>
    </w:p>
    <w:p>
      <w:pPr>
        <w:pStyle w:val="BodyText"/>
      </w:pPr>
      <w:r>
        <w:drawing>
          <wp:inline>
            <wp:extent cx="6640000" cy="50275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50275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cantSplit/>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rPr>
          <w:cantSplit/>
        </w:trP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rPr>
          <w:cantSplit/>
        </w:trP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rPr>
          <w:cantSplit/>
        </w:trPr>
        <w:tc>
          <w:tcPr/>
          <w:p>
            <w:pPr>
              <w:pStyle w:val="Compact"/>
              <w:jc w:val="left"/>
            </w:pPr>
            <w:r>
              <w:t xml:space="preserve">MS3</w:t>
            </w:r>
          </w:p>
        </w:tc>
        <w:tc>
          <w:tcPr/>
          <w:p>
            <w:pPr>
              <w:pStyle w:val="Compact"/>
              <w:jc w:val="left"/>
            </w:pPr>
            <w:r>
              <w:t xml:space="preserve">12</w:t>
            </w:r>
          </w:p>
        </w:tc>
        <w:tc>
          <w:tcPr/>
          <w:p>
            <w:pPr>
              <w:pStyle w:val="Compact"/>
              <w:jc w:val="left"/>
            </w:pPr>
            <w:r>
              <w:t xml:space="preserve">Data check passed, pressure model works on simulated data, or fallbacks chosen</w:t>
            </w:r>
          </w:p>
        </w:tc>
      </w:tr>
      <w:tr>
        <w:trPr>
          <w:cantSplit/>
        </w:trP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evidence inputs delivered</w:t>
            </w:r>
          </w:p>
        </w:tc>
      </w:tr>
      <w:tr>
        <w:trPr>
          <w:cantSplit/>
        </w:trP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rPr>
          <w:cantSplit/>
        </w:trP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rPr>
          <w:cantSplit/>
        </w:trP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for the validated demand tests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saves modellers and evidence platforms from an assumption that was never tested.</w:t>
      </w:r>
    </w:p>
    <w:p>
      <w:pPr>
        <w:pStyle w:val="BodyText"/>
      </w:pPr>
      <w:r>
        <w:t xml:space="preserve">Results are published in open-access journals, with preprints where appropriate. The extraction benchmark, the library of evidence-derived inputs, the code and, where open data are used, the forecasting benchmark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demand tests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public health, prediction across settings and collaborative software development. I developed the modelling approach and the LiteRev-Evidence prototype, and contributed to mapping variables and data sources within existing collaborations. HEADSTART turns this experience into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cantSplit/>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rPr>
          <w:cantSplit/>
        </w:trP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rPr>
          <w:cantSplit/>
        </w:trP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rPr>
          <w:cantSplit/>
        </w:trP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rPr>
          <w:cantSplit/>
        </w:trP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br w:type="page"/>
      </w: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 doi:10.1097/QAI.0000000000003108</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2020;9:646. doi:10.12688/f1000research.24497.2</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2026-10-15T06:48:23Z</dcterms:created>
  <dcterms:modified xsi:type="dcterms:W3CDTF">2026-10-15T06:48:23Z</dcterms:modified>
</cp:coreProperties>
</file>

<file path=docProps/custom.xml><?xml version="1.0" encoding="utf-8"?>
<Properties xmlns="http://schemas.openxmlformats.org/officeDocument/2006/custom-properties" xmlns:vt="http://schemas.openxmlformats.org/officeDocument/2006/docPropsVTypes"/>
</file>