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when local outcome data are still too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is another source of quantitative information. It is rarely tested as formal prior information, because of the lack of reliable extraction and the difficulty of transporting it to the new setting.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First, I measure how faithfully automated extraction reproduces the literature and carry its errors into every number the models use. Second, I let the evidence say what should be forecast. Depending on the crisis, the quantity to predict may be a count, whether a threshold is crossed, or a set of levels of pressure on the care system. A continuous quantity is turned into levels whose number and thresholds start from what the literature reports before they are fixed for the tests. The models also read the short local history for an early-warning signal, the slowing down that often precedes a tipping point. Third, I replay past crises day by day, using only what was known at each moment, to measure whether the evidence improves early forecasts and when it misleads. Fourth, I ask whether any gain is large enough to change what emergency services decide. The decisive test is a contest between two arms, one using the evidence and one using local data only. In both, an automated engine checks and scores a library of candidate models and picks the best under rules fixed in advance.</w:t>
      </w:r>
    </w:p>
    <w:p>
      <w:pPr>
        <w:pStyle w:val="BodyText"/>
      </w:pPr>
      <w:r>
        <w:t xml:space="preserve">The tests take place in Geneva, on three crises the canton actually faces, chosen because what drives them differs. Respiratory epidemics spread from person to person and are the best documented in the literature, so they carry the main test. Heatwaves are driven by exposure, not transmission, and come second, only if the first test is passed, to show whether the approach transfers to a crisis of a different nature. Legionellosis outbreaks arise from the built environment and produce few cases, the hardest ground for borrowed evidence. They come last, as a year-4 extension on a linked dataset I already lead. Before any of this, the whole machinery is validated on open Swiss data and released as a public benchmark. Both results are useful. If the evidence helps, the project shows when and by how much. If it does not, or if its harm cannot be caught early enough, the project sets a limit that modellers and evidence platforms currently assume away. Where the models pass and the services authorise it, the system runs by month 48 as a</w:t>
      </w:r>
      <w:r>
        <w:t xml:space="preserve"> </w:t>
      </w:r>
      <w:r>
        <w:rPr>
          <w:bCs/>
          <w:b/>
        </w:rPr>
        <w:t xml:space="preserve">daily dashboard</w:t>
      </w:r>
      <w:r>
        <w:t xml:space="preserve"> </w:t>
      </w:r>
      <w:r>
        <w:t xml:space="preserve">with Geneva's emergency services, observing and never steering care, its forecasts scored as the outcomes arrive. It is the seed of a living surveillance platform.</w:t>
      </w:r>
    </w:p>
    <w:p>
      <w:pPr>
        <w:pStyle w:val="BodyText"/>
      </w:pPr>
      <w:r>
        <w:t xml:space="preserve">I come to this question from an unusual place. For fifteen years I modelled rare events and sudden regime changes in quantitative finance, where a model that is confident and wrong in a crisis is the most expensive kind. I then completed a doctorate in biomedical sciences at Geneva, built LiteRev and LiteRev-Evidence, and now work daily with the canton's emergency and surveillance data through the Franco-Swiss GESICA programme. The question arose from that work. Ambizione gives me the independence to answer it as my own programme.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43445948763c0459dd15c2d92000ee48deb1003"/>
    <w:p>
      <w:pPr>
        <w:pStyle w:val="Heading3"/>
      </w:pPr>
      <w:r>
        <w:t xml:space="preserve">2.1.1 Forecasting health-system crises works in steady state and fails at onset</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decisive limitation of these methods is their</w:t>
      </w:r>
      <w:r>
        <w:t xml:space="preserve"> </w:t>
      </w:r>
      <w:r>
        <w:rPr>
          <w:bCs/>
          <w:b/>
        </w:rPr>
        <w:t xml:space="preserve">dependence on history</w:t>
      </w:r>
      <w:r>
        <w:t xml:space="preserve">. Models that learn from data need enough local observations to capture seasonality, the response to weather and the dynamics of a crisis. Reviews of emergency-demand forecasting list which model families perform for which outcome and horizon [Wargon 2009], and every recommended model is trained on years of local history.</w:t>
      </w:r>
    </w:p>
    <w:p>
      <w:pPr>
        <w:pStyle w:val="BodyText"/>
      </w:pPr>
      <w:r>
        <w:rPr>
          <w:bCs/>
          <w:b/>
        </w:rPr>
        <w:t xml:space="preserve">The cold-start problem is a problem of missing outcomes.</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observations from the same period. The common difficulty is</w:t>
      </w:r>
      <w:r>
        <w:t xml:space="preserve"> </w:t>
      </w:r>
      <w:r>
        <w:rPr>
          <w:bCs/>
          <w:b/>
        </w:rPr>
        <w:t xml:space="preserve">using external quantitative information without pretending it transfers perfectly</w:t>
      </w:r>
      <w:r>
        <w:t xml:space="preserve">.</w:t>
      </w:r>
    </w:p>
    <w:bookmarkEnd w:id="21"/>
    <w:bookmarkStart w:id="22" w:name="Xe3b566f1a22695a2f05ca180201ffea70994003"/>
    <w:p>
      <w:pPr>
        <w:pStyle w:val="Heading3"/>
      </w:pPr>
      <w:r>
        <w:t xml:space="preserve">2.1.2 Published evidence is an unused source of quantitative prior information</w:t>
      </w:r>
    </w:p>
    <w:p>
      <w:pPr>
        <w:pStyle w:val="FirstParagraph"/>
      </w:pPr>
      <w:r>
        <w:t xml:space="preserve">Methods for borrowing information from other sources are well developed. Power priors [Ibrahim 2000], commensurate priors [Hobbs 2011] and meta-analytic-predictive priors with robust protection against conflict [Schmidli 2014] all exist, and informative priors have been used to forecast disease when local data are sparse [Cook 2023]. What has not been established is narrower and harder, namely whether a prior</w:t>
      </w:r>
      <w:r>
        <w:t xml:space="preserve"> </w:t>
      </w:r>
      <w:r>
        <w:rPr>
          <w:bCs/>
          <w:b/>
        </w:rPr>
        <w:t xml:space="preserve">built automatically</w:t>
      </w:r>
      <w:r>
        <w:t xml:space="preserve"> </w:t>
      </w:r>
      <w:r>
        <w:t xml:space="preserve">from the literature, carrying its extraction error and its uncertainty about transfer, improves</w:t>
      </w:r>
      <w:r>
        <w:t xml:space="preserve"> </w:t>
      </w:r>
      <w:r>
        <w:rPr>
          <w:bCs/>
          <w:b/>
        </w:rPr>
        <w:t xml:space="preserve">operational forecasts at cold start under strict historical information constraints</w:t>
      </w:r>
      <w:r>
        <w:t xml:space="preserve">, and whether harmful borrowing is detected in time to act.</w:t>
      </w:r>
    </w:p>
    <w:p>
      <w:pPr>
        <w:pStyle w:val="BodyText"/>
      </w:pPr>
      <w:r>
        <w:rPr>
          <w:bCs/>
          <w:b/>
        </w:rPr>
        <w:t xml:space="preserve">Parameter values are not the only thing the literature transfers.</w:t>
      </w:r>
      <w:r>
        <w:t xml:space="preserve"> </w:t>
      </w:r>
      <w:r>
        <w:t xml:space="preserve">It also carries</w:t>
      </w:r>
      <w:r>
        <w:t xml:space="preserve"> </w:t>
      </w:r>
      <w:r>
        <w:rPr>
          <w:bCs/>
          <w:b/>
        </w:rPr>
        <w:t xml:space="preserve">explanatory variables and their lag structures</w:t>
      </w:r>
      <w:r>
        <w:t xml:space="preserve">,</w:t>
      </w:r>
      <w:r>
        <w:t xml:space="preserve"> </w:t>
      </w:r>
      <w:r>
        <w:rPr>
          <w:bCs/>
          <w:b/>
        </w:rPr>
        <w:t xml:space="preserve">evidence on model forms</w:t>
      </w:r>
      <w:r>
        <w:t xml:space="preserve"> </w:t>
      </w:r>
      <w:r>
        <w:t xml:space="preserve">(which algorithm families work for which crisis type and horizon) and</w:t>
      </w:r>
      <w:r>
        <w:t xml:space="preserve"> </w:t>
      </w:r>
      <w:r>
        <w:rPr>
          <w:bCs/>
          <w:b/>
        </w:rPr>
        <w:t xml:space="preserve">definitions of outcomes and thresholds</w:t>
      </w:r>
      <w:r>
        <w:t xml:space="preserve">. Living systematic reviews keep such syntheses current [Elliott 2014], yet to my knowledge no operational forecasting framework draws on these objects systematically.</w:t>
      </w:r>
    </w:p>
    <w:p>
      <w:pPr>
        <w:pStyle w:val="BodyText"/>
      </w:pPr>
      <w:r>
        <w:rPr>
          <w:bCs/>
          <w:b/>
        </w:rPr>
        <w:t xml:space="preserve">Extraction.</w:t>
      </w:r>
      <w:r>
        <w:t xml:space="preserve"> </w:t>
      </w:r>
      <w:r>
        <w:t xml:space="preserve">Automated extraction makes synthesis at scale feasible, but extracting numbers remains less reliable than extracting categories (reported accuracy roughly 47–88% versus 74–96%), and omissions dominate the errors [Shankar 2026]. The open question is whether extraction and pooling preserve the spread of values that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policies. Formal transportability tools exist [Bareinboim 2016; Dahabreh 2020; Degtiar 2023], but none is integrated into an operational cold-start framework.</w:t>
      </w:r>
    </w:p>
    <w:bookmarkEnd w:id="22"/>
    <w:bookmarkStart w:id="23" w:name="Xb2abd553abd1fef18618859337bc64f468c8dc0"/>
    <w:p>
      <w:pPr>
        <w:pStyle w:val="Heading3"/>
      </w:pPr>
      <w:r>
        <w:t xml:space="preserve">2.1.3 Escalation can be represented as a state, not only as a point forecast</w:t>
      </w:r>
    </w:p>
    <w:p>
      <w:pPr>
        <w:pStyle w:val="FirstParagraph"/>
      </w:pPr>
      <w:r>
        <w:t xml:space="preserve">Emergency operations often need an interpretable state of escalation (for instance routine, elevated, strained, critical) more than tomorrow's count. Latent-state representations are established in surveillance. Poisson hidden Markov models distinguish epidemic from non-epidemic periods [Le Strat 1999; Watkins 2009], and extreme-value methods describe rare critical exceedances [Coles 2001], including congestion in Swiss hospitals [Ranjbar 2022]. In this project they serve one purpose, a latent ordered state as the</w:t>
      </w:r>
      <w:r>
        <w:t xml:space="preserve"> </w:t>
      </w:r>
      <w:r>
        <w:rPr>
          <w:bCs/>
          <w:b/>
        </w:rPr>
        <w:t xml:space="preserve">common representation in which evidence borrowing is tested at crisis onset</w:t>
      </w:r>
      <w:r>
        <w:t xml:space="preserve">. Mechanistic transmission models [Keeling 2008] enter as components only where the crisis is epidemiological, because environmental crises such as heat are driven by exposure and response, not by transmission. Critical-slowing-down theory (rising variance and lag-1 autocorrelation before some transitions [Scheffer 2009], applied to epidemics [O'Regan 2013; Brett 2018; Southall 2021]) reads the shape of a short recent series and is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A forecast is useful only when its probabilistic gain changes a defensible decision. Proper scoring rules reward calibration [Gneiting 2007], but decision-analytic methods evaluate predictions under explicit consequences [Vickers 2006]. Heat thresholds calibrated on mortality need not match thresholds for demand [Lung 2021], and pollution–asthma emergency associations vary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infrastructure for epidemic intelligence (including GeoAI4EI, in which I take part), and the Franco-Swiss GESICA programme builds cross-border crisis intelligence. None of their stated objectives asks whether automatically synthesised external evidence should enter a forecast as formal prior information at local cold start. Nobody has established whether these pieces connect around the</w:t>
      </w:r>
      <w:r>
        <w:t xml:space="preserve"> </w:t>
      </w:r>
      <w:r>
        <w:rPr>
          <w:bCs/>
          <w:b/>
        </w:rPr>
        <w:t xml:space="preserve">cold-start question</w:t>
      </w:r>
      <w:r>
        <w:t xml:space="preserve">, under pre-registered rules, from living evidence synthesis to forecasts that re-validate themselves automatically.</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what makes this project tractable. I spent fifteen years in quantitative finance, working on risk, extreme values, regime models and stress testing, and then completed a doctorate in biomedical sciences at Geneva (defended 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established where models transported between countries. [Merzouki 2021] and [Esra 2023] developed the theme. I now</w:t>
      </w:r>
      <w:r>
        <w:t xml:space="preserve"> </w:t>
      </w:r>
      <w:r>
        <w:rPr>
          <w:bCs/>
          <w:b/>
        </w:rPr>
        <w:t xml:space="preserve">senior-author</w:t>
      </w:r>
      <w:r>
        <w:t xml:space="preserve"> </w:t>
      </w:r>
      <w:r>
        <w:t xml:space="preserve">that line, as last author of [Ng'ambi 2026] (accepted) on cardiovascular-disease classification across harmonised WHO STEPS surveys, and my role has moved from conducting to directing. I met this proposal's transportability problem first there.</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that runs a natural-language or Boolean query across open databases, removes duplicates, maps the corpus and suggests relevant papers iteratively. I led its development with</w:t>
      </w:r>
      <w:r>
        <w:t xml:space="preserve"> </w:t>
      </w:r>
      <w:r>
        <w:rPr>
          <w:bCs/>
          <w:b/>
        </w:rPr>
        <w:t xml:space="preserve">Aziza Merzouki</w:t>
      </w:r>
      <w:r>
        <w:t xml:space="preserve"> </w:t>
      </w:r>
      <w:r>
        <w:t xml:space="preserve">(PhD, computer science) and raised its funding on my own initiative, with</w:t>
      </w:r>
      <w:r>
        <w:t xml:space="preserve"> </w:t>
      </w:r>
      <w:r>
        <w:rPr>
          <w:bCs/>
          <w:b/>
        </w:rPr>
        <w:t xml:space="preserve">CHF 30,000</w:t>
      </w:r>
      <w:r>
        <w:t xml:space="preserve"> </w:t>
      </w:r>
      <w:r>
        <w:t xml:space="preserve">from UNIGE,</w:t>
      </w:r>
      <w:r>
        <w:t xml:space="preserve"> </w:t>
      </w:r>
      <w:r>
        <w:rPr>
          <w:bCs/>
          <w:b/>
        </w:rPr>
        <w:t xml:space="preserve">CHF 10,000</w:t>
      </w:r>
      <w:r>
        <w:t xml:space="preserve"> </w:t>
      </w:r>
      <w:r>
        <w:t xml:space="preserve">from Venture Kick and</w:t>
      </w:r>
      <w:r>
        <w:t xml:space="preserve"> </w:t>
      </w:r>
      <w:r>
        <w:rPr>
          <w:bCs/>
          <w:b/>
        </w:rPr>
        <w:t xml:space="preserve">CHF 20,000</w:t>
      </w:r>
      <w:r>
        <w:t xml:space="preserve"> </w:t>
      </w:r>
      <w:r>
        <w:t xml:space="preserve">from Mimosa, outside any group grant. The systematic review of AI in emergency medical services [Edjinedja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built age-structured scenario models for the Swiss SARS-CoV-2 epidemic under the time pressure of planning, and this proposal's question comes from that experience.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which extends LiteRev into structured quantitative extraction and modelling. The full review pipeline runs in working form. A query is searched live across the open literature, the results are deduplicated, screened with PRISMA accounting and extracted for PICO elements, and the numbers are then</w:t>
      </w:r>
      <w:r>
        <w:t xml:space="preserve"> </w:t>
      </w:r>
      <w:r>
        <w:rPr>
          <w:bCs/>
          <w:b/>
        </w:rPr>
        <w:t xml:space="preserve">extracted with their provenance, graded for the certainty of the study design and pooled into parameter distributions</w:t>
      </w:r>
      <w:r>
        <w:t xml:space="preserve">. At the model step the tool proposes candidate explanatory variables with their supporting articles and typed outcome definitions with ready-made emergency-demand targets (ED overload, bed occupancy, call surge). It</w:t>
      </w:r>
      <w:r>
        <w:t xml:space="preserve"> </w:t>
      </w:r>
      <w:r>
        <w:rPr>
          <w:bCs/>
          <w:b/>
        </w:rPr>
        <w:t xml:space="preserve">fits models across algorithm families with automated hyperparameter search, validates them on time series without leakage and ranks them on a stated metric</w:t>
      </w:r>
      <w:r>
        <w:t xml:space="preserve">, and it builds compartmental components, parameterised from extracted ranges, that can re-enter the statistical model as predictors.</w:t>
      </w:r>
      <w:r>
        <w:t xml:space="preserve"> </w:t>
      </w:r>
      <w:r>
        <w:rPr>
          <w:bCs/>
          <w:b/>
        </w:rPr>
        <w:t xml:space="preserve">Living reviews re-run on schedule</w:t>
      </w:r>
      <w:r>
        <w:t xml:space="preserve"> </w:t>
      </w:r>
      <w:r>
        <w:t xml:space="preserve">for each scenario, and every update is previewed before it is applied. This is the evidence-to-model loop the proposal interrogates, in prototype form.</w:t>
      </w:r>
    </w:p>
    <w:p>
      <w:pPr>
        <w:pStyle w:val="BodyText"/>
      </w:pPr>
      <w:r>
        <w:t xml:space="preserve">For GESICA I built the data foundation of the Geneva–Vaud–Neuchâtel network, whose Geneva core COLDSTART uses. It covers</w:t>
      </w:r>
      <w:r>
        <w:t xml:space="preserve"> </w:t>
      </w:r>
      <w:r>
        <w:rPr>
          <w:bCs/>
          <w:b/>
        </w:rPr>
        <w:t xml:space="preserve">77 notifiable diseases in eight model classes</w:t>
      </w:r>
      <w:r>
        <w:t xml:space="preserve"> </w:t>
      </w:r>
      <w:r>
        <w:t xml:space="preserve">and a referenced inventory of</w:t>
      </w:r>
      <w:r>
        <w:t xml:space="preserve"> </w:t>
      </w:r>
      <w:r>
        <w:rPr>
          <w:bCs/>
          <w:b/>
        </w:rPr>
        <w:t xml:space="preserve">28 surveillance sources</w:t>
      </w:r>
      <w:r>
        <w:t xml:space="preserve"> </w:t>
      </w:r>
      <w:r>
        <w:t xml:space="preserve">(23 infectious, 5 environmental), each documented for coverage, resolution, latency, access and quality. The data landscape is mapped, not assumed.</w:t>
      </w:r>
    </w:p>
    <w:p>
      <w:pPr>
        <w:pStyle w:val="BodyText"/>
      </w:pPr>
      <w:r>
        <w:rPr>
          <w:bCs/>
          <w:b/>
        </w:rPr>
        <w:t xml:space="preserve">The prototype makes the research feasible rather than aspirational.</w:t>
      </w:r>
      <w:r>
        <w:t xml:space="preserve"> </w:t>
      </w:r>
      <w:r>
        <w:t xml:space="preserve">The fit, tune and rank mechanics that T3.3's selection engine registers already run in embryonic form. The grant adds the science (two arms, registered rules, episode-level inference), not the plumbing.</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 granted) that links confirmed legionellosis cases in Geneva to individual domestic hot-water installations. This distinctive linkage supplies a contrasting waterborne archetype.</w:t>
      </w:r>
    </w:p>
    <w:p>
      <w:pPr>
        <w:pStyle w:val="BodyText"/>
      </w:pPr>
      <w:r>
        <w:rPr>
          <w:bCs/>
          <w:b/>
        </w:rPr>
        <w:t xml:space="preserve">Competences.</w:t>
      </w:r>
      <w:r>
        <w:t xml:space="preserve"> </w:t>
      </w:r>
      <w:r>
        <w:t xml:space="preserve">Bayesian hierarchical and regime-switching estimation, extreme-value modelling, stress testing under misspecification, forecast evaluation and decision analysis come from the risk work and form the core of WP2 and WP3. Extraction and pooling come from LiteRev-Evidence. Domain knowledge comes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objective is to determine</w:t>
      </w:r>
      <w:r>
        <w:t xml:space="preserve"> </w:t>
      </w:r>
      <w:r>
        <w:rPr>
          <w:bCs/>
          <w:b/>
        </w:rPr>
        <w:t xml:space="preserve">whether, and under what conditions, published quantitative evidence improves forecasts at the onset of a health-system crisis.</w:t>
      </w:r>
      <w:r>
        <w:t xml:space="preserve"> </w:t>
      </w:r>
      <w:r>
        <w:t xml:space="preserve">The summary's question is</w:t>
      </w:r>
      <w:r>
        <w:t xml:space="preserve"> </w:t>
      </w:r>
      <w:r>
        <w:rPr>
          <w:bCs/>
          <w:b/>
        </w:rPr>
        <w:t xml:space="preserve">H3a, the central hypothesis</w:t>
      </w:r>
      <w:r>
        <w:t xml:space="preserve">. Each other row validates one link of the chain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The cold-start problem, the evidence pipeline, the model library with automated selection, and the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is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that is a boundary condition. The evidence target spans four object classes (T1.1). H1 is tested on the quantitative core, and classes 2 to 4 are validated externally against published syntheses (T1.2).</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to be the common state representation in which borrowing strategies are compared. It is not a claim that regime switching generally beats thresholding a point forecast.</w:t>
      </w:r>
    </w:p>
    <w:p>
      <w:pPr>
        <w:pStyle w:val="FirstParagraph"/>
      </w:pPr>
      <w:r>
        <w:t xml:space="preserve">T2.1's identifiability study and T3.3's calibration checks either establish adequacy or trigger the ordinal fallback, and either outcome leaves H3a intact. Extreme-value modelling covers the critical tail, and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How long the advantage persists, and how it decays as local observations accumulate, is assessed secondarily.</w:t>
      </w:r>
    </w:p>
    <w:p>
      <w:pPr>
        <w:pStyle w:val="BlockText"/>
      </w:pPr>
      <w:r>
        <w:rPr>
          <w:bCs/>
          <w:b/>
        </w:rPr>
        <w:t xml:space="preserve">H3b.</w:t>
      </w:r>
      <w:r>
        <w:t xml:space="preserve"> </w:t>
      </w:r>
      <w:r>
        <w:t xml:space="preserve">Adaptive borrowing, which discounts the evidence when conflict between prior and data emerges, is</w:t>
      </w:r>
      <w:r>
        <w:t xml:space="preserve"> </w:t>
      </w:r>
      <w:r>
        <w:rPr>
          <w:bCs/>
          <w:b/>
        </w:rPr>
        <w:t xml:space="preserve">non-inferior</w:t>
      </w:r>
      <w:r>
        <w:t xml:space="preserve"> </w:t>
      </w:r>
      <w:r>
        <w:t xml:space="preserve">to fixed borrowing under well-specified priors, within a pre-specified margin Δ on the CRPS skill score (the CRPS is a standard score for probabilistic forecasts), and is</w:t>
      </w:r>
      <w:r>
        <w:t xml:space="preserve"> </w:t>
      </w:r>
      <w:r>
        <w:rPr>
          <w:bCs/>
          <w:b/>
        </w:rPr>
        <w:t xml:space="preserve">superior</w:t>
      </w:r>
      <w:r>
        <w:t xml:space="preserve"> </w:t>
      </w:r>
      <w:r>
        <w:t xml:space="preserve">to fixed borrowing under deliberately 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so Δ is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 and trend when the outcome history is short.</w:t>
      </w:r>
    </w:p>
    <w:p>
      <w:pPr>
        <w:pStyle w:val="FirstParagraph"/>
      </w:pPr>
      <w:r>
        <w:rPr>
          <w:bCs/>
          <w:b/>
        </w:rPr>
        <w:t xml:space="preserve">Primary confirmatory comparison, stated once.</w:t>
      </w:r>
      <w:r>
        <w:t xml:space="preserve"> </w:t>
      </w:r>
      <w:r>
        <w:t xml:space="preserve">The</w:t>
      </w:r>
      <w:r>
        <w:t xml:space="preserve"> </w:t>
      </w:r>
      <w:r>
        <w:rPr>
          <w:bCs/>
          <w:b/>
        </w:rPr>
        <w:t xml:space="preserve">evidence-informed champion</w:t>
      </w:r>
      <w:r>
        <w:t xml:space="preserve"> </w:t>
      </w:r>
      <w:r>
        <w:t xml:space="preserve">is compared with the</w:t>
      </w:r>
      <w:r>
        <w:t xml:space="preserve"> </w:t>
      </w:r>
      <w:r>
        <w:rPr>
          <w:bCs/>
          <w:b/>
        </w:rPr>
        <w:t xml:space="preserve">local-only champion</w:t>
      </w:r>
      <w:r>
        <w:t xml:space="preserve">, both produced by the identical pre-registered automated procedure (T3.3), on the</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and this fixed order controls the family-wise error rate. The</w:t>
      </w:r>
      <w:r>
        <w:t xml:space="preserve"> </w:t>
      </w:r>
      <w:r>
        <w:rPr>
          <w:bCs/>
          <w:b/>
        </w:rPr>
        <w:t xml:space="preserve">shape of the advantage as local data accumulate</w:t>
      </w:r>
      <w:r>
        <w:t xml:space="preserve"> </w:t>
      </w:r>
      <w:r>
        <w:t xml:space="preserve">is reported, and it should decay to nothing.</w:t>
      </w:r>
    </w:p>
    <w:bookmarkEnd w:id="39"/>
    <w:bookmarkStart w:id="40" w:name="Xbbd82cf2a88d039e0723082c8af86f135f38055"/>
    <w:p>
      <w:pPr>
        <w:pStyle w:val="Heading4"/>
      </w:pPr>
      <w:r>
        <w:t xml:space="preserve">O4. Establish whether predictive improvement matters for decisions</w:t>
      </w:r>
    </w:p>
    <w:p>
      <w:pPr>
        <w:pStyle w:val="BlockText"/>
      </w:pPr>
      <w:r>
        <w:rPr>
          <w:bCs/>
          <w:b/>
        </w:rPr>
        <w:t xml:space="preserve">H4.</w:t>
      </w:r>
      <w:r>
        <w:t xml:space="preserve"> </w:t>
      </w:r>
      <w:r>
        <w:t xml:space="preserve">For the demand-based archetypes, decision-analytic evaluation under responders' losses and escalation thresholds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w:t>
      </w:r>
      <w:r>
        <w:t xml:space="preserve">carry the primary confirmatory test. SARS-CoV-2, influenza and RSV overlap syndromically and are surveilled together in Switzerland. (2)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 pollution (ozone, PM10) as co-exposure and effect modifier</w:t>
      </w:r>
      <w:r>
        <w:t xml:space="preserve">, not as a separate domain. (3)</w:t>
      </w:r>
      <w:r>
        <w:t xml:space="preserve"> </w:t>
      </w:r>
      <w:r>
        <w:rPr>
          <w:bCs/>
          <w:b/>
        </w:rPr>
        <w:t xml:space="preserve">Waterborne outbreaks</w:t>
      </w:r>
      <w:r>
        <w:t xml:space="preserve">, through Geneva legionellosis, form the contrasting extension in year 4 (T3.5). Further data serve benchmarking and sensitivity analyses only. For respiratory and heat, both arms score</w:t>
      </w:r>
      <w:r>
        <w:t xml:space="preserve"> </w:t>
      </w:r>
      <w:r>
        <w:rPr>
          <w:bCs/>
          <w:b/>
        </w:rPr>
        <w:t xml:space="preserve">the same quantity, built the same way</w:t>
      </w:r>
      <w:r>
        <w:t xml:space="preserve">, namely daily emergency demand from the CASU-144 series restricted to the archetype's cause classes (T3.0). For epidemics this is respiratory-related demand. For heat it is</w:t>
      </w:r>
      <w:r>
        <w:t xml:space="preserve"> </w:t>
      </w:r>
      <w:r>
        <w:rPr>
          <w:bCs/>
          <w:b/>
        </w:rPr>
        <w:t xml:space="preserve">heat-sensitive demand</w:t>
      </w:r>
      <w:r>
        <w:t xml:space="preserve">, because Swiss evidence places heat effects in dehydration, renal and psychiatric admissions, with a weak respiratory effect at older ages [Schulte 2024; Ragettli 2019]. Legionellosis instead forecasts case incidence (T3.5), outside this demand comparison. If the month-12 gate activates the registered 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and it does not assume that literature-derived priors are beneficial. Its contribution is to establish</w:t>
      </w:r>
      <w:r>
        <w:t xml:space="preserve"> </w:t>
      </w:r>
      <w:r>
        <w:rPr>
          <w:bCs/>
          <w:b/>
        </w:rPr>
        <w:t xml:space="preserve">whether accumulated quantitative evidence can earn a formal role in forecasting before local outcome data become informative, together with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classes of objects</w:t>
      </w:r>
      <w:r>
        <w:t xml:space="preserve">, and the inclusion criteria, effect measures, representation of uncertainty and transportability variables are fixed before extraction begins.</w:t>
      </w:r>
      <w:r>
        <w:t xml:space="preserve"> </w:t>
      </w:r>
      <w:r>
        <w:rPr>
          <w:bCs/>
          <w:b/>
        </w:rPr>
        <w:t xml:space="preserve">(1) Parameter values, the quantitative core, benchmarked in full.</w:t>
      </w:r>
      <w:r>
        <w:t xml:space="preserve"> </w:t>
      </w:r>
      <w:r>
        <w:t xml:space="preserve">They comprise 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 and</w:t>
      </w:r>
      <w:r>
        <w:t xml:space="preserve"> </w:t>
      </w:r>
      <w:r>
        <w:rPr>
          <w:bCs/>
          <w:b/>
        </w:rPr>
        <w:t xml:space="preserve">admission fractions</w:t>
      </w:r>
      <w:r>
        <w:t xml:space="preserve">. Transmission parameters (R0/Rt, serial interval) and shedding-to-incidence conversions are secondary.</w:t>
      </w:r>
      <w:r>
        <w:t xml:space="preserve"> </w:t>
      </w:r>
      <w:r>
        <w:rPr>
          <w:bCs/>
          <w:b/>
        </w:rPr>
        <w:t xml:space="preserve">(2) Explanatory variables and lag structures</w:t>
      </w:r>
      <w:r>
        <w:t xml:space="preserve"> </w:t>
      </w:r>
      <w:r>
        <w:t xml:space="preserve">reported as informative for each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and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An independent, separately contracted extractor (§2.4) and I each extract the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Automated extraction is compared with the benchmark on point estimates, uncertainty, omissions and between-study dispersion. H1's primary metric is the median log-ratio of the automated to the adjudicated</w:t>
      </w:r>
      <w:r>
        <w:t xml:space="preserve"> </w:t>
      </w:r>
      <w:r>
        <w:rPr>
          <w:bCs/>
          <w:b/>
        </w:rPr>
        <w:t xml:space="preserve">standard deviation of the evidence-derived distribution</w:t>
      </w:r>
      <w:r>
        <w:t xml:space="preserve">, per parameter class on a common scale under the registered pooling model, with a pre-specified interval (a ratio below one means under-dispersion). Within-study uncertainty and between-study heterogeneity are propagated separately and jointly, with sensitivity to the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Extraction error is represented explicitly as measurement error. The task compares inverse-variance and quality-weighted pooling, meta-analytic-predictive priors and power-prior discounting. The output is a prior with its provenance, its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The task characterises effect modifiers and study-setting differences relevant to Geneva. The transportability criteria, and the mapping from a transportability score to a wider or discounted prior, are fixed before the confirmatory evaluation and produce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The state model is a Bayesian hierarchical Markov regime-switching model [Hamilton 1989] with an ordinal latent state (by default routine, elevated, strained, critical), observed through emergency calls (the primary channel) with ED presentations and ICU occupancy added where available, with pre-specified weather, calendar and epidemic covariates and series-specific observation models sharing the state. Before any real data are fitted, simulation establishes identifiability and recovery, including the case with fewer channels, and ordering constraints resolve label switching. If separation is insufficient, the fallback is an ordinal state-space formulation. The criterion is the recovery of states and transitions, not visual fit.</w:t>
      </w:r>
      <w:r>
        <w:t xml:space="preserve"> </w:t>
      </w:r>
      <w:r>
        <w:rPr>
          <w:bCs/>
          <w:b/>
        </w:rPr>
        <w:t xml:space="preserve">State anchors.</w:t>
      </w:r>
      <w:r>
        <w:t xml:space="preserve"> </w:t>
      </w:r>
      <w:r>
        <w:t xml:space="preserve">The number of levels and their thresholds start from the outcome and threshold definitions the literature reports (T1.1, class 4) and are fixed at registration for WP2–WP3 (T4.1's later elicitation refines their decision interpretation, never the confirmatory state definition). Where the literature is silent, the default is four levels on the seasonal baseline.</w:t>
      </w:r>
      <w:r>
        <w:t xml:space="preserve"> </w:t>
      </w:r>
      <w:r>
        <w:rPr>
          <w:bCs/>
          <w:b/>
        </w:rPr>
        <w:t xml:space="preserve">Routine</w:t>
      </w:r>
      <w:r>
        <w:t xml:space="preserve"> </w:t>
      </w:r>
      <w:r>
        <w:t xml:space="preserve">lies below the 75th percentile,</w:t>
      </w:r>
      <w:r>
        <w:t xml:space="preserve"> </w:t>
      </w:r>
      <w:r>
        <w:rPr>
          <w:bCs/>
          <w:b/>
        </w:rPr>
        <w:t xml:space="preserve">elevated</w:t>
      </w:r>
      <w:r>
        <w:t xml:space="preserve"> </w:t>
      </w:r>
      <w:r>
        <w:t xml:space="preserve">between the 75th and the 90th,</w:t>
      </w:r>
      <w:r>
        <w:t xml:space="preserve"> </w:t>
      </w:r>
      <w:r>
        <w:rPr>
          <w:bCs/>
          <w:b/>
        </w:rPr>
        <w:t xml:space="preserve">strained</w:t>
      </w:r>
      <w:r>
        <w:t xml:space="preserve"> </w:t>
      </w:r>
      <w:r>
        <w:t xml:space="preserve">between the 90th and the 97.5th or under sustained capacity pressure (ICU occupancy above 85%, ED boarding above its seasonal 90th percentile), and</w:t>
      </w:r>
      <w:r>
        <w:t xml:space="preserve"> </w:t>
      </w:r>
      <w:r>
        <w:rPr>
          <w:bCs/>
          <w:b/>
        </w:rPr>
        <w:t xml:space="preserve">critical</w:t>
      </w:r>
      <w:r>
        <w:t xml:space="preserve"> </w:t>
      </w:r>
      <w:r>
        <w:t xml:space="preserve">above the 97.5th or at capacity saturation. The highest applicable state prevails, and capacity saturation alone defines critical. Anchors are percentile-based per event type and enter estimation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Rare exceedances are modelled with peaks over threshold and the generalised Pareto distribution, coupled to the critical-state probability, with threshold sensitivity reported, as supporting work rather than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WP1's distributions are mapped to the parameters where published evidence is relevant (weather effects, surge magnitudes, transition characteristics), and weakly informative, fixed evidence-derived and adaptive robust borrowing are compared. The adaptive specification is a robust mixture of an evidence-derived and a weakly informative component. The conflict statistic and the discount function are fixed before the confirmatory evaluation and are not tuned during it. Power-prior and commensurate-prior approaches serve as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 as optional covariates on the transition dynamics. Do they add information beyond level, 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uses methods suited to temporal dependence, with a conformal component [Angelopoulos 2023; Barber 2023] as a robustness layer if simulation confirms its assumptions. The task also builds the</w:t>
      </w:r>
      <w:r>
        <w:t xml:space="preserve"> </w:t>
      </w:r>
      <w:r>
        <w:rPr>
          <w:bCs/>
          <w:b/>
        </w:rPr>
        <w:t xml:space="preserve">automation layer</w:t>
      </w:r>
      <w:r>
        <w:t xml:space="preserve">. Public streams (weather, surveillance, wastewater) are ingested automatically as they become available, models are re-estimated at each input's native cadence with versioned re-fitting, and</w:t>
      </w:r>
      <w:r>
        <w:t xml:space="preserve"> </w:t>
      </w:r>
      <w:r>
        <w:rPr>
          <w:bCs/>
          <w:b/>
        </w:rPr>
        <w:t xml:space="preserve">assumption and validity diagnostics</w:t>
      </w:r>
      <w:r>
        <w:t xml:space="preserve"> </w:t>
      </w:r>
      <w:r>
        <w:t xml:space="preserve">run on every fit (residual structure, dispersion, calibration), so that a model failing its checks is excluded by pre-registered rules. A reference implementation is released in LiteRev-Evidence.</w:t>
      </w:r>
    </w:p>
    <w:p>
      <w:pPr>
        <w:pStyle w:val="BodyText"/>
      </w:pPr>
      <w:r>
        <w:rPr>
          <w:bCs/>
          <w:b/>
        </w:rPr>
        <w:t xml:space="preserve">Simulation is prior information, not data.</w:t>
      </w:r>
      <w:r>
        <w:t xml:space="preserve"> </w:t>
      </w:r>
      <w:r>
        <w:t xml:space="preserve">Fitting trajectories parameterised from the literature as if they were data would count the same information twice and disable the conflict diagnostic H3b depends on. Simulation therefore serves identifiability, structural constraints and prior predictive checks, and it never tightens the evidence prior.</w:t>
      </w:r>
    </w:p>
    <w:p>
      <w:pPr>
        <w:pStyle w:val="BodyText"/>
      </w:pPr>
      <w:r>
        <w:rPr>
          <w:bCs/>
          <w:b/>
        </w:rPr>
        <w:t xml:space="preserve">Deliverables.</w:t>
      </w:r>
      <w:r>
        <w:t xml:space="preserve"> </w:t>
      </w:r>
      <w:r>
        <w:t xml:space="preserve">D2.1 specification and identifiability study, D2.2 open code, D2.3 methods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comes first, the ordinal fallback is ready, and the identifiability boundary is reported as a result rather than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All of this is fixed before any evaluation is designed and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It rests on a pre-registered classification of recorded call reasons and urgency levels.</w:t>
      </w:r>
      <w:r>
        <w:t xml:space="preserve"> </w:t>
      </w:r>
      <w:r>
        <w:rPr>
          <w:bCs/>
          <w:b/>
        </w:rPr>
        <w:t xml:space="preserve">The heat arm scores heat-sensitive demand</w:t>
      </w:r>
      <w:r>
        <w:t xml:space="preserve">, built from the same series in the same way and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and wastewater, sentinel consultations and weather enter as covariates.</w:t>
      </w:r>
    </w:p>
    <w:p>
      <w:pPr>
        <w:pStyle w:val="BodyText"/>
      </w:pPr>
      <w:r>
        <w:rPr>
          <w:bCs/>
          <w:b/>
        </w:rPr>
        <w:t xml:space="preserve">Candidate outcome set and geography.</w:t>
      </w:r>
      <w:r>
        <w:t xml:space="preserve"> </w:t>
      </w:r>
      <w:r>
        <w:t xml:space="preserve">The pre-registered candidates, in hierarchy order, are (1) cause-filtered CASU-144 emergency demand, the primary outcome, (2) ED presentations by category, (3) ICU occupancy and (4) all-cause 144 engagements and hospital admissions as sensitivity series. Open surveillance (Sentinella, wastewater) serves as a fallback outcome only. The unit is the</w:t>
      </w:r>
      <w:r>
        <w:t xml:space="preserve"> </w:t>
      </w:r>
      <w:r>
        <w:rPr>
          <w:bCs/>
          <w:b/>
        </w:rPr>
        <w:t xml:space="preserve">canton of Geneva at daily resolution</w:t>
      </w:r>
      <w:r>
        <w:t xml:space="preserve"> </w:t>
      </w:r>
      <w:r>
        <w:t xml:space="preserve">(the HUG centrale's coverage area), and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and a gate at month 12 confirms them. If they are not met,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 following can be reconstructed prospectively. (1) An onset detectable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Episodes that fail serve sensitivity analysis only.</w:t>
      </w:r>
      <w:r>
        <w:t xml:space="preserve"> </w:t>
      </w:r>
      <w:r>
        <w:rPr>
          <w:bCs/>
          <w:b/>
        </w:rPr>
        <w:t xml:space="preserve">At the level of demand, co-circulating pathogens form one episode.</w:t>
      </w:r>
    </w:p>
    <w:p>
      <w:pPr>
        <w:pStyle w:val="BodyText"/>
      </w:pPr>
      <w:r>
        <w:rPr>
          <w:bCs/>
          <w:b/>
        </w:rPr>
        <w:t xml:space="preserve">Two registration points.</w:t>
      </w:r>
      <w:r>
        <w:t xml:space="preserve"> </w:t>
      </w:r>
      <w:r>
        <w:t xml:space="preserve">The hierarchy, the gate criteria and the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that require no agreement (federal respiratory surveillance, the national wastewater programme, weekly all-cause deaths, MeteoSwiss exposures). Archived forecasts from multi-model hubs provide contemporaneous comparators for early rounds that were genuinely cold-start [Cramer 2022; Sherratt 2023]. The track ships as a</w:t>
      </w:r>
      <w:r>
        <w:t xml:space="preserve"> </w:t>
      </w:r>
      <w:r>
        <w:rPr>
          <w:bCs/>
          <w:b/>
        </w:rPr>
        <w:t xml:space="preserve">public, re-runnable benchmark</w:t>
      </w:r>
      <w:r>
        <w:t xml:space="preserve">. Every component is thus validated before operational data arrive, the methodological test does not depend on data access, and operational series then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The CASU-144 series is harmonised with the additional channels and covariates, and completeness and delay are quantified. Right truncation is modelled with nowcasting [Höhle 2014; McGough 2020], because reporting that degrades under strain could itself mimic an early-warning signal. Two Geneva channels extend the set. The HUG COVID-19 hospitalisation data I previously analysed [Orel 2024] are re-requested as a secondary channel for respiratory validation and calibration, and pharmacy sales with wastewater measurements, via the pharmacien cantonal, serve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successive forecast origins are created that use</w:t>
      </w:r>
      <w:r>
        <w:t xml:space="preserve"> </w:t>
      </w:r>
      <w:r>
        <w:rPr>
          <w:bCs/>
          <w:b/>
        </w:rPr>
        <w:t xml:space="preserve">only the information available at that date</w:t>
      </w:r>
      <w:r>
        <w:t xml:space="preserve">.</w:t>
      </w:r>
      <w:r>
        <w:t xml:space="preserve"> </w:t>
      </w:r>
      <w:r>
        <w:rPr>
          <w:bCs/>
          <w:b/>
        </w:rPr>
        <w:t xml:space="preserve">Admissibility as a prior is defined by what a source describes, not by where it was published.</w:t>
      </w:r>
      <w:r>
        <w:t xml:space="preserve"> </w:t>
      </w:r>
      <w:r>
        <w:t xml:space="preserve">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a cut-off that moves with the origin.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and outside the confirmatory contrast, because H3a tests literature borrowing, not evidence fusion.</w:t>
      </w:r>
      <w:r>
        <w:t xml:space="preserve"> </w:t>
      </w:r>
      <w:r>
        <w:rPr>
          <w:bCs/>
          <w:b/>
        </w:rPr>
        <w:t xml:space="preserve">Text describing the local event is excluded from any prior</w:t>
      </w:r>
      <w:r>
        <w:t xml:space="preserve">, since it is a noisy measurement of the outcome itself. Every input carries an index timestamp. Revised sources enter as the</w:t>
      </w:r>
      <w:r>
        <w:t xml:space="preserve"> </w:t>
      </w:r>
      <w:r>
        <w:rPr>
          <w:bCs/>
          <w:b/>
        </w:rPr>
        <w:t xml:space="preserve">release vintage available at the origin</w:t>
      </w:r>
      <w:r>
        <w:t xml:space="preserve">, never as the final revised value, with observation and release times both retained, and origins re-run automatically through the T2.5 layer at each input's native cadence. Forecast horizons are 7, 14 and 28 days. The primary horizon for each archetype is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is registered before any evaluation and has two arms.</w:t>
      </w:r>
      <w:r>
        <w:t xml:space="preserve"> </w:t>
      </w:r>
      <w:r>
        <w:t xml:space="preserve">The</w:t>
      </w:r>
      <w:r>
        <w:t xml:space="preserve"> </w:t>
      </w:r>
      <w:r>
        <w:rPr>
          <w:bCs/>
          <w:b/>
        </w:rPr>
        <w:t xml:space="preserve">local-only</w:t>
      </w:r>
      <w:r>
        <w:t xml:space="preserve"> </w:t>
      </w:r>
      <w:r>
        <w:t xml:space="preserve">arm holds a seasonal GLM with weekday and holiday terms, persistence, established exceedance and nowcasting methods (Farrington and Noufaily, Bayesian nowcasting [Salmon 2016]), penalised, gradient-boosted and upper-tail quantile learners on the pre-specified covariates, and the WP2 regime model with weakly informative priors. The</w:t>
      </w:r>
      <w:r>
        <w:t xml:space="preserve"> </w:t>
      </w:r>
      <w:r>
        <w:rPr>
          <w:bCs/>
          <w:b/>
        </w:rPr>
        <w:t xml:space="preserve">evidence-informed</w:t>
      </w:r>
      <w:r>
        <w:t xml:space="preserve"> </w:t>
      </w:r>
      <w:r>
        <w:t xml:space="preserve">arm holds the same candidates equipped with WP1 priors and design inputs, in three registered variants (fixed evidence-derived priors, adaptive borrowing with conflict monitoring, and adaptive borrowing plus resilience indicators, H3c).</w:t>
      </w:r>
      <w:r>
        <w:t xml:space="preserve"> </w:t>
      </w:r>
      <w:r>
        <w:rPr>
          <w:bCs/>
          <w:b/>
        </w:rPr>
        <w:t xml:space="preserve">Mechanistic transmission components [Keeling 2008] are admissible only for epidemiological archetypes.</w:t>
      </w:r>
      <w:r>
        <w:t xml:space="preserve"> </w:t>
      </w:r>
      <w:r>
        <w:t xml:space="preserve">Environmental archetypes use exposure–response structures, and admissibility per archetype is registered.</w:t>
      </w:r>
    </w:p>
    <w:p>
      <w:pPr>
        <w:pStyle w:val="BodyText"/>
      </w:pPr>
      <w:r>
        <w:rPr>
          <w:bCs/>
          <w:b/>
        </w:rPr>
        <w:t xml:space="preserve">Champion selection is automated and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that uses only inner rolling validation on outcomes observed</w:t>
      </w:r>
      <w:r>
        <w:t xml:space="preserve"> </w:t>
      </w:r>
      <w:r>
        <w:rPr>
          <w:bCs/>
          <w:b/>
        </w:rPr>
        <w:t xml:space="preserve">before</w:t>
      </w:r>
      <w:r>
        <w:t xml:space="preserve"> </w:t>
      </w:r>
      <w:r>
        <w:t xml:space="preserve">that origin. The CRPS is the primary selection criterion, log score and calibration are registered admissibility constraints rather than ranking criteria, and selection follows T2.5's validity checks, blind to the other arm. The fixed champion then issues the outer forecast. Selection never sees the outcomes it is scored on. Identical selection machinery runs in both arms, so the primary contrast tests the full evidence-informed configuration rather than a particular model family. The library is deliberately broad for selection, not for hypothesis multiplication, and registered secondary contrasts isolate the prior, variable-set and model-form components.</w:t>
      </w:r>
    </w:p>
    <w:p>
      <w:pPr>
        <w:pStyle w:val="BodyText"/>
      </w:pPr>
      <w:r>
        <w:rPr>
          <w:bCs/>
          <w:b/>
        </w:rPr>
        <w:t xml:space="preserve">Confirmatory testing procedure, in a fixed sequence.</w:t>
      </w:r>
    </w:p>
    <w:p>
      <w:pPr>
        <w:numPr>
          <w:ilvl w:val="0"/>
          <w:numId w:val="1001"/>
        </w:numPr>
        <w:pStyle w:val="Compact"/>
      </w:pPr>
      <w:r>
        <w:rPr>
          <w:bCs/>
          <w:b/>
        </w:rPr>
        <w:t xml:space="preserve">Test 1 (primary).</w:t>
      </w:r>
      <w:r>
        <w:t xml:space="preserve"> </w:t>
      </w:r>
      <w:r>
        <w:t xml:space="preserve">Evidence-informed champion against local-only champion, on the CRPS skill score, over</w:t>
      </w:r>
      <w:r>
        <w:t xml:space="preserve"> </w:t>
      </w:r>
      <w:r>
        <w:rPr>
          <w:bCs/>
          <w:b/>
        </w:rPr>
        <w:t xml:space="preserve">respiratory</w:t>
      </w:r>
      <w:r>
        <w:t xml:space="preserve"> </w:t>
      </w:r>
      <w:r>
        <w:t xml:space="preserve">episodes and the cold-start window</w:t>
      </w:r>
      <w:r>
        <w:t xml:space="preserve"> </w:t>
      </w:r>
      <w:r>
        <w:rPr>
          <w:iCs/>
          <w:i/>
        </w:rPr>
        <w:t xml:space="preserve">N</w:t>
      </w:r>
      <w:r>
        <w:t xml:space="preserve">, at α = 0.05 two-sided, because harm from borrowing is as decision-relevant as benefit. Passing requires a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w:t>
      </w:r>
      <w:r>
        <w:t xml:space="preserve">Its regime-model priors carry a pre-declared band of vaguer and tighter alternatives as a sensitivity analysis, so the comparator cannot become a straw man after the fact.</w:t>
      </w:r>
    </w:p>
    <w:p>
      <w:pPr>
        <w:pStyle w:val="BodyText"/>
      </w:pPr>
      <w:r>
        <w:rPr>
          <w:bCs/>
          <w:b/>
        </w:rPr>
        <w:t xml:space="preserve">Primary endpoint.</w:t>
      </w:r>
      <w:r>
        <w:t xml:space="preserve"> </w:t>
      </w:r>
      <w:r>
        <w:t xml:space="preserve">The aggregation is registered. For each episode and arm, the CRPS is averaged over the eligible origins in the window at the primary horizon. The episode skill score is one minus the CRPS ratio (evidence-informed over local-only), and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with an</w:t>
      </w:r>
      <w:r>
        <w:t xml:space="preserve"> </w:t>
      </w:r>
      <w:r>
        <w:rPr>
          <w:bCs/>
          <w:b/>
        </w:rPr>
        <w:t xml:space="preserve">episode-level bootstrap</w:t>
      </w:r>
      <w:r>
        <w:t xml:space="preserve"> </w:t>
      </w:r>
      <w:r>
        <w:t xml:space="preserve">alongside that resamples whole episodes, preserving their internal temporal dependence. Both are pre-specified, and any disagreement is reported.</w:t>
      </w:r>
      <w:r>
        <w:t xml:space="preserve"> </w:t>
      </w:r>
      <w:r>
        <w:rPr>
          <w:bCs/>
          <w:b/>
        </w:rPr>
        <w:t xml:space="preserve">The design is powered by simulation of its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but does not set the threshold.</w:t>
      </w:r>
      <w:r>
        <w:t xml:space="preserve"> </w:t>
      </w:r>
      <w:r>
        <w:rPr>
          <w:bCs/>
          <w:b/>
        </w:rPr>
        <w:t xml:space="preserve">Δ is registered at one half of this fixed value</w:t>
      </w:r>
      <w:r>
        <w:t xml:space="preserve"> </w:t>
      </w:r>
      <w:r>
        <w:t xml:space="preserve">(§2.3.1), and the same simulation evaluates power for these targets and the stability of the ratio-based score when baseline CRPS differs between episodes. Secondary endpoints are the log score, calibration (PIT, coverage) and escalation detection at matched false-alarm rates.</w:t>
      </w:r>
      <w:r>
        <w:t xml:space="preserve"> </w:t>
      </w:r>
      <w:r>
        <w:rPr>
          <w:bCs/>
          <w:b/>
        </w:rPr>
        <w:t xml:space="preserve">H3b's Δ is fixed here, before any evaluation.</w:t>
      </w:r>
      <w:r>
        <w:t xml:space="preserve"> </w:t>
      </w:r>
      <w:r>
        <w:t xml:space="preserve">Non-inferiority is a CRPS deficit no greater than Δ, and superiority is tested on T3.4's misspecified priors. The well-specified case is defined in registered simulations whose evidence-generating and data-generating distributions match within a set tolerance, and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The task identifies the episodes where borrowing improves or worsens forecasts and characterises failure by mismatch of population, outcome definition, system, policy and time, by extraction uncertainty and by conflict between prior and data. Deliberately misspecified priors (registered shifts in location, scale and transport) serve as a stress test. The safety question is whether adaptive discounting can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year-4 legionellosis extension, which transfers the borrowing framework to forecasting case incidence at outbreak onset (low counts, case-based, on the linked case-environment series).</w:t>
      </w:r>
    </w:p>
    <w:p>
      <w:pPr>
        <w:pStyle w:val="BodyText"/>
      </w:pPr>
      <w:r>
        <w:rPr>
          <w:bCs/>
          <w:b/>
        </w:rPr>
        <w:t xml:space="preserve">Deliverables.</w:t>
      </w:r>
      <w:r>
        <w:t xml:space="preserve"> </w:t>
      </w:r>
      <w:r>
        <w:t xml:space="preserve">D3.1 reproducible cold-start evaluation pipeline, D3.2 primary result, D3.3 failure and 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before the award and letters accompany the application.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A 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w:t>
      </w:r>
      <w:r>
        <w:t xml:space="preserve">Surge-capacity escalation is triggered when the forecast probability of the upper states (strained or critical in the default scheme) crosses the elicited threshold. Candidates without a state map forecasts to escalation-state probabilities through T2.1's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The WP3 forecasts are re-evaluated with net-benefit and decision-curve analysis and with value of information, to establish whether rankings change once consequences are incorporated. Because operational records may encode structural differences, calibration and threshold performance are assessed across aggregate strata (age, sex, neighbourhood deprivation). A model that is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For selected episodes, I estimate what would have changed had escalation followed the model's signal, with a simple capacity model and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are refreshed automatically and</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and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plus dashboard and living-update protocol where authorised.</w:t>
      </w:r>
    </w:p>
    <w:p>
      <w:pPr>
        <w:pStyle w:val="BodyText"/>
      </w:pPr>
      <w:r>
        <w:rPr>
          <w:bCs/>
          <w:b/>
        </w:rPr>
        <w:t xml:space="preserve">Methods, data protection and reproducibility.</w:t>
      </w:r>
      <w:r>
        <w:t xml:space="preserve"> </w:t>
      </w:r>
      <w:r>
        <w:t xml:space="preserve">Version-controlled R and Python code under a registered analysis plan. Clinical data are processed in the UNIGE secure environment under the applicable institutional and regulatory approvals. The benchmark and software are released openly, with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w:t>
      </w:r>
      <w:r>
        <w:t xml:space="preserve"> </w:t>
      </w:r>
      <w:r>
        <w:t xml:space="preserve">The project is hosted by the</w:t>
      </w:r>
      <w:r>
        <w:t xml:space="preserve"> </w:t>
      </w:r>
      <w:r>
        <w:rPr>
          <w:bCs/>
          <w:b/>
        </w:rPr>
        <w:t xml:space="preserve">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and Dr Robert Larribau, CASU-144).</w:t>
      </w:r>
    </w:p>
    <w:p>
      <w:pPr>
        <w:pStyle w:val="BodyText"/>
      </w:pPr>
      <w:r>
        <w:rPr>
          <w:bCs/>
          <w:b/>
        </w:rPr>
        <w:t xml:space="preserve">Institute of Global Health.</w:t>
      </w:r>
      <w:r>
        <w:t xml:space="preserve"> </w:t>
      </w:r>
      <w:r>
        <w:t xml:space="preserve">Epidemiology, infectious-disease modelling and automated evidence extraction coexist in one institute, which is where the gap became visible, and the programme runs independently alongside its groups (§2.6).</w:t>
      </w:r>
      <w:r>
        <w:t xml:space="preserve"> </w:t>
      </w:r>
      <w:r>
        <w:rPr>
          <w:bCs/>
          <w:b/>
        </w:rPr>
        <w:t xml:space="preserve">DS4DH</w:t>
      </w:r>
      <w:r>
        <w:t xml:space="preserve"> </w:t>
      </w:r>
      <w:r>
        <w:t xml:space="preserve">contributes the biomedical NLP that WP1 needs, and through GESICA I already work with the emergency-medicine partners [Edjinedja 2026].</w:t>
      </w:r>
      <w:r>
        <w:t xml:space="preserve"> </w:t>
      </w:r>
      <w:r>
        <w:rPr>
          <w:bCs/>
          <w:b/>
        </w:rPr>
        <w:t xml:space="preserve">Existing infrastructure</w:t>
      </w:r>
      <w:r>
        <w:t xml:space="preserve"> </w:t>
      </w:r>
      <w:r>
        <w:t xml:space="preserve">comprises the LiteRev-Evidence prototype (§2.2.4), the legionellosis study (§2.2.5), 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are the ED and ICU extraction and the 144 project agreement, and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and the applicant's salary is covered separately. Doctoral students and postdocs cannot be employed under the 2026 rules,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Project-specific data agreements with HUG and 144/CASU, data governance confirmed under the applicable institutional and regulatory framework before any analysis, and hardening of LiteRev-Evidence before clinical data connect.</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 protocol and WP4's decision work. One</w:t>
      </w:r>
      <w:r>
        <w:t xml:space="preserve"> </w:t>
      </w:r>
      <w:r>
        <w:rPr>
          <w:bCs/>
          <w:b/>
        </w:rPr>
        <w:t xml:space="preserve">scientific/technical collaborator</w:t>
      </w:r>
      <w:r>
        <w:t xml:space="preserve"> </w:t>
      </w:r>
      <w:r>
        <w:t xml:space="preserve">(support personnel, 50% over 48 months) carries the T3.1–T3.2 harmonisation and rolling-origin pipeline and the reproducibility engineering behind D1.1 and D3.1. A separately contracted</w:t>
      </w:r>
      <w:r>
        <w:t xml:space="preserve"> </w:t>
      </w:r>
      <w:r>
        <w:rPr>
          <w:bCs/>
          <w:b/>
        </w:rPr>
        <w:t xml:space="preserve">independent extractor</w:t>
      </w:r>
      <w:r>
        <w:t xml:space="preserve"> </w:t>
      </w:r>
      <w:r>
        <w:t xml:space="preserve">(M3–M9) provides T1.2's second extraction arm. No other personnel are requested.</w:t>
      </w:r>
    </w:p>
    <w:p>
      <w:pPr>
        <w:pStyle w:val="BodyText"/>
      </w:pPr>
      <w:r>
        <w:t xml:space="preserve">There is no serial chain. WP2 falls back to weakly informative priors if WP1 finds extraction inadequate, WP3's open-data track runs regardless of access, and WP4's decision analysis is retrospective.</w:t>
      </w:r>
      <w:r>
        <w:t xml:space="preserve"> </w:t>
      </w:r>
      <w:r>
        <w:rPr>
          <w:bCs/>
          <w:b/>
        </w:rPr>
        <w:t xml:space="preserve">Open data alone has a cost.</w:t>
      </w:r>
      <w:r>
        <w:t xml:space="preserve"> </w:t>
      </w:r>
      <w:r>
        <w:t xml:space="preserve">Open series are not emergency-system demand, so the claim would narrow and most of WP4 would turn illustrative, hence the pre-award agreements.</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647"/>
        <w:gridCol w:w="1560"/>
        <w:gridCol w:w="7339"/>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from a few studies, and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and open access throughout. Benchmarks, the prior library and the code are released as</w:t>
      </w:r>
      <w:r>
        <w:t xml:space="preserve"> </w:t>
      </w:r>
      <w:r>
        <w:rPr>
          <w:bCs/>
          <w:b/>
        </w:rPr>
        <w:t xml:space="preserve">citable, versioned open resources</w:t>
      </w:r>
      <w:r>
        <w:t xml:space="preserve">, and results are returned to the partners. The durable resources, subordinate to the central question, are</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Each validated archetype leaves a registered, automatically re-validated configuration with the services, and extending that nucleus into a multi-crisis surveillance platform is the post-grant pathway.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building LiteRev-Evidence. It could pool published estimates into priors, and nothing showed whether they improved forecasting in a new setting. The methodological core came from fifteen years of quantitative finance, from no group I have worked in, and the platform was built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and she co-authors my output, as expected at this stage, but she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and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2026-10-14T11:49:46Z</dcterms:created>
  <dcterms:modified xsi:type="dcterms:W3CDTF">2026-10-14T11:49:46Z</dcterms:modified>
</cp:coreProperties>
</file>

<file path=docProps/custom.xml><?xml version="1.0" encoding="utf-8"?>
<Properties xmlns="http://schemas.openxmlformats.org/officeDocument/2006/custom-properties" xmlns:vt="http://schemas.openxmlformats.org/officeDocument/2006/docPropsVTypes"/>
</file>