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findings from other settings and past events can improve forecasts before enough outcomes from the current episode are available, and whether the method can detect when those findings mislead. Studies can inform plausible parameter values, explanatory variables and lags, model forms, and outcome definitions or warning thresholds. A prior is a distribution of plausible parameter values before it is updated with outcomes from the episode being forecast. It represents uncertainty rather than treating a published estimate as exact. HEADSTART compares two strategies. Both use the same context feeds, historical local records and outcomes already observed in the current episode. Only the evidence-informed strategy also uses information extracted from published studies to guide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build a model that forecasts the chosen outcome and expresses it as ordered levels of pressure on the health system, with the number of levels and their thresholds taken first from the evidence and fixed before any test. The outcome will be selected after reviewing the literature and the available data, using registered criteria, before any model performance is examined. Third, I will replay past events using only the information available at the time and compare the two strategies. Fourth,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If published evidence improves forecasts, the project shows when and by how much. If it brings nothing or causes harm, the result says where it should not be used. For the demand tests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and spent eleven years in quantitative finance on rare-event risk before a doctorate in biomedical sciences at Geneva. I conceived and built LiteRev with Aziza Merzouki and Olivia Keiser and extended it into LiteRev-Evidence, the prototype this project builds on. Through GESICA and GeoAI4EI (Horizon Europe) I work with Geneva's surveillance data and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[1, 2], and ensembles of forecasting models perform strongly when outcome data are rich [3, 4]. Emergency dispatch records move ahead of confirmed surveillance. The autumn wave of the 2009 A(H1N1) pandemic was seen eight days early in three European regions [5], long series of emergency calls track influenza-like illness [6], and a systematic review maps the field [7].</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[8].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[9], commensurate priors [10] and robust meta-analytic-predictive priors [11]. Informative priors have also been used to forecast diseases with little local data [12].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[13]. To my knowledge, these different forms of evidence have never been combined and tested together in practice.</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[14]. HEADSTART tests whether these errors understate uncertainty in a systematic way and whether a measurement-error model can correct them.</w:t>
      </w:r>
    </w:p>
    <w:p>
      <w:pPr>
        <w:pStyle w:val="BodyText"/>
      </w:pPr>
      <w:r>
        <w:t xml:space="preserve">Even a correctly extracted estimate may not apply locally, because populations, case definitions, service organisation and policy differ. Formal methods to assess transferability exist [15–17], but they have not been combined with automated extraction or tested on forecasts at the start of a crisis.</w:t>
      </w:r>
    </w:p>
    <w:bookmarkEnd w:id="22"/>
    <w:bookmarkStart w:id="23" w:name="X66ef3417836844ab19eeabce442c608b2e1542b"/>
    <w:p>
      <w:pPr>
        <w:pStyle w:val="Heading3"/>
      </w:pPr>
      <w:r>
        <w:t xml:space="preserve">2.1.3 Forecast demand and levels of service pressure</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[18, 19], and extreme-value methods describe rare peaks in demand [20], including hospital congestion in Switzerland [21].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[22] are considered only for infectious crises, and heat is modelled through exposure and response. Rises in variance and in day-to-day correlation, which precede some transitions [23] and have been studied in epidemics [24–26],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[27], and decision analysis judges them by their consequences [28]. Heat thresholds built on mortality need not match those for service demand [29], and the link between air pollution and asthma emergencies varies between places [30].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4a30a36c6197fdd87cb19a01747c5ba71dec498"/>
    <w:p>
      <w:pPr>
        <w:pStyle w:val="Heading3"/>
      </w:pPr>
      <w:r>
        <w:t xml:space="preserve">2.2.1 From econometrics and finance to public health</w:t>
      </w:r>
    </w:p>
    <w:p>
      <w:pPr>
        <w:pStyle w:val="FirstParagraph"/>
      </w:pPr>
      <w:r>
        <w:t xml:space="preserve">I studied quantitative economics and econometrics (MSc and DEA, University of Geneva), then worked for eleven years in quantitative finance on risk, extreme values, regime models and stress testing, and became a certified Financial Risk Manager (FRM). This is where my practice of rare-event forecasting, regime-switching models and Bayesian modelling comes from. In 2019 I joined the Institute of Global Health and completed a doctorate in biomedical sciences (defended 18 December 2023).</w:t>
      </w:r>
    </w:p>
    <w:bookmarkEnd w:id="27"/>
    <w:bookmarkStart w:id="28" w:name="X37393b4d7fc8b55861803ffa43b8131330aff2c"/>
    <w:p>
      <w:pPr>
        <w:pStyle w:val="Heading3"/>
      </w:pPr>
      <w:r>
        <w:t xml:space="preserve">2.2.2 Doctorate, prediction under sparse information and LiteRev</w:t>
      </w:r>
    </w:p>
    <w:p>
      <w:pPr>
        <w:pStyle w:val="FirstParagraph"/>
      </w:pPr>
      <w:r>
        <w:t xml:space="preserve">In [31] I predicted individual HIV status from social and behavioural characteristics across East and Southern Africa and showed where the models transferred between countries, in a line of work shared with [32] and [33]. This work gave me direct experience of when a model learnt in one setting holds in another.</w:t>
      </w:r>
    </w:p>
    <w:p>
      <w:pPr>
        <w:pStyle w:val="BodyText"/>
      </w:pPr>
      <w:r>
        <w:t xml:space="preserve">I conceived and built LiteRev [34] with Aziza Merzouki (PhD, computer science) and Prof. Olivia Keiser. The tool runs systematic searches from plain-language or Boolean queries, removes duplicates and maps the literature. LiteRev was funded by UNIGE (CHF 30,000), the Fondation Ernst et Lucie Schmidheiny (CHF 10,000), Venture Kick (CHF 10,000) and Mimosa (CHF 20,000). The GESICA review of AI in emergency medical services [7], which I co-authored, uses LiteRev.</w:t>
      </w:r>
    </w:p>
    <w:bookmarkEnd w:id="28"/>
    <w:bookmarkStart w:id="29" w:name="X5f9a3db217f7eebde7303f7024eb5a825e7cbc9"/>
    <w:p>
      <w:pPr>
        <w:pStyle w:val="Heading3"/>
      </w:pPr>
      <w:r>
        <w:t xml:space="preserve">2.2.3 Outbreak and health-system modelling in Switzerland</w:t>
      </w:r>
    </w:p>
    <w:p>
      <w:pPr>
        <w:pStyle w:val="FirstParagraph"/>
      </w:pPr>
      <w:r>
        <w:t xml:space="preserve">In [35] I compared the clinical severity of Delta and Omicron sub-lineages in a Swiss university hospital. [36] built age-structured scenarios of the Swiss SARS-CoV-2 epidemic to support decisions under time pressure. I also contributed to WHO African Region reporting and to seroprevalence estimates [37]. As last author of [38] (accepted), I had the senior role in the statistical analysis of the classification of self-reported cardiovascular disease across harmonised WHO STEPS surveys.</w:t>
      </w:r>
    </w:p>
    <w:bookmarkEnd w:id="29"/>
    <w:bookmarkStart w:id="30" w:name="Xdc63a628e9ae8e3c748834f6a470f8b6b4482f5"/>
    <w:p>
      <w:pPr>
        <w:pStyle w:val="Heading3"/>
      </w:pPr>
      <w:r>
        <w:t xml:space="preserve">2.2.4 Since 2024, LiteRev-Evidence, GESICA and GeoAI4EI</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first models from several families, and builds compartmental model parts from published parameter ranges. Evidence updates are reviewed before they are applied. These parts have not yet been validated as one end-to-end forecasting pipeline. In particular, HEADSTART will build and test the historical model-selection step so that it uses only information available at each forecast date.</w:t>
      </w:r>
    </w:p>
    <w:p>
      <w:pPr>
        <w:pStyle w:val="BodyText"/>
      </w:pPr>
      <w:r>
        <w:t xml:space="preserve">GESICA is a large Franco-Swiss consortium. In it, the Geneva group led by Prof. Olivia Keiser works on infectious-disease crises, starting with influenza, COVID-19 and RSV. My contribution was to list the variables and data sources for these diseases, and for heat waves, in an inventory of 28 surveillance sources (23 on diseases and 5 on the environment), each described by coverage, resolution, latency, access and quality. HEADSTART uses this inventory.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w:t>
      </w:r>
    </w:p>
    <w:bookmarkEnd w:id="30"/>
    <w:bookmarkStart w:id="31" w:name="X744a8cb459cb696b57a00571998d8abbae2b165"/>
    <w:p>
      <w:pPr>
        <w:pStyle w:val="Heading3"/>
      </w:pPr>
      <w:r>
        <w:t xml:space="preserve">2.2.5 The legionellosis study</w:t>
      </w:r>
    </w:p>
    <w:p>
      <w:pPr>
        <w:pStyle w:val="FirstParagraph"/>
      </w:pPr>
      <w:r>
        <w:t xml:space="preserve">I carry out the full analysis of a cantonal study already under way (BASEC 2026-00324, ethics granted, PI Prof. Olivia Keiser) that links confirmed legionellosis cases in Geneva to individual domestic hot-water installations. These linked data are the basis of the third test, on legionellosis case incidence, in year four. The dataset covers ten years of confirmed cases. Because cases are few, incidence is aggregated to monthly or, where counts allow, weekly series, and the horizon is set at registration.</w:t>
      </w:r>
    </w:p>
    <w:p>
      <w:pPr>
        <w:pStyle w:val="BodyText"/>
      </w:pPr>
      <w:r>
        <w:t xml:space="preserve">Together these steps give me the methods for forecasting rare events, the evidence pipeline, and the Geneva and public-health context that HEADSTART needs.</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improve forecasts early in an episode by helping estimate how the available context relates to the outcome, provided extraction uncertainty and relevance to the local setting are assessed.</w:t>
      </w:r>
    </w:p>
    <w:tbl>
      <w:tblPr>
        <w:tblStyle w:val="Table"/>
        <w:tblW w:w="10546" w:type="dxa"/>
        <w:tblLook w:firstRow="1" w:lastRow="0" w:firstColumn="0" w:lastColumn="0" w:noHBand="0" w:noVBand="0" w:val="0020"/>
        <w:jc w:val="start"/>
        <w:tblLayout w:type="fixed"/>
      </w:tblPr>
      <w:tblGrid>
        <w:gridCol w:w="1560"/>
        <w:gridCol w:w="2091"/>
        <w:gridCol w:w="6895"/>
      </w:tblGrid>
      <w:tr>
        <w:trPr>
          <w:cantSplit/>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rPr>
          <w:cantSplit/>
        </w:trP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 automated methods preserve the uncertainty in published numbers?</w:t>
            </w:r>
          </w:p>
        </w:tc>
      </w:tr>
      <w:tr>
        <w:trPr>
          <w:cantSplit/>
        </w:trP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rPr>
          <w:cantSplit/>
        </w:trP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rPr>
          <w:cantSplit/>
        </w:trP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adaptive weighting reduce harm when published evidence conflicts with local outcomes?</w:t>
            </w:r>
          </w:p>
        </w:tc>
      </w:tr>
      <w:tr>
        <w:trPr>
          <w:cantSplit/>
        </w:trP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rPr>
          <w:cantSplit/>
        </w:trP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4086153"/>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4086153"/>
                    </a:xfrm>
                    <a:prstGeom prst="rect">
                      <a:avLst/>
                    </a:prstGeom>
                    <a:noFill/>
                    <a:ln w="9525">
                      <a:noFill/>
                      <a:headEnd/>
                      <a:tailEnd/>
                    </a:ln>
                  </pic:spPr>
                </pic:pic>
              </a:graphicData>
            </a:graphic>
          </wp:inline>
        </w:drawing>
      </w:r>
    </w:p>
    <w:p>
      <w:pPr>
        <w:pStyle w:val="BodyText"/>
      </w:pPr>
      <w:r>
        <w:rPr>
          <w:iCs/>
          <w:i/>
        </w:rPr>
        <w:t xml:space="preserve">Figure 1. What is available when a crisis starts, the gap, what HEADSTART does (WP1 to WP4), the test, and the Geneva test sequence.</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it brings the spread ratio of T1.3 close to one and improves interval coverage at the pre-specified levels on the held-out studies. Studies used to tune the correction are kept out of this test set.</w:t>
      </w:r>
    </w:p>
    <w:p>
      <w:pPr>
        <w:pStyle w:val="FirstParagraph"/>
      </w:pPr>
      <w:r>
        <w:t xml:space="preserve">Automated extraction also misses numbers entirely [14].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 model inputs derived from the published evidence in WP1. How long it lasts is secondary.</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shifted in location, scale or relevance to the local setting,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[39, 40]. (3) Legionellosis is the third test, in year four, on the linked case-environment data, and forecasts case incidence rather than demand. No fourth domain is planned. The three crisis types are fixed. Within each, the outcome measure, the population and, for respiratory epidemics, the pathogen are not fixed in this plan. They depend on what the published evidence defines and on the local service data available, for example emergency calls classified by the recorded symptoms, emergency-department visits, hospital admissions, bed or ICU occupancy, or case counts. The candidates are listed at registration. The target is then chosen after an audit of access, completeness, cause coding, reporting delay, time resolution and usefulness for the services, before any forecast performance is compared, and it does not change afterwards. Open public series support the validation of the methods but are not presented as a substitute for local service data. At month 12 a data check confirms that the chosen target meets the registered criteria, otherwise the next candidate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d4e09ba18080d97b74eb2b86ca99368d3605118"/>
    <w:p>
      <w:pPr>
        <w:pStyle w:val="Heading5"/>
      </w:pPr>
      <w:r>
        <w:t xml:space="preserve">T1.1. Fix what to look for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[41]. (4) How studies define outcomes and warning thresholds [29]. The numbers are the subject of the extraction benchmark. The other three kinds are recorded with their source and a certainty grade and compared with published reviews.</w:t>
      </w:r>
    </w:p>
    <w:bookmarkEnd w:id="43"/>
    <w:bookmarkStart w:id="44" w:name="t12-build-the-manual-benchmark-m3m9"/>
    <w:p>
      <w:pPr>
        <w:pStyle w:val="Heading5"/>
      </w:pPr>
      <w:r>
        <w:t xml:space="preserve">T1.2. Build the manual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The manual benchmark covers the parameters that the main models actually use, not every number reported in each field, and the secondary parameter classes enter only if the main models need them. Differences are reconciled against the source text with a written coding guide. Values that stay ambiguous are flagged and left out of the main reference set, and their effect is checked in a sensitivity analysis.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79c42a8564cc493c93ab39009f406ee2f4a6406"/>
    <w:p>
      <w:pPr>
        <w:pStyle w:val="Heading5"/>
      </w:pPr>
      <w:r>
        <w:t xml:space="preserve">T1.3. Measure the errors of automated extraction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main measure for H1 is the median log-ratio of the standard deviations of the automated and manual distributions, by parameter class. A value below zero, which is a ratio below one, means the automated distribution is too narrow. Uncertainty inside studies and differences between studies are tracked separately and together, and repeated for each extraction model version.</w:t>
      </w:r>
    </w:p>
    <w:bookmarkEnd w:id="45"/>
    <w:bookmarkStart w:id="46" w:name="X060d7a2d5080bfbab7ed226a68ce4015fb4bcf8"/>
    <w:p>
      <w:pPr>
        <w:pStyle w:val="Heading5"/>
      </w:pPr>
      <w:r>
        <w:t xml:space="preserve">T1.4. Turn the numbers into distributions with their uncertainty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Xfb0c313f685b1fb1cb18cb274225f7dbb8d3b55"/>
    <w:p>
      <w:pPr>
        <w:pStyle w:val="Heading5"/>
      </w:pPr>
      <w:r>
        <w:t xml:space="preserve">T1.5. Check how well each finding transfers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time runs short, the benchmark narrows to the core parameters.</w:t>
      </w:r>
    </w:p>
    <w:bookmarkEnd w:id="47"/>
    <w:bookmarkEnd w:id="48"/>
    <w:bookmarkStart w:id="54" w:name="X30f685b947833bb06018236e55015b9cbc1e3a1"/>
    <w:p>
      <w:pPr>
        <w:pStyle w:val="Heading4"/>
      </w:pPr>
      <w:r>
        <w:t xml:space="preserve">WP2. Model the levels of pressure on the system (M1–M28)</w:t>
      </w:r>
    </w:p>
    <w:bookmarkStart w:id="49" w:name="Xcf803f1a5f8b5245cb00eec4b6ac44698627a2f"/>
    <w:p>
      <w:pPr>
        <w:pStyle w:val="Heading5"/>
      </w:pPr>
      <w:r>
        <w:t xml:space="preserve">T2.1. Build and test the pressure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[42].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 The daily pressure model serves the respiratory and heat tests. Legionellosis uses its own case-incidence forecast at its weekly or monthly resolution.</w:t>
      </w:r>
    </w:p>
    <w:bookmarkEnd w:id="49"/>
    <w:bookmarkStart w:id="50" w:name="t22-model-the-rare-peaks-of-demand-m6m14"/>
    <w:p>
      <w:pPr>
        <w:pStyle w:val="Heading5"/>
      </w:pPr>
      <w:r>
        <w:t xml:space="preserve">T2.2. Model the rare peaks of demand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It supports the main comparison and carries no hypothesis of its own.</w:t>
      </w:r>
    </w:p>
    <w:bookmarkEnd w:id="50"/>
    <w:bookmarkStart w:id="51" w:name="X7c95f1d60e61ad73e333e61a06116a5f40da4e5"/>
    <w:p>
      <w:pPr>
        <w:pStyle w:val="Heading5"/>
      </w:pPr>
      <w:r>
        <w:t xml:space="preserve">T2.3. Bring the published evidence into the model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are run as a sensitivity check.</w:t>
      </w:r>
    </w:p>
    <w:bookmarkEnd w:id="51"/>
    <w:bookmarkStart w:id="52" w:name="X25bfe31d90f5b85d1f2731ebea55fe6bd2d6f42"/>
    <w:p>
      <w:pPr>
        <w:pStyle w:val="Heading5"/>
      </w:pPr>
      <w:r>
        <w:t xml:space="preserve">T2.4. Test two early-warning signals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c544ba7a5f1295d2acfaf65482c82ae7a03b766"/>
    <w:p>
      <w:pPr>
        <w:pStyle w:val="Heading5"/>
      </w:pPr>
      <w:r>
        <w:t xml:space="preserve">T2.5. Calibrate, automate and check validity (M20–M28)</w:t>
      </w:r>
    </w:p>
    <w:p>
      <w:pPr>
        <w:pStyle w:val="FirstParagraph"/>
      </w:pPr>
      <w:r>
        <w:t xml:space="preserve">Forecast probabilities are calibrated with methods made for data that change over time.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Failing models are set aside. The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b3d8caca1651fb581662512ee4e825400c6f9ec"/>
    <w:p>
      <w:pPr>
        <w:pStyle w:val="Heading4"/>
      </w:pPr>
      <w:r>
        <w:t xml:space="preserve">WP3. Replay past crises and test the forecasts (M1–M42)</w:t>
      </w:r>
    </w:p>
    <w:bookmarkStart w:id="55" w:name="X5d39d19f7d3090f730d356c08f18c4261ebcb8a"/>
    <w:p>
      <w:pPr>
        <w:pStyle w:val="Heading5"/>
      </w:pPr>
      <w:r>
        <w:t xml:space="preserve">T3.0. Choose the outcome, check the data, register the rules (M1–M14)</w:t>
      </w:r>
    </w:p>
    <w:p>
      <w:pPr>
        <w:pStyle w:val="FirstParagraph"/>
      </w:pPr>
      <w:r>
        <w:t xml:space="preserve">Outcomes. The outcome of each test is not fixed in advance. It depends on what the published evidence defines and on the data available, for example emergency calls (CASU-144) classified by the symptoms recorded in the exported data (audio recordings are not used), emergency-department visits by cause, hospital admissions, bed or ICU occupancy. Provisionally, respiratory epidemics use CASU-144 calls by symptom first, then HUG emergency-department visits, then admissions or occupancy. Heat events use the same service series restricted to heat-related causes, then a hospital outcome. Legionellosis uses weekly or monthly case counts. The causes and population groups used to filter the target come from the evidence. The other candidates serve as extra inputs for the pressure model. Weather, air quality, wastewater, sentinel consultations and calendar effects are context inputs. The design is single-canton on purpose, and transfer is tested across crisis types.</w:t>
      </w:r>
    </w:p>
    <w:p>
      <w:pPr>
        <w:pStyle w:val="BodyText"/>
      </w:pPr>
      <w:r>
        <w:t xml:space="preserve">Choosing the target. The first registration fixes the candidate outcomes, the criteria for choosing among them (access, completeness, cause coding, reporting delay and revisions, time resolution and usefulness for the services), and the eligibility and fallback rules. At month 12 the criteria are applied to the data actually available, and the highest-ranked series that passes this data check becomes the target, recorded before any forecast performance is examined. Once chosen, the target stays fixed, so that no outcome can be picked afterwards because it gives better results, and both strategies are scored on the same target, period and rules. If no local series passes, the work falls back to open Swiss data (federal respiratory surveillance, national wastewater data, weekly deaths and MeteoSwiss weather), with archived multi-model forecasts as comparators [3, 4], to show that the methods work and to release a public benchmark, and the main claim is narrowed. The daily HUG COVID-19 hospitalisation series I analysed before [35] may be requested again as a secondary check, subject to re-access and the required authorisation.</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Co-circulating respiratory viruses count as one episode.</w:t>
      </w:r>
    </w:p>
    <w:p>
      <w:pPr>
        <w:pStyle w:val="BodyText"/>
      </w:pPr>
      <w:r>
        <w:t xml:space="preserve">Second registration. After the month-12 data check and a blinded inventory of the eligible episodes, but before any performance is seen, a second registration fixes the early-episode window N, the main forecast horizon per crisis type and the margin Δ. Horizons follow what the services need, not results.</w:t>
      </w:r>
    </w:p>
    <w:bookmarkEnd w:id="55"/>
    <w:bookmarkStart w:id="56" w:name="t31-assemble-the-data-m12m20"/>
    <w:p>
      <w:pPr>
        <w:pStyle w:val="Heading5"/>
      </w:pPr>
      <w:r>
        <w:t xml:space="preserve">T3.1. Assemble the data (M12–M20)</w:t>
      </w:r>
    </w:p>
    <w:p>
      <w:pPr>
        <w:pStyle w:val="FirstParagraph"/>
      </w:pPr>
      <w:r>
        <w:t xml:space="preserve">The outcome series are lined up with the context feeds and with each other on the grid of the chosen outcome, daily for the demand tests. Missing values and reporting delays are measured, and recent days that are still incomplete are corrected with nowcasting [43, 44], because reporting tends to slow down under pressure and can look like an early warning. Pharmacy sales and wastewater data come through the cantonal pharmacist as early indicators.</w:t>
      </w:r>
    </w:p>
    <w:bookmarkEnd w:id="56"/>
    <w:bookmarkStart w:id="57" w:name="X3c5d3f38d70b59f19c1d0948ac89de4b434a288"/>
    <w:p>
      <w:pPr>
        <w:pStyle w:val="Heading5"/>
      </w:pPr>
      <w:r>
        <w:t xml:space="preserve">T3.2. Replay with only what was known at the time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f8689ad9c5d188d95e0d730763dabb322203d29"/>
    <w:p>
      <w:pPr>
        <w:pStyle w:val="Heading5"/>
      </w:pPr>
      <w:r>
        <w:t xml:space="preserve">T3.3. Build the model library and run the tests (M20–M34)</w:t>
      </w:r>
    </w:p>
    <w:p>
      <w:pPr>
        <w:pStyle w:val="FirstParagraph"/>
      </w:pPr>
      <w:r>
        <w:t xml:space="preserve">Two strategies are registered before evaluation. The reference strategy uses a registered set of standard forecasting models (seasonal regression, persistence, surveillance alarm methods [45], machine-learning learners and the WP2 pressure model with almost no outside information), fitted to the local history, the outcomes already seen in the episode and the context feeds, with no model inputs derived from the published evidence in WP1.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Whatever the result, the effect sizes and the conditions under which the evidence helped or harmed are reported.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is the unit of analysis. The number of eligible episodes is established with the registered eligibility rules before any forecast performance is examined, and it is expected to be small. A paired permutation test and a bootstrap over whole episodes are both registered. Simulations run before the second registration set the type-I error, the power, the smallest number of episodes for a confirmatory claim and the window N, without using any forecast result, and check that the ratio-based skill score stays stable when the reference CRPS differs between episodes. If fewer eligible episodes exist than that minimum, the analysis is reported as an estimate with its uncertainty, not as a confirmatory test. The minimum relevant improvement is fixed at the second registration by a rule based on operational relevance, and Δ is half of it. Secondary measures are the log score, calibration and the detection of escalation at matched false-alarm rates. For H3b, the right-evidence case is a simulation, registered in advance, in which the evidence given to the model and the process that produces the outcomes agree within a set tolerance. The score compares adaptive weighting with fixed weighting, and positive values mean adaptive is better. Both conditions are judged with uncertainty bounds across the registered simulation runs, not on point estimates alone. Non-inferiority holds only if the lower confidence bound of the score difference stays above minus Δ with right evidence. Superiority holds only if that lower bound is above zero with shifted evidence. The confidence level is fixed in the registered protocol.</w:t>
      </w:r>
    </w:p>
    <w:bookmarkEnd w:id="58"/>
    <w:bookmarkStart w:id="59" w:name="X321021fb0ce7a271997d080aa60af1866532612"/>
    <w:p>
      <w:pPr>
        <w:pStyle w:val="Heading5"/>
      </w:pPr>
      <w:r>
        <w:t xml:space="preserve">T3.4. Map when the evidence helps and when it harms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heat-and-legionellosis-tests-m34m42"/>
    <w:p>
      <w:pPr>
        <w:pStyle w:val="Heading5"/>
      </w:pPr>
      <w:r>
        <w:t xml:space="preserve">T3.5. Heat and legionellosis tests (M34–M42)</w:t>
      </w:r>
    </w:p>
    <w:p>
      <w:pPr>
        <w:pStyle w:val="FirstParagraph"/>
      </w:pPr>
      <w:r>
        <w:t xml:space="preserve">The heat test is the second test. The legionellosis test, in year four, applies the same comparison to forecasts of weekly or monthly case counts on the linked case-environment data. Its time unit and horizon are registered separately, and it is evaluated on its own, outside the comparison of the demand tests.</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If no local series can be obtained, open Swiss data show that the methods work, but they cannot carry the main claim, which is then narrowed.</w:t>
      </w:r>
    </w:p>
    <w:bookmarkEnd w:id="60"/>
    <w:bookmarkEnd w:id="61"/>
    <w:bookmarkStart w:id="65" w:name="X8aa826d782b5e8f6cc38fd442bbb89d90845718"/>
    <w:p>
      <w:pPr>
        <w:pStyle w:val="Heading4"/>
      </w:pPr>
      <w:r>
        <w:t xml:space="preserve">WP4. From forecast skill to decision value (M24–M48)</w:t>
      </w:r>
    </w:p>
    <w:bookmarkStart w:id="62" w:name="X5ca009a387911c6ea58ecd45a8eb558bd90bfed"/>
    <w:p>
      <w:pPr>
        <w:pStyle w:val="Heading5"/>
      </w:pPr>
      <w:r>
        <w:t xml:space="preserve">T4.1. Elicit costs and thresholds with the services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exercise sets transparent thresholds and is not a representative survey.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9afe369954fadd3f59f2f0b48fc173c8f224d76"/>
    <w:p>
      <w:pPr>
        <w:pStyle w:val="Heading5"/>
      </w:pPr>
      <w:r>
        <w:t xml:space="preserve">T4.2. Judge the forecasts by the decisions they trigger (M30–M40)</w:t>
      </w:r>
    </w:p>
    <w:p>
      <w:pPr>
        <w:pStyle w:val="FirstParagraph"/>
      </w:pPr>
      <w:r>
        <w:t xml:space="preserve">The WP3 forecasts are re-assessed on the decisions they would trigger, with net-benefit and decision-curve methods, to see whether the ranking of the models changes once the costs of wrong decisions are counted. Calibration and threshold performance are also checked across age and sex where the selected data and the group sizes allow. A model that is well calibrated overall but poor for a group that matters does not pass. The decision analysis needs a target that is linked to a real service decision. If only open surveillance data are available, the project reports the methodological validation and does not claim to have shown local decision value.</w:t>
      </w:r>
    </w:p>
    <w:bookmarkEnd w:id="63"/>
    <w:bookmarkStart w:id="64" w:name="t43-dashboard-and-living-updates-m34m48"/>
    <w:p>
      <w:pPr>
        <w:pStyle w:val="Heading5"/>
      </w:pPr>
      <w:r>
        <w:t xml:space="preserve">T4.3. Dashboard and living updates (M34–M48)</w:t>
      </w:r>
    </w:p>
    <w:p>
      <w:pPr>
        <w:pStyle w:val="FirstParagraph"/>
      </w:pPr>
      <w:r>
        <w:t xml:space="preserve">For the demand tests that pass the forecast and decision checks and that the services authorise, the project runs a daily dashboard in observation mode. It publishes forecasts, level probabilities and validity checks, records its outputs and scores them as outcomes arrive, and it does not direct clinical care. New studies are checked daily, and full syntheses are refreshed on a registered schedule [13]. Any change to priors, variables, thresholds or model choice is version-controlled and applied only under pre-registered rules. Without authorisation, the retrospective evaluation and the update protocol are the deliverables.</w:t>
      </w:r>
    </w:p>
    <w:p>
      <w:pPr>
        <w:pStyle w:val="BodyText"/>
      </w:pPr>
      <w:r>
        <w:t xml:space="preserve">Deliverables are D4.1 (cost structure and fairness audit), D4.2 (decision-analytic evaluation) and D4.3 (the update protocol and, where authorised, the dashboard).</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library of evidence-derived inputs, the decision-analysis framework and a public forecasting benchmark where open data are used),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2454"/>
        <w:gridCol w:w="2967"/>
        <w:gridCol w:w="2608"/>
        <w:gridCol w:w="2517"/>
      </w:tblGrid>
      <w:tr>
        <w:trPr>
          <w:cantSplit/>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rPr>
          <w:cantSplit/>
        </w:trP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rPr>
          <w:cantSplit/>
        </w:trP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 re-issued for the HEADSTART title</w:t>
            </w:r>
          </w:p>
        </w:tc>
      </w:tr>
      <w:tr>
        <w:trPr>
          <w:cantSplit/>
        </w:trPr>
        <w:tc>
          <w:tcPr/>
          <w:p>
            <w:pPr>
              <w:pStyle w:val="Compact"/>
              <w:jc w:val="left"/>
            </w:pPr>
            <w:r>
              <w:t xml:space="preserve">HUG, Service des urgences</w:t>
            </w:r>
          </w:p>
        </w:tc>
        <w:tc>
          <w:tcPr/>
          <w:p>
            <w:pPr>
              <w:pStyle w:val="Compact"/>
              <w:jc w:val="left"/>
            </w:pPr>
            <w:r>
              <w:t xml:space="preserve">Prof. Thibaut Desmettre, médecin-chef de service</w:t>
            </w:r>
          </w:p>
        </w:tc>
        <w:tc>
          <w:tcPr/>
          <w:p>
            <w:pPr>
              <w:pStyle w:val="Compact"/>
              <w:jc w:val="left"/>
            </w:pPr>
            <w:r>
              <w:t xml:space="preserve">ED and ICU data, clinical partner</w:t>
            </w:r>
          </w:p>
        </w:tc>
        <w:tc>
          <w:tcPr/>
          <w:p>
            <w:pPr>
              <w:pStyle w:val="Compact"/>
              <w:jc w:val="left"/>
            </w:pPr>
            <w:r>
              <w:t xml:space="preserve">Extraction in discussion, letter requested</w:t>
            </w:r>
          </w:p>
        </w:tc>
      </w:tr>
      <w:tr>
        <w:trPr>
          <w:cantSplit/>
        </w:trPr>
        <w:tc>
          <w:tcPr/>
          <w:p>
            <w:pPr>
              <w:pStyle w:val="Compact"/>
              <w:jc w:val="left"/>
            </w:pPr>
            <w:r>
              <w:t xml:space="preserve">Unité urgences santé (144), HUG</w:t>
            </w:r>
          </w:p>
        </w:tc>
        <w:tc>
          <w:tcPr/>
          <w:p>
            <w:pPr>
              <w:pStyle w:val="Compact"/>
              <w:jc w:val="left"/>
            </w:pPr>
            <w:r>
              <w:t xml:space="preserve">Dr Robert Larribau, head of unit</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rPr>
          <w:cantSplit/>
        </w:trPr>
        <w:tc>
          <w:tcPr/>
          <w:p>
            <w:pPr>
              <w:pStyle w:val="Compact"/>
              <w:jc w:val="left"/>
            </w:pPr>
            <w:r>
              <w:t xml:space="preserve">GESICA (Franco-Swiss)</w:t>
            </w:r>
          </w:p>
        </w:tc>
        <w:tc>
          <w:tcPr/>
          <w:p>
            <w:pPr>
              <w:pStyle w:val="Compact"/>
              <w:jc w:val="left"/>
            </w:pPr>
            <w:r>
              <w:t xml:space="preserve">Prof. Olivia Keiser (UNIGE PI), Prof. Douglas Teodoro (Swiss data inventory)</w:t>
            </w:r>
          </w:p>
        </w:tc>
        <w:tc>
          <w:tcPr/>
          <w:p>
            <w:pPr>
              <w:pStyle w:val="Compact"/>
              <w:jc w:val="left"/>
            </w:pPr>
            <w:r>
              <w:t xml:space="preserve">Surveillance inventory, data access, emergency-medicine partners</w:t>
            </w:r>
          </w:p>
        </w:tc>
        <w:tc>
          <w:tcPr/>
          <w:p>
            <w:pPr>
              <w:pStyle w:val="Compact"/>
              <w:jc w:val="left"/>
            </w:pPr>
            <w:r>
              <w:t xml:space="preserve">Running</w:t>
            </w:r>
          </w:p>
        </w:tc>
      </w:tr>
      <w:tr>
        <w:trPr>
          <w:cantSplit/>
        </w:trPr>
        <w:tc>
          <w:tcPr/>
          <w:p>
            <w:pPr>
              <w:pStyle w:val="Compact"/>
              <w:jc w:val="left"/>
            </w:pPr>
            <w:r>
              <w:t xml:space="preserve">GeoAI4EI (Horizon Europe)</w:t>
            </w:r>
          </w:p>
        </w:tc>
        <w:tc>
          <w:tcPr/>
          <w:p>
            <w:pPr>
              <w:pStyle w:val="Compact"/>
              <w:jc w:val="left"/>
            </w:pPr>
            <w:r>
              <w:t xml:space="preserve">Prof. Olivia Keiser, co-PI</w:t>
            </w:r>
          </w:p>
        </w:tc>
        <w:tc>
          <w:tcPr/>
          <w:p>
            <w:pPr>
              <w:pStyle w:val="Compact"/>
              <w:jc w:val="left"/>
            </w:pPr>
            <w:r>
              <w:t xml:space="preserve">European epidemic-intelligence partners, exchange of methods</w:t>
            </w:r>
          </w:p>
        </w:tc>
        <w:tc>
          <w:tcPr/>
          <w:p>
            <w:pPr>
              <w:pStyle w:val="Compact"/>
              <w:jc w:val="left"/>
            </w:pPr>
            <w:r>
              <w:t xml:space="preserve">Running 2026–2030</w:t>
            </w:r>
          </w:p>
        </w:tc>
      </w:tr>
      <w:tr>
        <w:trPr>
          <w:cantSplit/>
        </w:trPr>
        <w:tc>
          <w:tcPr/>
          <w:p>
            <w:pPr>
              <w:pStyle w:val="Compact"/>
              <w:jc w:val="left"/>
            </w:pPr>
            <w:r>
              <w:t xml:space="preserve">Legionellosis study (data via the médecin cantonal and SIG)</w:t>
            </w:r>
          </w:p>
        </w:tc>
        <w:tc>
          <w:tcPr/>
          <w:p>
            <w:pPr>
              <w:pStyle w:val="Compact"/>
              <w:jc w:val="left"/>
            </w:pPr>
            <w:r>
              <w:t xml:space="preserve">Prof. Olivia Keiser, study PI</w:t>
            </w:r>
          </w:p>
        </w:tc>
        <w:tc>
          <w:tcPr/>
          <w:p>
            <w:pPr>
              <w:pStyle w:val="Compact"/>
              <w:jc w:val="left"/>
            </w:pPr>
            <w:r>
              <w:t xml:space="preserve">Linked case-environment data, analysis by the applicant</w:t>
            </w:r>
          </w:p>
        </w:tc>
        <w:tc>
          <w:tcPr/>
          <w:p>
            <w:pPr>
              <w:pStyle w:val="Compact"/>
              <w:jc w:val="left"/>
            </w:pPr>
            <w:r>
              <w:t xml:space="preserve">Study approved, BASEC 2026-00324</w:t>
            </w:r>
          </w:p>
        </w:tc>
      </w:tr>
      <w:tr>
        <w:trPr>
          <w:cantSplit/>
        </w:trPr>
        <w:tc>
          <w:tcPr/>
          <w:p>
            <w:pPr>
              <w:pStyle w:val="Compact"/>
              <w:jc w:val="left"/>
            </w:pPr>
            <w:r>
              <w:t xml:space="preserve">HUG COVID-19 hospitalisation series</w:t>
            </w:r>
          </w:p>
        </w:tc>
        <w:tc>
          <w:tcPr/>
          <w:p>
            <w:pPr>
              <w:pStyle w:val="Compact"/>
            </w:pPr>
          </w:p>
        </w:tc>
        <w:tc>
          <w:tcPr/>
          <w:p>
            <w:pPr>
              <w:pStyle w:val="Compact"/>
              <w:jc w:val="left"/>
            </w:pPr>
            <w:r>
              <w:t xml:space="preserve">Daily secondary check series, previously analysed [35]</w:t>
            </w:r>
          </w:p>
        </w:tc>
        <w:tc>
          <w:tcPr/>
          <w:p>
            <w:pPr>
              <w:pStyle w:val="Compact"/>
              <w:jc w:val="left"/>
            </w:pPr>
            <w:r>
              <w:t xml:space="preserve">Re-request planned, subject to availability and authorisation</w:t>
            </w:r>
          </w:p>
        </w:tc>
      </w:tr>
      <w:tr>
        <w:trPr>
          <w:cantSplit/>
        </w:trP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rPr>
          <w:cantSplit/>
        </w:trP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rPr>
          <w:cantSplit/>
        </w:trP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relationship.</w:t>
      </w:r>
    </w:p>
    <w:p>
      <w:pPr>
        <w:pStyle w:val="BodyText"/>
      </w:pPr>
      <w:r>
        <w:t xml:space="preserve">Project funds are capped at CHF 250,000 over four years, and my salary is separate. The budget entered in mySNF gives the detailed cost calculation.</w:t>
      </w:r>
    </w:p>
    <w:tbl>
      <w:tblPr>
        <w:tblStyle w:val="Table"/>
        <w:tblW w:w="10546" w:type="dxa"/>
        <w:tblLook w:firstRow="1" w:lastRow="0" w:firstColumn="0" w:lastColumn="0" w:noHBand="0" w:noVBand="0" w:val="0020"/>
        <w:jc w:val="start"/>
        <w:tblLayout w:type="fixed"/>
      </w:tblPr>
      <w:tblGrid>
        <w:gridCol w:w="3965"/>
        <w:gridCol w:w="6581"/>
      </w:tblGrid>
      <w:tr>
        <w:trPr>
          <w:cantSplit/>
          <w:tblHeader w:val="true"/>
        </w:trPr>
        <w:tc>
          <w:tcPr/>
          <w:p>
            <w:pPr>
              <w:pStyle w:val="Compact"/>
              <w:jc w:val="left"/>
            </w:pPr>
            <w:r>
              <w:t xml:space="preserve">Item</w:t>
            </w:r>
          </w:p>
        </w:tc>
        <w:tc>
          <w:tcPr/>
          <w:p>
            <w:pPr>
              <w:pStyle w:val="Compact"/>
              <w:jc w:val="left"/>
            </w:pPr>
            <w:r>
              <w:t xml:space="preserve">Rationale</w:t>
            </w:r>
          </w:p>
        </w:tc>
      </w:tr>
      <w:tr>
        <w:trPr>
          <w:cantSplit/>
        </w:trPr>
        <w:tc>
          <w:tcPr/>
          <w:p>
            <w:pPr>
              <w:pStyle w:val="Compact"/>
              <w:jc w:val="left"/>
            </w:pPr>
            <w:r>
              <w:t xml:space="preserve">Research assistants (master's students, at most 40%)</w:t>
            </w:r>
          </w:p>
        </w:tc>
        <w:tc>
          <w:tcPr/>
          <w:p>
            <w:pPr>
              <w:pStyle w:val="Compact"/>
              <w:jc w:val="left"/>
            </w:pPr>
            <w:r>
              <w:t xml:space="preserve">Second extraction arm of the T1.2 benchmark (M3–M9), data handling, evaluation pipeline, workshop organisation</w:t>
            </w:r>
          </w:p>
        </w:tc>
      </w:tr>
      <w:tr>
        <w:trPr>
          <w:cantSplit/>
        </w:trPr>
        <w:tc>
          <w:tcPr/>
          <w:p>
            <w:pPr>
              <w:pStyle w:val="Compact"/>
              <w:jc w:val="left"/>
            </w:pPr>
            <w:r>
              <w:t xml:space="preserve">Database and dashboard services</w:t>
            </w:r>
          </w:p>
        </w:tc>
        <w:tc>
          <w:tcPr/>
          <w:p>
            <w:pPr>
              <w:pStyle w:val="Compact"/>
              <w:jc w:val="left"/>
            </w:pPr>
            <w:r>
              <w:t xml:space="preserve">Set-up of the project database, secure-environment runs and, where authorised, dashboard hosting</w:t>
            </w:r>
          </w:p>
        </w:tc>
      </w:tr>
      <w:tr>
        <w:trPr>
          <w:cantSplit/>
        </w:trPr>
        <w:tc>
          <w:tcPr/>
          <w:p>
            <w:pPr>
              <w:pStyle w:val="Compact"/>
              <w:jc w:val="left"/>
            </w:pPr>
            <w:r>
              <w:t xml:space="preserve">Conferences, two to three per year, and workshops</w:t>
            </w:r>
          </w:p>
        </w:tc>
        <w:tc>
          <w:tcPr/>
          <w:p>
            <w:pPr>
              <w:pStyle w:val="Compact"/>
              <w:jc w:val="left"/>
            </w:pPr>
            <w:r>
              <w:t xml:space="preserve">Presentation of results, exchange with the forecasting hubs and the GESICA and GeoAI4EI partners</w:t>
            </w:r>
          </w:p>
        </w:tc>
      </w:tr>
      <w:tr>
        <w:trPr>
          <w:cantSplit/>
        </w:trP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Research assistants (master's students) provide the second extraction arm from months 3 to 9 and support data handling and the evaluation pipeline. The work packages run in parallel with fallbacks. WP2 can use weakly informative distributions if extraction error proves too large, and the retrospective decision analysis of WP4 does not depend on live deployment. Open Swiss data are the fallback if no local series can be obtained, so access agreements remain a priority before the award.</w:t>
      </w:r>
    </w:p>
    <w:p>
      <w:pPr>
        <w:pStyle w:val="BodyText"/>
      </w:pPr>
      <w:r>
        <w:drawing>
          <wp:inline>
            <wp:extent cx="6640000" cy="5027579"/>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502757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cantSplit/>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rPr>
          <w:cantSplit/>
        </w:trPr>
        <w:tc>
          <w:tcPr/>
          <w:p>
            <w:pPr>
              <w:pStyle w:val="Compact"/>
              <w:jc w:val="left"/>
            </w:pPr>
            <w:r>
              <w:t xml:space="preserve">MS1</w:t>
            </w:r>
          </w:p>
        </w:tc>
        <w:tc>
          <w:tcPr/>
          <w:p>
            <w:pPr>
              <w:pStyle w:val="Compact"/>
              <w:jc w:val="left"/>
            </w:pPr>
            <w:r>
              <w:t xml:space="preserve">4</w:t>
            </w:r>
          </w:p>
        </w:tc>
        <w:tc>
          <w:tcPr/>
          <w:p>
            <w:pPr>
              <w:pStyle w:val="Compact"/>
              <w:jc w:val="left"/>
            </w:pPr>
            <w:r>
              <w:t xml:space="preserve">Extraction protocol and outcome candidates registered (first registration)</w:t>
            </w:r>
          </w:p>
        </w:tc>
      </w:tr>
      <w:tr>
        <w:trPr>
          <w:cantSplit/>
        </w:trPr>
        <w:tc>
          <w:tcPr/>
          <w:p>
            <w:pPr>
              <w:pStyle w:val="Compact"/>
              <w:jc w:val="left"/>
            </w:pPr>
            <w:r>
              <w:t xml:space="preserve">MS2</w:t>
            </w:r>
          </w:p>
        </w:tc>
        <w:tc>
          <w:tcPr/>
          <w:p>
            <w:pPr>
              <w:pStyle w:val="Compact"/>
              <w:jc w:val="left"/>
            </w:pPr>
            <w:r>
              <w:t xml:space="preserve">9</w:t>
            </w:r>
          </w:p>
        </w:tc>
        <w:tc>
          <w:tcPr/>
          <w:p>
            <w:pPr>
              <w:pStyle w:val="Compact"/>
              <w:jc w:val="left"/>
            </w:pPr>
            <w:r>
              <w:t xml:space="preserve">Manual benchmark released</w:t>
            </w:r>
          </w:p>
        </w:tc>
      </w:tr>
      <w:tr>
        <w:trPr>
          <w:cantSplit/>
        </w:trPr>
        <w:tc>
          <w:tcPr/>
          <w:p>
            <w:pPr>
              <w:pStyle w:val="Compact"/>
              <w:jc w:val="left"/>
            </w:pPr>
            <w:r>
              <w:t xml:space="preserve">MS3</w:t>
            </w:r>
          </w:p>
        </w:tc>
        <w:tc>
          <w:tcPr/>
          <w:p>
            <w:pPr>
              <w:pStyle w:val="Compact"/>
              <w:jc w:val="left"/>
            </w:pPr>
            <w:r>
              <w:t xml:space="preserve">12</w:t>
            </w:r>
          </w:p>
        </w:tc>
        <w:tc>
          <w:tcPr/>
          <w:p>
            <w:pPr>
              <w:pStyle w:val="Compact"/>
              <w:jc w:val="left"/>
            </w:pPr>
            <w:r>
              <w:t xml:space="preserve">Data check passed, pressure model works on simulated data, or fallbacks chosen</w:t>
            </w:r>
          </w:p>
        </w:tc>
      </w:tr>
      <w:tr>
        <w:trPr>
          <w:cantSplit/>
        </w:trPr>
        <w:tc>
          <w:tcPr/>
          <w:p>
            <w:pPr>
              <w:pStyle w:val="Compact"/>
              <w:jc w:val="left"/>
            </w:pPr>
            <w:r>
              <w:t xml:space="preserve">MS4</w:t>
            </w:r>
          </w:p>
        </w:tc>
        <w:tc>
          <w:tcPr/>
          <w:p>
            <w:pPr>
              <w:pStyle w:val="Compact"/>
              <w:jc w:val="left"/>
            </w:pPr>
            <w:r>
              <w:t xml:space="preserve">20</w:t>
            </w:r>
          </w:p>
        </w:tc>
        <w:tc>
          <w:tcPr/>
          <w:p>
            <w:pPr>
              <w:pStyle w:val="Compact"/>
              <w:jc w:val="left"/>
            </w:pPr>
            <w:r>
              <w:t xml:space="preserve">Second registration done, evidence inputs delivered</w:t>
            </w:r>
          </w:p>
        </w:tc>
      </w:tr>
      <w:tr>
        <w:trPr>
          <w:cantSplit/>
        </w:trPr>
        <w:tc>
          <w:tcPr/>
          <w:p>
            <w:pPr>
              <w:pStyle w:val="Compact"/>
              <w:jc w:val="left"/>
            </w:pPr>
            <w:r>
              <w:t xml:space="preserve">MS5</w:t>
            </w:r>
          </w:p>
        </w:tc>
        <w:tc>
          <w:tcPr/>
          <w:p>
            <w:pPr>
              <w:pStyle w:val="Compact"/>
              <w:jc w:val="left"/>
            </w:pPr>
            <w:r>
              <w:t xml:space="preserve">34</w:t>
            </w:r>
          </w:p>
        </w:tc>
        <w:tc>
          <w:tcPr/>
          <w:p>
            <w:pPr>
              <w:pStyle w:val="Compact"/>
              <w:jc w:val="left"/>
            </w:pPr>
            <w:r>
              <w:t xml:space="preserve">Main respiratory test done</w:t>
            </w:r>
          </w:p>
        </w:tc>
      </w:tr>
      <w:tr>
        <w:trPr>
          <w:cantSplit/>
        </w:trPr>
        <w:tc>
          <w:tcPr/>
          <w:p>
            <w:pPr>
              <w:pStyle w:val="Compact"/>
              <w:jc w:val="left"/>
            </w:pPr>
            <w:r>
              <w:t xml:space="preserve">MS6</w:t>
            </w:r>
          </w:p>
        </w:tc>
        <w:tc>
          <w:tcPr/>
          <w:p>
            <w:pPr>
              <w:pStyle w:val="Compact"/>
              <w:jc w:val="left"/>
            </w:pPr>
            <w:r>
              <w:t xml:space="preserve">42</w:t>
            </w:r>
          </w:p>
        </w:tc>
        <w:tc>
          <w:tcPr/>
          <w:p>
            <w:pPr>
              <w:pStyle w:val="Compact"/>
              <w:jc w:val="left"/>
            </w:pPr>
            <w:r>
              <w:t xml:space="preserve">Heat and legionellosis tests done</w:t>
            </w:r>
          </w:p>
        </w:tc>
      </w:tr>
      <w:tr>
        <w:trPr>
          <w:cantSplit/>
        </w:trPr>
        <w:tc>
          <w:tcPr/>
          <w:p>
            <w:pPr>
              <w:pStyle w:val="Compact"/>
              <w:jc w:val="left"/>
            </w:pPr>
            <w:r>
              <w:t xml:space="preserve">MS7</w:t>
            </w:r>
          </w:p>
        </w:tc>
        <w:tc>
          <w:tcPr/>
          <w:p>
            <w:pPr>
              <w:pStyle w:val="Compact"/>
              <w:jc w:val="left"/>
            </w:pPr>
            <w:r>
              <w:t xml:space="preserve">48</w:t>
            </w:r>
          </w:p>
        </w:tc>
        <w:tc>
          <w:tcPr/>
          <w:p>
            <w:pPr>
              <w:pStyle w:val="Compact"/>
              <w:jc w:val="left"/>
            </w:pPr>
            <w:r>
              <w:t xml:space="preserve">Decision value measured, dashboard for the validated demand tests where authorised, all results reported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saves modellers and evidence platforms from an assumption that was never tested.</w:t>
      </w:r>
    </w:p>
    <w:p>
      <w:pPr>
        <w:pStyle w:val="BodyText"/>
      </w:pPr>
      <w:r>
        <w:t xml:space="preserve">Results are published in open-access journals, with preprints where appropriate. The extraction benchmark, the library of evidence-derived inputs, the code and, where open data are used, the forecasting benchmark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demand tests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My academic path has moved from quantitative economics and financial risk modelling to public health, prediction across settings and collaborative software development. I developed the modelling approach and the LiteRev-Evidence prototype, and contributed to mapping variables and data sources within existing collaborations. HEADSTART turns this experience into my own scientific question and a programme that I lead.</w:t>
      </w:r>
    </w:p>
    <w:tbl>
      <w:tblPr>
        <w:tblStyle w:val="Table"/>
        <w:tblW w:w="10546" w:type="dxa"/>
        <w:tblLook w:firstRow="1" w:lastRow="0" w:firstColumn="0" w:lastColumn="0" w:noHBand="0" w:noVBand="0" w:val="0020"/>
        <w:jc w:val="start"/>
        <w:tblLayout w:type="fixed"/>
      </w:tblPr>
      <w:tblGrid>
        <w:gridCol w:w="1791"/>
        <w:gridCol w:w="3243"/>
        <w:gridCol w:w="2735"/>
        <w:gridCol w:w="2777"/>
      </w:tblGrid>
      <w:tr>
        <w:trPr>
          <w:cantSplit/>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rPr>
          <w:cantSplit/>
        </w:trP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 data sourcing for respiratory diseases</w:t>
            </w:r>
          </w:p>
        </w:tc>
        <w:tc>
          <w:tcPr/>
          <w:p>
            <w:pPr>
              <w:pStyle w:val="Compact"/>
              <w:jc w:val="left"/>
            </w:pPr>
            <w:r>
              <w:t xml:space="preserve">Decision support, no test of evidence-derived priors</w:t>
            </w:r>
          </w:p>
        </w:tc>
      </w:tr>
      <w:tr>
        <w:trPr>
          <w:cantSplit/>
        </w:trP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rPr>
          <w:cantSplit/>
        </w:trP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Full analysis</w:t>
            </w:r>
          </w:p>
        </w:tc>
        <w:tc>
          <w:tcPr/>
          <w:p>
            <w:pPr>
              <w:pStyle w:val="Compact"/>
              <w:jc w:val="left"/>
            </w:pPr>
            <w:r>
              <w:t xml:space="preserve">Supplies the data of the third test</w:t>
            </w:r>
          </w:p>
        </w:tc>
      </w:tr>
      <w:tr>
        <w:trPr>
          <w:cantSplit/>
        </w:trP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GESICA and GeoAI4EI build epidemic-intelligence and decision-support tools. HEADSTART tests one thing they do not, whether published evidence is a sound input to forecasts.</w:t>
      </w:r>
    </w:p>
    <w:p>
      <w:pPr>
        <w:pStyle w:val="BodyText"/>
      </w:pPr>
      <w:r>
        <w:t xml:space="preserve">LiteRev-Evidence can already turn published estimates into parameter distributions, but nobody has shown whether using them improves forecasts in a new setting. That question, the design that answers it and the confirmatory analyses are mine.</w:t>
      </w:r>
    </w:p>
    <w:p>
      <w:pPr>
        <w:pStyle w:val="BodyText"/>
      </w:pPr>
      <w:r>
        <w:t xml:space="preserve">Prof. Olivia Keiser, my contact person at the Institute, co-built LiteRev with me, leads the legionellosis study and is my PI in GESICA (respiratory diseases) and co-PI of GeoAI4EI (Horizon Europe). We also work together on the MAS in Public Health, where I have taught statistics and epidemiology since 2024. Prof. Douglas Teodoro (DS4DH) leads the data inventory of the Swiss part of GESICA and supports the text-mining work of WP1. HEADSTART is my own programme, hosted at the Institute of Global Health and led by me, with research assistants on defined technical tasks. By month 48, a validated answer and a first-author record will be the basis for leading a group or a professorship.</w:t>
      </w:r>
    </w:p>
    <w:bookmarkEnd w:id="75"/>
    <w:bookmarkEnd w:id="76"/>
    <w:bookmarkStart w:id="77" w:name="bibliography"/>
    <w:p>
      <w:pPr>
        <w:pStyle w:val="Heading1"/>
      </w:pPr>
      <w:r>
        <w:br w:type="page"/>
      </w:r>
      <w:r>
        <w:t xml:space="preserve">Bibliography</w:t>
      </w:r>
    </w:p>
    <w:p>
      <w:pPr>
        <w:numPr>
          <w:ilvl w:val="0"/>
          <w:numId w:val="1001"/>
        </w:numPr>
        <w:pStyle w:val="Compact"/>
      </w:pPr>
      <w:r>
        <w:t xml:space="preserve">Farrington CP, Andrews NJ, Beale AD, Catchpole MA. A statistical algorithm for the early detection of outbreaks of infectious disease.</w:t>
      </w:r>
      <w:r>
        <w:t xml:space="preserve"> </w:t>
      </w:r>
      <w:r>
        <w:rPr>
          <w:iCs/>
          <w:i/>
        </w:rPr>
        <w:t xml:space="preserve">Journal of the Royal Statistical Society Series A</w:t>
      </w:r>
      <w:r>
        <w:t xml:space="preserve"> </w:t>
      </w:r>
      <w:r>
        <w:t xml:space="preserve">1996;159(3):547–563.</w:t>
      </w:r>
    </w:p>
    <w:p>
      <w:pPr>
        <w:numPr>
          <w:ilvl w:val="0"/>
          <w:numId w:val="1001"/>
        </w:numPr>
        <w:pStyle w:val="Compact"/>
      </w:pPr>
      <w:r>
        <w:t xml:space="preserve">Noufaily A, Enki DG, Farrington P, Garthwaite P, Andrews N, Charlett A. An 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t xml:space="preserve">Cramer EY, Ray EL, Lopez VK, et al. (consortium, more than 50 authors). Evaluation of individual and ensemble probabilistic forecasts of COVID-19 mortality in the United States.</w:t>
      </w:r>
      <w:r>
        <w:t xml:space="preserve"> </w:t>
      </w:r>
      <w:r>
        <w:rPr>
          <w:iCs/>
          <w:i/>
        </w:rPr>
        <w:t xml:space="preserve">Proceedings of the National Academy of Sciences</w:t>
      </w:r>
      <w:r>
        <w:t xml:space="preserve"> </w:t>
      </w:r>
      <w:r>
        <w:t xml:space="preserve">2022;119(15):e2113561119. doi:10.1073/pnas.2113561119</w:t>
      </w:r>
    </w:p>
    <w:p>
      <w:pPr>
        <w:numPr>
          <w:ilvl w:val="0"/>
          <w:numId w:val="1001"/>
        </w:numPr>
        <w:pStyle w:val="Compact"/>
      </w:pPr>
      <w:r>
        <w:t xml:space="preserve">Sherratt K, Gruson H, Grah R, et al. (consortium, more than 50 authors). Predictive performance of multi-model ensemble forecasts of COVID-19 across European nations.</w:t>
      </w:r>
      <w:r>
        <w:t xml:space="preserve"> </w:t>
      </w:r>
      <w:r>
        <w:rPr>
          <w:iCs/>
          <w:i/>
        </w:rPr>
        <w:t xml:space="preserve">eLife</w:t>
      </w:r>
      <w:r>
        <w:t xml:space="preserve"> </w:t>
      </w:r>
      <w:r>
        <w:t xml:space="preserve">2023;12:e81916. doi:10.7554/eLife.81916</w:t>
      </w:r>
    </w:p>
    <w:p>
      <w:pPr>
        <w:numPr>
          <w:ilvl w:val="0"/>
          <w:numId w:val="1001"/>
        </w:numPr>
        <w:pStyle w:val="Compact"/>
      </w:pPr>
      <w:r>
        <w:t xml:space="preserve">Rosenkötter N, Ziemann A, Garcia-Castrillo Riesgo L, Gillet JB, Vergeiner G, Krafft T, Brand H. Validity and timeliness of syndromic influenza surveillance during the autumn/winter wave of A(H1N1) influenza 2009: results of emergency medical 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t xml:space="preserve">Bonora R, Ticozzi EM, Pregliasco FE, Pagliosa A, Bodina A, Cereda D, Perotti G, Lombardo M, Stirparo G. Telephone calls to emergency medical service as a tool to predict influenza-like illness: a 10-year study.</w:t>
      </w:r>
      <w:r>
        <w:t xml:space="preserve"> </w:t>
      </w:r>
      <w:r>
        <w:rPr>
          <w:iCs/>
          <w:i/>
        </w:rPr>
        <w:t xml:space="preserve">Public Health</w:t>
      </w:r>
      <w:r>
        <w:t xml:space="preserve"> </w:t>
      </w:r>
      <w:r>
        <w:t xml:space="preserve">2025;238:239–244. doi:10.1016/j.puhe.2024.12.021</w:t>
      </w:r>
    </w:p>
    <w:p>
      <w:pPr>
        <w:numPr>
          <w:ilvl w:val="0"/>
          <w:numId w:val="1001"/>
        </w:numPr>
        <w:pStyle w:val="Compact"/>
      </w:pPr>
      <w:r>
        <w:t xml:space="preserve">Edjinedja KL, Larribau R, Orel E, Cossus J, Elfahim O, Yendouname K, Vaussenat F, Teodoro D, Robert-Nicoud S, Barakat O, Desmettre T. Artificial intelligence in emergency medical services for disasters and health emergencies: a systematic review. Submitted, 2026.</w:t>
      </w:r>
    </w:p>
    <w:p>
      <w:pPr>
        <w:numPr>
          <w:ilvl w:val="0"/>
          <w:numId w:val="1001"/>
        </w:numPr>
        <w:pStyle w:val="Compact"/>
      </w:pPr>
      <w:r>
        <w:t xml:space="preserve">Lazer D, Kennedy R, King G, Vespignani A. The parable of Google Flu: traps in 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t xml:space="preserve">Hobbs BP, Carlin BP, Mandrekar SJ, Sargent DJ. Hierarchical commensurate and 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t xml:space="preserve">Schmidli H, Gsteiger S, Roychoudhury S, O'Hagan A, Spiegelhalter D, Neuenschwander B. Robust meta-analytic-predictive priors in clinical trials with historical 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t xml:space="preserve">Cook JD, Williams DM, Walsh DP, Hefley TJ. Bayesian forecasting of disease spread with little or no local data.</w:t>
      </w:r>
      <w:r>
        <w:t xml:space="preserve"> </w:t>
      </w:r>
      <w:r>
        <w:rPr>
          <w:iCs/>
          <w:i/>
        </w:rPr>
        <w:t xml:space="preserve">Scientific Reports</w:t>
      </w:r>
      <w:r>
        <w:t xml:space="preserve"> </w:t>
      </w:r>
      <w:r>
        <w:t xml:space="preserve">2023;13:8137. doi:10.1038/s41598-023-35177-6</w:t>
      </w:r>
    </w:p>
    <w:p>
      <w:pPr>
        <w:numPr>
          <w:ilvl w:val="0"/>
          <w:numId w:val="1001"/>
        </w:numPr>
        <w:pStyle w:val="Compact"/>
      </w:pPr>
      <w:r>
        <w:t xml:space="preserve">Elliott JH, Turner T, Clavisi O, Thomas J, Higgins JPT, Mavergames C, Gruen RL. Living systematic reviews: an emerging opportunity to narrow the 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t xml:space="preserve">Shankar R, Lim A, Qian X. Performance of large language models in data 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 doi:10.1073/pnas.1510507113</w:t>
      </w:r>
    </w:p>
    <w:p>
      <w:pPr>
        <w:numPr>
          <w:ilvl w:val="0"/>
          <w:numId w:val="1001"/>
        </w:numPr>
        <w:pStyle w:val="Compact"/>
      </w:pPr>
      <w:r>
        <w:t xml:space="preserve">Dahabreh IJ, Petito LC, Robertson SE, Hernán MA, Steingrimsson JA. Toward causally interpretable meta-analysis: transporting inferences from multiple randomized trials to a new target population.</w:t>
      </w:r>
      <w:r>
        <w:t xml:space="preserve"> </w:t>
      </w:r>
      <w:r>
        <w:rPr>
          <w:iCs/>
          <w:i/>
        </w:rPr>
        <w:t xml:space="preserve">Epidemiology</w:t>
      </w:r>
      <w:r>
        <w:t xml:space="preserve"> </w:t>
      </w:r>
      <w:r>
        <w:t xml:space="preserve">2020;31(3):334–344. doi:10.1097/EDE.0000000000001177</w:t>
      </w:r>
    </w:p>
    <w:p>
      <w:pPr>
        <w:numPr>
          <w:ilvl w:val="0"/>
          <w:numId w:val="1001"/>
        </w:numPr>
        <w:pStyle w:val="Compact"/>
      </w:pP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t xml:space="preserve">Le Strat Y, Carrat F. Monitoring epidemiologic surveillance data using hidden Markov models.</w:t>
      </w:r>
      <w:r>
        <w:t xml:space="preserve"> </w:t>
      </w:r>
      <w:r>
        <w:rPr>
          <w:iCs/>
          <w:i/>
        </w:rPr>
        <w:t xml:space="preserve">Statistics in Medicine</w:t>
      </w:r>
      <w:r>
        <w:t xml:space="preserve"> </w:t>
      </w:r>
      <w:r>
        <w:t xml:space="preserve">1999;18(24):3463–3478.</w:t>
      </w:r>
    </w:p>
    <w:p>
      <w:pPr>
        <w:numPr>
          <w:ilvl w:val="0"/>
          <w:numId w:val="1001"/>
        </w:numPr>
        <w:pStyle w:val="Compact"/>
      </w:pPr>
      <w:r>
        <w:t xml:space="preserve">Watkins RE, Eagleson S, Veenendaal B, Wright G, Plant AJ. Disease 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t xml:space="preserve">Ranjbar S, Cantoni E, Chavez-Demoulin V, Marra G, Radice R, Jaton-Ogay K. Modelling the extremes of seasonal viruses and hospital congestion: the example of flu in a 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t xml:space="preserve">Keeling MJ, Rohani P.</w:t>
      </w:r>
      <w:r>
        <w:t xml:space="preserve"> </w:t>
      </w:r>
      <w:r>
        <w:rPr>
          <w:iCs/>
          <w:i/>
        </w:rPr>
        <w:t xml:space="preserve">Modeling Infectious Diseases in Humans and Animals.</w:t>
      </w:r>
      <w:r>
        <w:t xml:space="preserve"> </w:t>
      </w:r>
      <w:r>
        <w:t xml:space="preserve">Princeton University Press, 2008.</w:t>
      </w:r>
    </w:p>
    <w:p>
      <w:pPr>
        <w:numPr>
          <w:ilvl w:val="0"/>
          <w:numId w:val="1001"/>
        </w:numPr>
        <w:pStyle w:val="Compact"/>
      </w:pPr>
      <w:r>
        <w:t xml:space="preserve">Scheffer M, Bascompte J, Brock WA, Brovkin V, Carpenter SR, Dakos V, Held H, 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t xml:space="preserve">O'Regan SM, Drake JM. Theory of early warning signals of disease emergence 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t xml:space="preserve">Brett TS, O'Dea EB, Marty É, Miller PB, Park AW, Drake JM, Rohani P. 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t xml:space="preserve">Southall E, Brett TS, Tildesley MJ, Dyson L. Early warning signals of 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t xml:space="preserve">Gneiting T, Raftery AE. Strictly proper scoring rules, prediction, and 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t xml:space="preserve">Vickers AJ, Elkin EB. Decision curve analysis: a novel method for evaluating prediction models.</w:t>
      </w:r>
      <w:r>
        <w:t xml:space="preserve"> </w:t>
      </w:r>
      <w:r>
        <w:rPr>
          <w:iCs/>
          <w:i/>
        </w:rPr>
        <w:t xml:space="preserve">Medical Decision Making</w:t>
      </w:r>
      <w:r>
        <w:t xml:space="preserve"> </w:t>
      </w:r>
      <w:r>
        <w:t xml:space="preserve">2006;26(6):565–574.</w:t>
      </w:r>
    </w:p>
    <w:p>
      <w:pPr>
        <w:numPr>
          <w:ilvl w:val="0"/>
          <w:numId w:val="1001"/>
        </w:numPr>
        <w:pStyle w:val="Compact"/>
      </w:pPr>
      <w:r>
        <w:t xml:space="preserve">Lung S-CC, Yeh J-CJ, Hwang J-S. Selecting thresholds of heat-warning systems with substantial enhancement of essential population health outcomes for facilitating 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t xml:space="preserve">Zheng XY, Ding H, Jiang LN, Chen SW, Zheng JP, Qiu M, Zhou YX, Chen Q, Guan WJ. Association between air pollutants and asthma emergency room visits and hospital 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01"/>
        </w:numPr>
        <w:pStyle w:val="Compact"/>
      </w:pPr>
      <w:r>
        <w:t xml:space="preserve">Orel E, Esra R, Estill J, Thiabaud A, Marchand-Maillet S, Merzouki A, Keiser O. Prediction of HIV status based on socio-behavioural characteristics in East and 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t xml:space="preserve">Merzouki A, Estill J, Orel E, Tal K, Keiser O. Clusters of sub-Saharan 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t xml:space="preserve">Esra R, Carstens J, Le Roux S, Mabuto T, Eisenstein M, Keiser O, Orel E, Merzouki A, De Voux L, Maskew M, Sharpey-Schafer K. Validation and improvement of a machine learning model to predict interruptions in antiretroviral treatment in South Africa.</w:t>
      </w:r>
      <w:r>
        <w:t xml:space="preserve"> </w:t>
      </w:r>
      <w:r>
        <w:rPr>
          <w:iCs/>
          <w:i/>
        </w:rPr>
        <w:t xml:space="preserve">Journal of Acquired Immune Deficiency Syndromes</w:t>
      </w:r>
      <w:r>
        <w:t xml:space="preserve"> </w:t>
      </w:r>
      <w:r>
        <w:t xml:space="preserve">2023;92(1):42–49. doi:10.1097/QAI.0000000000003108</w:t>
      </w:r>
    </w:p>
    <w:p>
      <w:pPr>
        <w:numPr>
          <w:ilvl w:val="0"/>
          <w:numId w:val="1001"/>
        </w:numPr>
        <w:pStyle w:val="Compact"/>
      </w:pPr>
      <w:r>
        <w:t xml:space="preserve">Orel E, Ciglenecki I, Thiabaud A, Temerev A, Calmy A, Keiser O, Merzouki A. An automated literature review tool (LiteRev) for streamlining and accelerating research using 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t xml:space="preserve">Orel E, Sobel J, Zanella MC, Iten A, Kaiser L, Keiser O, Vetter P. Clinical severity of Delta and 3 different Omicron sublineages in patients hospitalized because of COVID-19 in a Swiss tertiary center.</w:t>
      </w:r>
      <w:r>
        <w:t xml:space="preserve"> </w:t>
      </w:r>
      <w:r>
        <w:rPr>
          <w:iCs/>
          <w:i/>
        </w:rPr>
        <w:t xml:space="preserve">CMI Communications</w:t>
      </w:r>
      <w:r>
        <w:t xml:space="preserve"> </w:t>
      </w:r>
      <w:r>
        <w:t xml:space="preserve">2024;1(2):100005. doi:10.1016/j.cmicom.2024.100005</w:t>
      </w:r>
    </w:p>
    <w:p>
      <w:pPr>
        <w:numPr>
          <w:ilvl w:val="0"/>
          <w:numId w:val="1001"/>
        </w:numPr>
        <w:pStyle w:val="Compact"/>
      </w:pPr>
      <w:r>
        <w:t xml:space="preserve">Estill J, Venkova-Marchevska P, Roelens M, Orel E, Temerev A, Flahault A, Keiser O. Future scenarios for the SARS-CoV-2 epidemic in Switzerland: an age-structured model.</w:t>
      </w:r>
      <w:r>
        <w:t xml:space="preserve"> </w:t>
      </w:r>
      <w:r>
        <w:rPr>
          <w:iCs/>
          <w:i/>
        </w:rPr>
        <w:t xml:space="preserve">F1000Research</w:t>
      </w:r>
      <w:r>
        <w:t xml:space="preserve"> </w:t>
      </w:r>
      <w:r>
        <w:t xml:space="preserve">2020;9:646. doi:10.12688/f1000research.24497.2</w:t>
      </w:r>
    </w:p>
    <w:p>
      <w:pPr>
        <w:numPr>
          <w:ilvl w:val="0"/>
          <w:numId w:val="1001"/>
        </w:numPr>
        <w:pStyle w:val="Compact"/>
      </w:pPr>
      <w:r>
        <w:t xml:space="preserve">Nwosu KD, Fokam J, Wanda F, Mama L, Orel E, Ray N, Meke J, Tassegning A, Takou D, Mimbe E, Stoll B, Guillebert J, Comte E, Keiser O, Ciaffi L. SARS-CoV-2 antibody 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t xml:space="preserve">Ng'ambi W, Estill J, Keiser O, Merzouki FA, Orel E. Machine learning-based classification of self-reported cardiovascular disease history in Africa using harmonised multi-country WHO STEPS surveys: 2014–2019. Accepted for publication.</w:t>
      </w:r>
    </w:p>
    <w:p>
      <w:pPr>
        <w:numPr>
          <w:ilvl w:val="0"/>
          <w:numId w:val="1001"/>
        </w:numPr>
        <w:pStyle w:val="Compact"/>
      </w:pPr>
      <w:r>
        <w:t xml:space="preserve">Schulte F, Röösli M, Ragettli MS. Risk, attributable fraction and attributable number of cause-specific heat-related emergency hospital admissions in Switzerland.</w:t>
      </w:r>
      <w:r>
        <w:t xml:space="preserve"> </w:t>
      </w:r>
      <w:r>
        <w:rPr>
          <w:iCs/>
          <w:i/>
        </w:rPr>
        <w:t xml:space="preserve">International Journal of Public Health</w:t>
      </w:r>
      <w:r>
        <w:t xml:space="preserve"> </w:t>
      </w:r>
      <w:r>
        <w:t xml:space="preserve">2024;69:1607349. doi:10.3389/ijph.2024.1607349</w:t>
      </w:r>
    </w:p>
    <w:p>
      <w:pPr>
        <w:numPr>
          <w:ilvl w:val="0"/>
          <w:numId w:val="1001"/>
        </w:numPr>
        <w:pStyle w:val="Compact"/>
      </w:pPr>
      <w:r>
        <w:t xml:space="preserve">Ragettli MS, Vicedo-Cabrera AM, Schindler C, Röösli M. Impact of the warm 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t xml:space="preserve">Wargon M, Guidet B, Hoang TD, Hejblum G. A systematic review of models for 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t xml:space="preserve">Hamilton JD. A new approach to the economic analysis of nonstationary time series and the business cycle.</w:t>
      </w:r>
      <w:r>
        <w:t xml:space="preserve"> </w:t>
      </w:r>
      <w:r>
        <w:rPr>
          <w:iCs/>
          <w:i/>
        </w:rPr>
        <w:t xml:space="preserve">Econometrica</w:t>
      </w:r>
      <w:r>
        <w:t xml:space="preserve"> </w:t>
      </w:r>
      <w:r>
        <w:t xml:space="preserve">1989;57(2):357–384.</w:t>
      </w:r>
    </w:p>
    <w:p>
      <w:pPr>
        <w:numPr>
          <w:ilvl w:val="0"/>
          <w:numId w:val="1001"/>
        </w:numPr>
        <w:pStyle w:val="Compact"/>
      </w:pPr>
      <w:r>
        <w:t xml:space="preserve">Höhle M, an der Heiden M. Bayesian nowcasting during the STEC O104:H4 outbreak in Germany, 2011.</w:t>
      </w:r>
      <w:r>
        <w:t xml:space="preserve"> </w:t>
      </w:r>
      <w:r>
        <w:rPr>
          <w:iCs/>
          <w:i/>
        </w:rPr>
        <w:t xml:space="preserve">Biometrics</w:t>
      </w:r>
      <w:r>
        <w:t xml:space="preserve"> </w:t>
      </w:r>
      <w:r>
        <w:t xml:space="preserve">2014;70(4):993–1002. doi:10.1111/biom.12194</w:t>
      </w:r>
    </w:p>
    <w:p>
      <w:pPr>
        <w:numPr>
          <w:ilvl w:val="0"/>
          <w:numId w:val="1001"/>
        </w:numPr>
        <w:pStyle w:val="Compact"/>
      </w:pPr>
      <w:r>
        <w:t xml:space="preserve">McGough SF, Johansson MA, Lipsitch M, Menzies NA. Nowcasting by Bayesian 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t xml:space="preserve">Salmon M, Schumacher D, Höhle M. Monitoring count time series in R: aberration detection in public health surveillance.</w:t>
      </w:r>
      <w:r>
        <w:t xml:space="preserve"> </w:t>
      </w:r>
      <w:r>
        <w:rPr>
          <w:iCs/>
          <w:i/>
        </w:rPr>
        <w:t xml:space="preserve">Journal of Statistical Software</w:t>
      </w:r>
      <w:r>
        <w:t xml:space="preserve"> </w:t>
      </w:r>
      <w:r>
        <w:t xml:space="preserve">2016;70(10):1–35. doi:10.18637/jss.v070.i10</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2026-10-15T06:49:08Z</dcterms:created>
  <dcterms:modified xsi:type="dcterms:W3CDTF">2026-10-15T06:49:08Z</dcterms:modified>
</cp:coreProperties>
</file>

<file path=docProps/custom.xml><?xml version="1.0" encoding="utf-8"?>
<Properties xmlns="http://schemas.openxmlformats.org/officeDocument/2006/custom-properties" xmlns:vt="http://schemas.openxmlformats.org/officeDocument/2006/docPropsVTypes"/>
</file>